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B1B6" w14:textId="58973A24" w:rsidR="00F24DBC" w:rsidRDefault="00F24DBC" w:rsidP="00F24DBC">
      <w:pPr>
        <w:rPr>
          <w:rFonts w:ascii="Arial" w:hAnsi="Arial"/>
          <w:b/>
          <w:sz w:val="20"/>
        </w:rPr>
      </w:pPr>
      <w:r>
        <w:rPr>
          <w:rFonts w:ascii="Arial" w:hAnsi="Arial"/>
          <w:b/>
          <w:sz w:val="20"/>
        </w:rPr>
        <w:t>Chapter 02</w:t>
      </w:r>
    </w:p>
    <w:p w14:paraId="49EC89CE" w14:textId="77777777" w:rsidR="00F24DBC" w:rsidRDefault="00F24DBC" w:rsidP="00F24DBC">
      <w:pPr>
        <w:rPr>
          <w:rFonts w:ascii="Arial" w:hAnsi="Arial"/>
          <w:b/>
          <w:sz w:val="20"/>
        </w:rPr>
      </w:pPr>
    </w:p>
    <w:p w14:paraId="27C4A501" w14:textId="755136D9" w:rsidR="00957CD4" w:rsidRPr="00BC6445" w:rsidRDefault="00957CD4" w:rsidP="00C85C2A">
      <w:pPr>
        <w:rPr>
          <w:rFonts w:ascii="Arial" w:hAnsi="Arial"/>
          <w:sz w:val="20"/>
          <w:lang w:val="en-GB"/>
        </w:rPr>
      </w:pPr>
      <w:r w:rsidRPr="00BC6445">
        <w:rPr>
          <w:rFonts w:ascii="Arial" w:hAnsi="Arial"/>
          <w:b/>
          <w:sz w:val="20"/>
          <w:lang w:val="en-GB"/>
        </w:rPr>
        <w:t>Type: multiple choice question</w:t>
      </w:r>
    </w:p>
    <w:p w14:paraId="3DFADC86"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01</w:t>
      </w:r>
    </w:p>
    <w:p w14:paraId="779B54C6" w14:textId="5514CEE6" w:rsidR="00957CD4" w:rsidRPr="00BC6445" w:rsidRDefault="00957CD4" w:rsidP="00C85C2A">
      <w:pPr>
        <w:rPr>
          <w:rFonts w:ascii="Arial" w:hAnsi="Arial"/>
          <w:sz w:val="20"/>
          <w:lang w:val="en-GB"/>
        </w:rPr>
      </w:pPr>
      <w:r w:rsidRPr="00BC6445">
        <w:rPr>
          <w:rFonts w:ascii="Arial" w:hAnsi="Arial"/>
          <w:b/>
          <w:sz w:val="20"/>
          <w:lang w:val="en-GB"/>
        </w:rPr>
        <w:t xml:space="preserve">01) </w:t>
      </w:r>
      <w:r w:rsidRPr="00BC6445">
        <w:rPr>
          <w:rFonts w:ascii="Arial" w:hAnsi="Arial"/>
          <w:sz w:val="20"/>
          <w:lang w:val="en-GB"/>
        </w:rPr>
        <w:t xml:space="preserve">Which of the following is </w:t>
      </w:r>
      <w:r w:rsidRPr="00BC6445">
        <w:rPr>
          <w:rFonts w:ascii="Arial" w:hAnsi="Arial"/>
          <w:b/>
          <w:sz w:val="20"/>
          <w:lang w:val="en-GB"/>
        </w:rPr>
        <w:t>not</w:t>
      </w:r>
      <w:r w:rsidRPr="00BC6445">
        <w:rPr>
          <w:rFonts w:ascii="Arial" w:hAnsi="Arial"/>
          <w:sz w:val="20"/>
          <w:lang w:val="en-GB"/>
        </w:rPr>
        <w:t xml:space="preserve"> a general principle of the tort of negligence? </w:t>
      </w:r>
    </w:p>
    <w:p w14:paraId="1EE74FF8" w14:textId="286E5443"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To make people pay for the damage they cause when their conduct falls below an acceptable standard or level</w:t>
      </w:r>
    </w:p>
    <w:p w14:paraId="2AF3ABB2" w14:textId="3B36584B"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Incorrect. The general principle of tort of negligence is to ensure that people pay for the damage they cause when their conduct falls below an acceptable standard or level as well to protect certain interests from the consequences of unreasonable behaviour.</w:t>
      </w:r>
    </w:p>
    <w:p w14:paraId="641AA853" w14:textId="77777777" w:rsidR="00957CD4" w:rsidRPr="00BC6445" w:rsidRDefault="00957CD4" w:rsidP="00952F61">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2.1</w:t>
      </w:r>
    </w:p>
    <w:p w14:paraId="1B089F79" w14:textId="362B6688" w:rsidR="00957CD4" w:rsidRPr="00BC6445" w:rsidRDefault="00957CD4" w:rsidP="00C85C2A">
      <w:pPr>
        <w:rPr>
          <w:rFonts w:ascii="Arial" w:hAnsi="Arial"/>
          <w:sz w:val="20"/>
          <w:lang w:val="en-GB"/>
        </w:rPr>
      </w:pPr>
      <w:r w:rsidRPr="00BC6445">
        <w:rPr>
          <w:rFonts w:ascii="Arial" w:hAnsi="Arial"/>
          <w:b/>
          <w:sz w:val="20"/>
          <w:lang w:val="en-GB"/>
        </w:rPr>
        <w:t>b.</w:t>
      </w:r>
      <w:r w:rsidRPr="00BC6445">
        <w:rPr>
          <w:rFonts w:ascii="Arial" w:hAnsi="Arial"/>
          <w:sz w:val="20"/>
          <w:lang w:val="en-GB"/>
        </w:rPr>
        <w:t xml:space="preserve"> To protect certain interests from the consequences of unreasonable behaviour</w:t>
      </w:r>
    </w:p>
    <w:p w14:paraId="34DAA04D" w14:textId="4C1F822E"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Incorrect. The general principle of tort of negligence is to protect certain interests from the consequences of unreasonable behaviour as well as to ensure that people pay for the damage they cause when their conduct falls below an acceptable standard or level</w:t>
      </w:r>
    </w:p>
    <w:p w14:paraId="10959712" w14:textId="77777777" w:rsidR="00957CD4" w:rsidRPr="00BC6445" w:rsidRDefault="00957CD4" w:rsidP="00952F61">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2.1</w:t>
      </w:r>
    </w:p>
    <w:p w14:paraId="1F77C011" w14:textId="0FE477BA" w:rsidR="00957CD4" w:rsidRPr="00BC6445" w:rsidRDefault="00957CD4" w:rsidP="00345339">
      <w:pPr>
        <w:rPr>
          <w:rFonts w:ascii="Arial" w:hAnsi="Arial"/>
          <w:sz w:val="20"/>
          <w:lang w:val="en-GB"/>
        </w:rPr>
      </w:pPr>
      <w:r w:rsidRPr="00BC6445">
        <w:rPr>
          <w:rFonts w:ascii="Arial" w:hAnsi="Arial"/>
          <w:sz w:val="20"/>
          <w:lang w:val="en-GB"/>
        </w:rPr>
        <w:t>*</w:t>
      </w:r>
      <w:r w:rsidRPr="00BC6445">
        <w:rPr>
          <w:rFonts w:ascii="Arial" w:hAnsi="Arial"/>
          <w:b/>
          <w:sz w:val="20"/>
          <w:lang w:val="en-GB"/>
        </w:rPr>
        <w:t>c.</w:t>
      </w:r>
      <w:r w:rsidRPr="00BC6445">
        <w:rPr>
          <w:rFonts w:ascii="Arial" w:hAnsi="Arial"/>
          <w:sz w:val="20"/>
          <w:lang w:val="en-GB"/>
        </w:rPr>
        <w:t xml:space="preserve"> </w:t>
      </w:r>
      <w:r w:rsidRPr="00BC6445">
        <w:rPr>
          <w:rFonts w:ascii="Arial" w:hAnsi="Arial" w:cs="Arial"/>
          <w:sz w:val="20"/>
          <w:szCs w:val="20"/>
        </w:rPr>
        <w:t>To punish a wrongdoer by making them pay compensation to an individual harmed by their carelessness.</w:t>
      </w:r>
    </w:p>
    <w:p w14:paraId="501008F1" w14:textId="64F9CDBD" w:rsidR="00957CD4" w:rsidRPr="00BC6445" w:rsidRDefault="00957CD4" w:rsidP="00C85C2A">
      <w:pPr>
        <w:rPr>
          <w:rFonts w:ascii="Arial" w:hAnsi="Arial"/>
          <w:b/>
          <w:sz w:val="20"/>
          <w:lang w:val="en-GB"/>
        </w:rPr>
      </w:pPr>
      <w:r w:rsidRPr="00BC6445">
        <w:rPr>
          <w:rFonts w:ascii="Arial" w:hAnsi="Arial"/>
          <w:b/>
          <w:sz w:val="20"/>
          <w:lang w:val="en-GB"/>
        </w:rPr>
        <w:t>Feedback:</w:t>
      </w:r>
      <w:r w:rsidRPr="00BC6445">
        <w:rPr>
          <w:rFonts w:ascii="Arial" w:hAnsi="Arial"/>
          <w:sz w:val="20"/>
          <w:lang w:val="en-GB"/>
        </w:rPr>
        <w:t xml:space="preserve"> Correct. The purpose of the tort of negligence is not to punish the wrongdoer, rather it is to ensure that people pay for the damage they cause when their conduct falls below an acceptable standard or level as well to protect certain interests from the consequences of unreasonable behaviour.</w:t>
      </w:r>
    </w:p>
    <w:p w14:paraId="1233EB4E"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2.1</w:t>
      </w:r>
    </w:p>
    <w:p w14:paraId="6CD6DC6F" w14:textId="688F7C6B" w:rsidR="00957CD4" w:rsidRPr="00BC6445" w:rsidRDefault="00957CD4" w:rsidP="00C85C2A">
      <w:pPr>
        <w:rPr>
          <w:rFonts w:ascii="Arial" w:hAnsi="Arial"/>
          <w:sz w:val="20"/>
          <w:lang w:val="en-GB"/>
        </w:rPr>
      </w:pPr>
    </w:p>
    <w:p w14:paraId="09D38B02" w14:textId="188F3B17" w:rsidR="00957CD4" w:rsidRPr="00BC6445" w:rsidRDefault="00957CD4" w:rsidP="00C85C2A">
      <w:pPr>
        <w:rPr>
          <w:rFonts w:ascii="Arial" w:hAnsi="Arial"/>
          <w:sz w:val="20"/>
          <w:lang w:val="en-GB"/>
        </w:rPr>
      </w:pPr>
      <w:r w:rsidRPr="00BC6445">
        <w:rPr>
          <w:rFonts w:ascii="Arial" w:hAnsi="Arial"/>
          <w:b/>
          <w:sz w:val="20"/>
          <w:lang w:val="en-GB"/>
        </w:rPr>
        <w:t>Type: multiple choice question</w:t>
      </w:r>
    </w:p>
    <w:p w14:paraId="138888CC"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02</w:t>
      </w:r>
    </w:p>
    <w:p w14:paraId="20BEC017" w14:textId="5F75C011" w:rsidR="00957CD4" w:rsidRPr="00BC6445" w:rsidRDefault="00957CD4" w:rsidP="00C85C2A">
      <w:pPr>
        <w:rPr>
          <w:rFonts w:ascii="Arial" w:hAnsi="Arial"/>
          <w:sz w:val="20"/>
          <w:lang w:val="en-GB"/>
        </w:rPr>
      </w:pPr>
      <w:r w:rsidRPr="00BC6445">
        <w:rPr>
          <w:rFonts w:ascii="Arial" w:hAnsi="Arial"/>
          <w:b/>
          <w:sz w:val="20"/>
          <w:lang w:val="en-GB"/>
        </w:rPr>
        <w:t xml:space="preserve">02) </w:t>
      </w:r>
      <w:r w:rsidRPr="00BC6445">
        <w:rPr>
          <w:rFonts w:ascii="Arial" w:hAnsi="Arial"/>
          <w:sz w:val="20"/>
          <w:lang w:val="en-GB"/>
        </w:rPr>
        <w:t>The tort of negligence was established in which landmark case?</w:t>
      </w:r>
    </w:p>
    <w:p w14:paraId="7AE3D185" w14:textId="703EB87B"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w:t>
      </w:r>
      <w:proofErr w:type="spellStart"/>
      <w:r w:rsidRPr="00BC6445">
        <w:rPr>
          <w:rFonts w:ascii="Arial" w:hAnsi="Arial"/>
          <w:b/>
          <w:i/>
          <w:sz w:val="20"/>
          <w:lang w:val="en-GB"/>
        </w:rPr>
        <w:t>Anns</w:t>
      </w:r>
      <w:proofErr w:type="spellEnd"/>
      <w:r w:rsidRPr="00BC6445">
        <w:rPr>
          <w:rFonts w:ascii="Arial" w:hAnsi="Arial"/>
          <w:b/>
          <w:i/>
          <w:sz w:val="20"/>
          <w:lang w:val="en-GB"/>
        </w:rPr>
        <w:t xml:space="preserve"> v Merton London Borough Council</w:t>
      </w:r>
      <w:r w:rsidRPr="00BC6445">
        <w:rPr>
          <w:rFonts w:ascii="Arial" w:hAnsi="Arial"/>
          <w:i/>
          <w:sz w:val="20"/>
          <w:lang w:val="en-GB"/>
        </w:rPr>
        <w:t xml:space="preserve"> </w:t>
      </w:r>
    </w:p>
    <w:p w14:paraId="77F03F8A" w14:textId="3F1D59E5"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Incorrect. The tort of negligence was established in </w:t>
      </w:r>
      <w:r w:rsidRPr="00BC6445">
        <w:rPr>
          <w:rFonts w:ascii="Arial" w:hAnsi="Arial"/>
          <w:b/>
          <w:i/>
          <w:sz w:val="20"/>
          <w:lang w:val="en-GB"/>
        </w:rPr>
        <w:t>Donoghue v Stevenson</w:t>
      </w:r>
      <w:r w:rsidRPr="00BC6445">
        <w:rPr>
          <w:rFonts w:ascii="Arial" w:hAnsi="Arial"/>
          <w:sz w:val="20"/>
          <w:lang w:val="en-GB"/>
        </w:rPr>
        <w:t>.</w:t>
      </w:r>
    </w:p>
    <w:p w14:paraId="3037A4FB"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0F94E310" w14:textId="57A25D2C" w:rsidR="00957CD4" w:rsidRPr="00BC6445" w:rsidRDefault="00957CD4" w:rsidP="00C85C2A">
      <w:pPr>
        <w:rPr>
          <w:rFonts w:ascii="Arial" w:hAnsi="Arial"/>
          <w:b/>
          <w:i/>
          <w:sz w:val="20"/>
          <w:lang w:val="en-GB"/>
        </w:rPr>
      </w:pPr>
      <w:r w:rsidRPr="00BC6445">
        <w:rPr>
          <w:rFonts w:ascii="Arial" w:hAnsi="Arial"/>
          <w:b/>
          <w:sz w:val="20"/>
          <w:lang w:val="en-GB"/>
        </w:rPr>
        <w:t>b.</w:t>
      </w:r>
      <w:r w:rsidRPr="00BC6445">
        <w:rPr>
          <w:rFonts w:ascii="Arial" w:hAnsi="Arial"/>
          <w:sz w:val="20"/>
          <w:lang w:val="en-GB"/>
        </w:rPr>
        <w:t xml:space="preserve"> </w:t>
      </w:r>
      <w:proofErr w:type="spellStart"/>
      <w:r w:rsidRPr="00BC6445">
        <w:rPr>
          <w:rFonts w:ascii="Arial" w:hAnsi="Arial"/>
          <w:b/>
          <w:i/>
          <w:sz w:val="20"/>
          <w:lang w:val="en-GB"/>
        </w:rPr>
        <w:t>Caparo</w:t>
      </w:r>
      <w:proofErr w:type="spellEnd"/>
      <w:r w:rsidRPr="00BC6445">
        <w:rPr>
          <w:rFonts w:ascii="Arial" w:hAnsi="Arial"/>
          <w:b/>
          <w:i/>
          <w:sz w:val="20"/>
          <w:lang w:val="en-GB"/>
        </w:rPr>
        <w:t xml:space="preserve"> Industries plc v </w:t>
      </w:r>
      <w:proofErr w:type="spellStart"/>
      <w:r w:rsidRPr="00BC6445">
        <w:rPr>
          <w:rFonts w:ascii="Arial" w:hAnsi="Arial"/>
          <w:b/>
          <w:i/>
          <w:sz w:val="20"/>
          <w:lang w:val="en-GB"/>
        </w:rPr>
        <w:t>Dickman</w:t>
      </w:r>
      <w:proofErr w:type="spellEnd"/>
      <w:r w:rsidRPr="00BC6445">
        <w:rPr>
          <w:rFonts w:ascii="Arial" w:hAnsi="Arial"/>
          <w:b/>
          <w:sz w:val="20"/>
          <w:lang w:val="en-GB"/>
        </w:rPr>
        <w:t xml:space="preserve"> </w:t>
      </w:r>
    </w:p>
    <w:p w14:paraId="327F3047" w14:textId="1952DB9A"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Incorrect. The tort of negligence was established in </w:t>
      </w:r>
      <w:r w:rsidRPr="00BC6445">
        <w:rPr>
          <w:rFonts w:ascii="Arial" w:hAnsi="Arial"/>
          <w:b/>
          <w:i/>
          <w:sz w:val="20"/>
          <w:lang w:val="en-GB"/>
        </w:rPr>
        <w:t>Donoghue v Stevenson</w:t>
      </w:r>
      <w:r w:rsidRPr="00BC6445">
        <w:rPr>
          <w:rFonts w:ascii="Arial" w:hAnsi="Arial"/>
          <w:sz w:val="20"/>
          <w:lang w:val="en-GB"/>
        </w:rPr>
        <w:t>.</w:t>
      </w:r>
    </w:p>
    <w:p w14:paraId="20592312"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01BF9B87" w14:textId="66B304F7" w:rsidR="00957CD4" w:rsidRPr="00BC6445" w:rsidRDefault="00957CD4" w:rsidP="00C85C2A">
      <w:pPr>
        <w:rPr>
          <w:rFonts w:ascii="Arial" w:hAnsi="Arial"/>
          <w:b/>
          <w:i/>
          <w:sz w:val="20"/>
          <w:lang w:val="en-GB"/>
        </w:rPr>
      </w:pPr>
      <w:r w:rsidRPr="00BC6445">
        <w:rPr>
          <w:rFonts w:ascii="Arial" w:hAnsi="Arial"/>
          <w:sz w:val="20"/>
          <w:lang w:val="en-GB"/>
        </w:rPr>
        <w:t>*</w:t>
      </w:r>
      <w:r w:rsidRPr="00BC6445">
        <w:rPr>
          <w:rFonts w:ascii="Arial" w:hAnsi="Arial"/>
          <w:b/>
          <w:sz w:val="20"/>
          <w:lang w:val="en-GB"/>
        </w:rPr>
        <w:t>c.</w:t>
      </w:r>
      <w:r w:rsidRPr="00BC6445">
        <w:rPr>
          <w:rFonts w:ascii="Arial" w:hAnsi="Arial"/>
          <w:sz w:val="20"/>
          <w:lang w:val="en-GB"/>
        </w:rPr>
        <w:t xml:space="preserve"> </w:t>
      </w:r>
      <w:r w:rsidRPr="00BC6445">
        <w:rPr>
          <w:rFonts w:ascii="Arial" w:hAnsi="Arial"/>
          <w:b/>
          <w:i/>
          <w:sz w:val="20"/>
          <w:lang w:val="en-GB"/>
        </w:rPr>
        <w:t>Donoghue v Stevenson</w:t>
      </w:r>
    </w:p>
    <w:p w14:paraId="5511148E" w14:textId="3A0437AA"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Correct. The tort of negligence was established in </w:t>
      </w:r>
      <w:r w:rsidRPr="00BC6445">
        <w:rPr>
          <w:rFonts w:ascii="Arial" w:hAnsi="Arial"/>
          <w:b/>
          <w:i/>
          <w:sz w:val="20"/>
          <w:lang w:val="en-GB"/>
        </w:rPr>
        <w:t>Donoghue v Stevenson</w:t>
      </w:r>
      <w:r w:rsidRPr="00BC6445">
        <w:rPr>
          <w:rFonts w:ascii="Arial" w:hAnsi="Arial"/>
          <w:sz w:val="20"/>
          <w:lang w:val="en-GB"/>
        </w:rPr>
        <w:t>.</w:t>
      </w:r>
    </w:p>
    <w:p w14:paraId="7F65E3D2"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11B00E9B" w14:textId="2F0857C0" w:rsidR="00957CD4" w:rsidRPr="00BC6445" w:rsidRDefault="00957CD4" w:rsidP="00C85C2A">
      <w:pPr>
        <w:rPr>
          <w:rFonts w:ascii="Arial" w:hAnsi="Arial"/>
          <w:sz w:val="20"/>
          <w:lang w:val="en-GB"/>
        </w:rPr>
      </w:pPr>
      <w:r w:rsidRPr="00BC6445">
        <w:rPr>
          <w:rFonts w:ascii="Arial" w:hAnsi="Arial"/>
          <w:b/>
          <w:sz w:val="20"/>
          <w:lang w:val="en-GB"/>
        </w:rPr>
        <w:t>d.</w:t>
      </w:r>
      <w:r w:rsidRPr="00BC6445">
        <w:rPr>
          <w:rFonts w:ascii="Arial" w:hAnsi="Arial"/>
          <w:sz w:val="20"/>
          <w:lang w:val="en-GB"/>
        </w:rPr>
        <w:t xml:space="preserve"> </w:t>
      </w:r>
      <w:r w:rsidRPr="00BC6445">
        <w:rPr>
          <w:rFonts w:ascii="Arial" w:hAnsi="Arial"/>
          <w:i/>
          <w:sz w:val="20"/>
          <w:lang w:val="en-GB"/>
        </w:rPr>
        <w:t>Murphy v Brentwood District Council</w:t>
      </w:r>
    </w:p>
    <w:p w14:paraId="1A563A72" w14:textId="5B23D710"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Incorrect. The tort of negligence was established in </w:t>
      </w:r>
      <w:r w:rsidRPr="00BC6445">
        <w:rPr>
          <w:rFonts w:ascii="Arial" w:hAnsi="Arial"/>
          <w:b/>
          <w:i/>
          <w:sz w:val="20"/>
          <w:lang w:val="en-GB"/>
        </w:rPr>
        <w:t>Donoghue v Stevenson</w:t>
      </w:r>
      <w:r w:rsidRPr="00BC6445">
        <w:rPr>
          <w:rFonts w:ascii="Arial" w:hAnsi="Arial"/>
          <w:sz w:val="20"/>
          <w:lang w:val="en-GB"/>
        </w:rPr>
        <w:t>.</w:t>
      </w:r>
    </w:p>
    <w:p w14:paraId="790CF08A"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0074E921" w14:textId="63A4F5C0" w:rsidR="00957CD4" w:rsidRPr="00BC6445" w:rsidRDefault="00957CD4" w:rsidP="00C85C2A">
      <w:pPr>
        <w:rPr>
          <w:rFonts w:ascii="Arial" w:hAnsi="Arial"/>
          <w:sz w:val="20"/>
          <w:lang w:val="en-GB"/>
        </w:rPr>
      </w:pPr>
    </w:p>
    <w:p w14:paraId="2020485E" w14:textId="633E8D85" w:rsidR="00957CD4" w:rsidRPr="00BC6445" w:rsidRDefault="00957CD4" w:rsidP="00C85C2A">
      <w:pPr>
        <w:rPr>
          <w:rFonts w:ascii="Arial" w:hAnsi="Arial"/>
          <w:sz w:val="20"/>
          <w:lang w:val="en-GB"/>
        </w:rPr>
      </w:pPr>
      <w:r w:rsidRPr="00BC6445">
        <w:rPr>
          <w:rFonts w:ascii="Arial" w:hAnsi="Arial"/>
          <w:b/>
          <w:sz w:val="20"/>
          <w:lang w:val="en-GB"/>
        </w:rPr>
        <w:t>Type: multiple choice question</w:t>
      </w:r>
    </w:p>
    <w:p w14:paraId="11850C87"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Question 03</w:t>
      </w:r>
    </w:p>
    <w:p w14:paraId="2BD01E01" w14:textId="5AF1B9A4" w:rsidR="00957CD4" w:rsidRPr="00BC6445" w:rsidRDefault="00957CD4" w:rsidP="00C85C2A">
      <w:pPr>
        <w:rPr>
          <w:rFonts w:ascii="Arial" w:hAnsi="Arial" w:cs="Arial"/>
          <w:sz w:val="20"/>
          <w:szCs w:val="20"/>
        </w:rPr>
      </w:pPr>
      <w:r w:rsidRPr="00BC6445">
        <w:rPr>
          <w:rFonts w:ascii="Arial" w:hAnsi="Arial"/>
          <w:b/>
          <w:sz w:val="20"/>
          <w:lang w:val="en-GB"/>
        </w:rPr>
        <w:t xml:space="preserve">03) </w:t>
      </w:r>
      <w:r w:rsidRPr="00BC6445">
        <w:rPr>
          <w:rFonts w:ascii="Arial" w:hAnsi="Arial" w:cs="Arial"/>
          <w:sz w:val="20"/>
          <w:szCs w:val="20"/>
        </w:rPr>
        <w:t xml:space="preserve">Was there a snail in </w:t>
      </w:r>
      <w:proofErr w:type="spellStart"/>
      <w:r w:rsidRPr="00BC6445">
        <w:rPr>
          <w:rFonts w:ascii="Arial" w:hAnsi="Arial" w:cs="Arial"/>
          <w:sz w:val="20"/>
          <w:szCs w:val="20"/>
        </w:rPr>
        <w:t>Mrs</w:t>
      </w:r>
      <w:proofErr w:type="spellEnd"/>
      <w:r w:rsidRPr="00BC6445">
        <w:rPr>
          <w:rFonts w:ascii="Arial" w:hAnsi="Arial" w:cs="Arial"/>
          <w:sz w:val="20"/>
          <w:szCs w:val="20"/>
        </w:rPr>
        <w:t xml:space="preserve"> Donoghue’s bottle of ginger beer?</w:t>
      </w:r>
    </w:p>
    <w:p w14:paraId="5B56E7D0" w14:textId="247891FB"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Yes</w:t>
      </w:r>
    </w:p>
    <w:p w14:paraId="3007EE4E" w14:textId="23BCE9C0"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Incorrect. The law lords in </w:t>
      </w:r>
      <w:r w:rsidRPr="00BC6445">
        <w:rPr>
          <w:rFonts w:ascii="Arial" w:hAnsi="Arial"/>
          <w:b/>
          <w:i/>
          <w:sz w:val="20"/>
          <w:lang w:val="en-GB"/>
        </w:rPr>
        <w:t>Donoghue v Stevenson</w:t>
      </w:r>
      <w:r w:rsidRPr="00BC6445">
        <w:rPr>
          <w:rFonts w:ascii="Arial" w:hAnsi="Arial"/>
          <w:sz w:val="20"/>
          <w:lang w:val="en-GB"/>
        </w:rPr>
        <w:t xml:space="preserve"> only heard preliminary arguments on whether the alleged facts could give rise to a legal claim. This means they were not deciding whether Stevenson had in fact been negligent but rather whether in law Donoghue had an arguable case.  Ultimately, the defendants settled the case out of court, one result of which is that in the absence of any findings of fact </w:t>
      </w:r>
      <w:r w:rsidRPr="00BC6445">
        <w:rPr>
          <w:rFonts w:ascii="Arial" w:hAnsi="Arial" w:cs="Arial"/>
          <w:sz w:val="20"/>
          <w:szCs w:val="20"/>
        </w:rPr>
        <w:t>–</w:t>
      </w:r>
      <w:r w:rsidRPr="00BC6445">
        <w:rPr>
          <w:rFonts w:ascii="Arial" w:hAnsi="Arial"/>
          <w:sz w:val="20"/>
          <w:lang w:val="en-GB"/>
        </w:rPr>
        <w:t xml:space="preserve"> which would only have happened at trial </w:t>
      </w:r>
      <w:r w:rsidRPr="00BC6445">
        <w:rPr>
          <w:rFonts w:ascii="Arial" w:hAnsi="Arial" w:cs="Arial"/>
          <w:sz w:val="20"/>
          <w:szCs w:val="20"/>
        </w:rPr>
        <w:t>–</w:t>
      </w:r>
      <w:r w:rsidRPr="00BC6445">
        <w:rPr>
          <w:rFonts w:ascii="Arial" w:hAnsi="Arial"/>
          <w:sz w:val="20"/>
          <w:lang w:val="en-GB"/>
        </w:rPr>
        <w:t xml:space="preserve"> it was never established whether there was in fact a snail in Mrs Donoghue’s bottle of ginger beer. So the correct answer here is we don’t know.</w:t>
      </w:r>
    </w:p>
    <w:p w14:paraId="28F5DD18"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37517575" w14:textId="49F58334" w:rsidR="00957CD4" w:rsidRPr="00BC6445" w:rsidRDefault="00957CD4" w:rsidP="00C85C2A">
      <w:pPr>
        <w:rPr>
          <w:rFonts w:ascii="Arial" w:hAnsi="Arial"/>
          <w:sz w:val="20"/>
          <w:lang w:val="en-GB"/>
        </w:rPr>
      </w:pPr>
      <w:r w:rsidRPr="00BC6445">
        <w:rPr>
          <w:rFonts w:ascii="Arial" w:hAnsi="Arial"/>
          <w:b/>
          <w:sz w:val="20"/>
          <w:lang w:val="en-GB"/>
        </w:rPr>
        <w:t>b.</w:t>
      </w:r>
      <w:r w:rsidRPr="00BC6445">
        <w:rPr>
          <w:rFonts w:ascii="Arial" w:hAnsi="Arial"/>
          <w:sz w:val="20"/>
          <w:lang w:val="en-GB"/>
        </w:rPr>
        <w:t xml:space="preserve"> No</w:t>
      </w:r>
    </w:p>
    <w:p w14:paraId="4B13D6FB" w14:textId="04BB6BF7"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The law lords in </w:t>
      </w:r>
      <w:r w:rsidRPr="00BC6445">
        <w:rPr>
          <w:rFonts w:ascii="Arial" w:hAnsi="Arial" w:cs="Arial"/>
          <w:b/>
          <w:i/>
          <w:sz w:val="20"/>
          <w:szCs w:val="20"/>
        </w:rPr>
        <w:t>Donoghue v Stevenson</w:t>
      </w:r>
      <w:r w:rsidRPr="00BC6445">
        <w:rPr>
          <w:rFonts w:ascii="Arial" w:hAnsi="Arial" w:cs="Arial"/>
          <w:sz w:val="20"/>
          <w:szCs w:val="20"/>
        </w:rPr>
        <w:t xml:space="preserve"> only heard preliminary arguments on whether the alleged facts could give rise to a legal claim. This means they were not deciding whether Stevenson had in fact been negligent but rather whether in law Donoghue had an arguable case.  Ultimately, the defendants settled the case out of court, one result of which is that in the absence of </w:t>
      </w:r>
      <w:r w:rsidRPr="00BC6445">
        <w:rPr>
          <w:rFonts w:ascii="Arial" w:hAnsi="Arial" w:cs="Arial"/>
          <w:sz w:val="20"/>
          <w:szCs w:val="20"/>
        </w:rPr>
        <w:lastRenderedPageBreak/>
        <w:t xml:space="preserve">any findings of fact – which would only have happened at trial – it was never established whether there was in fact a snail in </w:t>
      </w:r>
      <w:proofErr w:type="spellStart"/>
      <w:r w:rsidRPr="00BC6445">
        <w:rPr>
          <w:rFonts w:ascii="Arial" w:hAnsi="Arial" w:cs="Arial"/>
          <w:sz w:val="20"/>
          <w:szCs w:val="20"/>
        </w:rPr>
        <w:t>Mrs</w:t>
      </w:r>
      <w:proofErr w:type="spellEnd"/>
      <w:r w:rsidRPr="00BC6445">
        <w:rPr>
          <w:rFonts w:ascii="Arial" w:hAnsi="Arial" w:cs="Arial"/>
          <w:sz w:val="20"/>
          <w:szCs w:val="20"/>
        </w:rPr>
        <w:t xml:space="preserve"> Donoghue’s bottle of ginger beer. So the correct answer here is we don’t know.</w:t>
      </w:r>
    </w:p>
    <w:p w14:paraId="20075238"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7D5E81A7" w14:textId="124788F0"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c.</w:t>
      </w:r>
      <w:r w:rsidRPr="00BC6445">
        <w:rPr>
          <w:rFonts w:ascii="Arial" w:hAnsi="Arial"/>
          <w:sz w:val="20"/>
          <w:lang w:val="en-GB"/>
        </w:rPr>
        <w:t xml:space="preserve"> We don’t know</w:t>
      </w:r>
    </w:p>
    <w:p w14:paraId="2DA0EDEA" w14:textId="77777777"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cs="Arial"/>
          <w:sz w:val="20"/>
          <w:szCs w:val="20"/>
        </w:rPr>
        <w:t xml:space="preserve"> Correct. The law lords in </w:t>
      </w:r>
      <w:r w:rsidRPr="00BC6445">
        <w:rPr>
          <w:rFonts w:ascii="Arial" w:hAnsi="Arial" w:cs="Arial"/>
          <w:b/>
          <w:i/>
          <w:sz w:val="20"/>
          <w:szCs w:val="20"/>
        </w:rPr>
        <w:t>Donoghue v Stevenson</w:t>
      </w:r>
      <w:r w:rsidRPr="00BC6445">
        <w:rPr>
          <w:rFonts w:ascii="Arial" w:hAnsi="Arial" w:cs="Arial"/>
          <w:sz w:val="20"/>
          <w:szCs w:val="20"/>
        </w:rPr>
        <w:t xml:space="preserve"> only heard preliminary arguments on whether the alleged facts could give rise to a legal claim. This means they were not deciding whether Stevenson had in fact been negligent but rather whether in law Donoghue had an arguable case.  Ultimately, the defendants settled the case out of court, one result of which is that in the absence of any findings of fact – which would only have happened at trial – it was never established whether there was in fact a snail in </w:t>
      </w:r>
      <w:proofErr w:type="spellStart"/>
      <w:r w:rsidRPr="00BC6445">
        <w:rPr>
          <w:rFonts w:ascii="Arial" w:hAnsi="Arial" w:cs="Arial"/>
          <w:sz w:val="20"/>
          <w:szCs w:val="20"/>
        </w:rPr>
        <w:t>Mrs</w:t>
      </w:r>
      <w:proofErr w:type="spellEnd"/>
      <w:r w:rsidRPr="00BC6445">
        <w:rPr>
          <w:rFonts w:ascii="Arial" w:hAnsi="Arial" w:cs="Arial"/>
          <w:sz w:val="20"/>
          <w:szCs w:val="20"/>
        </w:rPr>
        <w:t xml:space="preserve"> Donoghue’s bottle of ginger beer.</w:t>
      </w:r>
    </w:p>
    <w:p w14:paraId="11D3E26F"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08A26730" w14:textId="4A74C1A2" w:rsidR="00957CD4" w:rsidRPr="00BC6445" w:rsidRDefault="00957CD4" w:rsidP="00C85C2A">
      <w:pPr>
        <w:rPr>
          <w:rFonts w:ascii="Arial" w:hAnsi="Arial"/>
          <w:sz w:val="20"/>
          <w:lang w:val="en-GB"/>
        </w:rPr>
      </w:pPr>
    </w:p>
    <w:p w14:paraId="595D4C04" w14:textId="305894C5" w:rsidR="00957CD4" w:rsidRPr="00BC6445" w:rsidRDefault="00957CD4" w:rsidP="00C85C2A">
      <w:pPr>
        <w:rPr>
          <w:rFonts w:ascii="Arial" w:hAnsi="Arial"/>
          <w:sz w:val="20"/>
          <w:lang w:val="en-GB"/>
        </w:rPr>
      </w:pPr>
      <w:r w:rsidRPr="00BC6445">
        <w:rPr>
          <w:rFonts w:ascii="Arial" w:hAnsi="Arial"/>
          <w:b/>
          <w:sz w:val="20"/>
          <w:lang w:val="en-GB"/>
        </w:rPr>
        <w:t>Type: multiple response question</w:t>
      </w:r>
    </w:p>
    <w:p w14:paraId="6B3A1C67"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04</w:t>
      </w:r>
    </w:p>
    <w:p w14:paraId="25CC50B4" w14:textId="6CA9D8DD" w:rsidR="00957CD4" w:rsidRPr="00BC6445" w:rsidRDefault="00957CD4" w:rsidP="00C85C2A">
      <w:pPr>
        <w:rPr>
          <w:rFonts w:ascii="Arial" w:hAnsi="Arial"/>
          <w:b/>
          <w:sz w:val="20"/>
          <w:lang w:val="en-GB"/>
        </w:rPr>
      </w:pPr>
      <w:r w:rsidRPr="00BC6445">
        <w:rPr>
          <w:rFonts w:ascii="Arial" w:hAnsi="Arial"/>
          <w:b/>
          <w:sz w:val="20"/>
          <w:lang w:val="en-GB"/>
        </w:rPr>
        <w:t xml:space="preserve">04) </w:t>
      </w:r>
      <w:r w:rsidRPr="00BC6445">
        <w:rPr>
          <w:rFonts w:ascii="Arial" w:hAnsi="Arial" w:cs="Arial"/>
          <w:sz w:val="20"/>
          <w:szCs w:val="20"/>
        </w:rPr>
        <w:t xml:space="preserve">In which of the following scenarios is the primary claim likely to be in the tort of negligence? </w:t>
      </w:r>
      <w:r w:rsidRPr="00BC6445">
        <w:rPr>
          <w:rFonts w:ascii="Arial" w:hAnsi="Arial"/>
          <w:sz w:val="20"/>
          <w:lang w:val="en-GB"/>
        </w:rPr>
        <w:t>Please select all that apply.</w:t>
      </w:r>
    </w:p>
    <w:p w14:paraId="2A40D36C" w14:textId="44946209" w:rsidR="00957CD4" w:rsidRPr="00BC6445" w:rsidRDefault="00957CD4" w:rsidP="00C85C2A">
      <w:pPr>
        <w:rPr>
          <w:rFonts w:ascii="Arial" w:hAnsi="Arial" w:cs="Arial"/>
          <w:sz w:val="20"/>
          <w:szCs w:val="20"/>
        </w:rPr>
      </w:pPr>
      <w:r w:rsidRPr="00BC6445">
        <w:rPr>
          <w:rFonts w:ascii="Arial" w:hAnsi="Arial"/>
          <w:b/>
          <w:sz w:val="20"/>
          <w:lang w:val="en-GB"/>
        </w:rPr>
        <w:t xml:space="preserve">Feedback: </w:t>
      </w:r>
      <w:r w:rsidRPr="00BC6445">
        <w:rPr>
          <w:rFonts w:ascii="Arial" w:hAnsi="Arial" w:cs="Arial"/>
          <w:sz w:val="20"/>
          <w:szCs w:val="20"/>
        </w:rPr>
        <w:t>While the primary remedy for the cyclist and student who fails their GCSEs will be in the tort of negligence, the primary remedies for the actress upset about the unofficial photos and teenager prevented from leaving the shop will be in the torts of invasion of privacy and false imprisonment respectively.</w:t>
      </w:r>
    </w:p>
    <w:p w14:paraId="7D34290B" w14:textId="77777777" w:rsidR="00957CD4" w:rsidRPr="00BC6445" w:rsidRDefault="00957CD4" w:rsidP="00CE7200">
      <w:pPr>
        <w:rPr>
          <w:rFonts w:ascii="Arial" w:hAnsi="Arial"/>
          <w:b/>
          <w:sz w:val="20"/>
          <w:lang w:val="en-GB"/>
        </w:rPr>
      </w:pPr>
      <w:r w:rsidRPr="00BC6445">
        <w:rPr>
          <w:rFonts w:ascii="Arial" w:hAnsi="Arial"/>
          <w:b/>
          <w:sz w:val="20"/>
          <w:lang w:val="en-GB"/>
        </w:rPr>
        <w:t xml:space="preserve">Section reference: </w:t>
      </w:r>
      <w:r w:rsidRPr="00BC6445">
        <w:rPr>
          <w:rFonts w:ascii="Arial" w:hAnsi="Arial"/>
          <w:sz w:val="20"/>
          <w:lang w:val="en-GB"/>
        </w:rPr>
        <w:t>2.1. See further Chapter 16 on privacy and section 15.4 on false imprisonment.</w:t>
      </w:r>
    </w:p>
    <w:p w14:paraId="635C9DAA" w14:textId="562EDA9A"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w:t>
      </w:r>
      <w:r w:rsidRPr="00BC6445">
        <w:rPr>
          <w:rFonts w:ascii="Arial" w:hAnsi="Arial" w:cs="Arial"/>
          <w:sz w:val="20"/>
          <w:szCs w:val="20"/>
        </w:rPr>
        <w:t>A famous soap opera actress is upset after unofficial photos are published in a glossy magazine of her wedding day.</w:t>
      </w:r>
    </w:p>
    <w:p w14:paraId="18CF956A" w14:textId="35C4E0D0"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b.</w:t>
      </w:r>
      <w:r w:rsidRPr="00BC6445">
        <w:rPr>
          <w:rFonts w:ascii="Arial" w:hAnsi="Arial"/>
          <w:sz w:val="20"/>
          <w:lang w:val="en-GB"/>
        </w:rPr>
        <w:t xml:space="preserve"> </w:t>
      </w:r>
      <w:r w:rsidRPr="00BC6445">
        <w:rPr>
          <w:rFonts w:ascii="Arial" w:hAnsi="Arial" w:cs="Arial"/>
          <w:sz w:val="20"/>
          <w:szCs w:val="20"/>
        </w:rPr>
        <w:t>A cyclist is knocked down and seriously injured by a speeding motorist.</w:t>
      </w:r>
    </w:p>
    <w:p w14:paraId="02EFE129" w14:textId="2FCCA022"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c.</w:t>
      </w:r>
      <w:r w:rsidRPr="00BC6445">
        <w:rPr>
          <w:rFonts w:ascii="Arial" w:hAnsi="Arial"/>
          <w:sz w:val="20"/>
          <w:lang w:val="en-GB"/>
        </w:rPr>
        <w:t xml:space="preserve"> </w:t>
      </w:r>
      <w:r w:rsidRPr="00BC6445">
        <w:rPr>
          <w:rFonts w:ascii="Arial" w:hAnsi="Arial" w:cs="Arial"/>
          <w:sz w:val="20"/>
          <w:szCs w:val="20"/>
        </w:rPr>
        <w:t>A school fails to diagnose a student's dyslexia believing the student’s poor performance to be simply down to laziness. The student fails their GSCEs.</w:t>
      </w:r>
    </w:p>
    <w:p w14:paraId="6FFFDCD9" w14:textId="0FE2266E" w:rsidR="00957CD4" w:rsidRPr="00BC6445" w:rsidRDefault="00957CD4" w:rsidP="00C85C2A">
      <w:pPr>
        <w:rPr>
          <w:rFonts w:ascii="Arial" w:hAnsi="Arial"/>
          <w:sz w:val="20"/>
          <w:lang w:val="en-GB"/>
        </w:rPr>
      </w:pPr>
      <w:r w:rsidRPr="00BC6445">
        <w:rPr>
          <w:rFonts w:ascii="Arial" w:hAnsi="Arial"/>
          <w:b/>
          <w:sz w:val="20"/>
          <w:lang w:val="en-GB"/>
        </w:rPr>
        <w:t>d.</w:t>
      </w:r>
      <w:r w:rsidRPr="00BC6445">
        <w:rPr>
          <w:rFonts w:ascii="Arial" w:hAnsi="Arial"/>
          <w:sz w:val="20"/>
          <w:lang w:val="en-GB"/>
        </w:rPr>
        <w:t xml:space="preserve"> </w:t>
      </w:r>
      <w:r w:rsidRPr="00BC6445">
        <w:rPr>
          <w:rFonts w:ascii="Arial" w:hAnsi="Arial" w:cs="Arial"/>
          <w:sz w:val="20"/>
          <w:szCs w:val="20"/>
        </w:rPr>
        <w:t xml:space="preserve">A shopkeeper, who believes a teenager has stolen from them, waits by the door ready to stop them leaving before the police arrive. </w:t>
      </w:r>
    </w:p>
    <w:p w14:paraId="45C865DF" w14:textId="7C35397E" w:rsidR="00957CD4" w:rsidRPr="00BC6445" w:rsidRDefault="00957CD4" w:rsidP="00C85C2A">
      <w:pPr>
        <w:rPr>
          <w:rFonts w:ascii="Arial" w:hAnsi="Arial"/>
          <w:sz w:val="20"/>
          <w:lang w:val="en-GB"/>
        </w:rPr>
      </w:pPr>
    </w:p>
    <w:p w14:paraId="33F8EB5D" w14:textId="254ADA61" w:rsidR="00957CD4" w:rsidRPr="00BC6445" w:rsidRDefault="00957CD4" w:rsidP="00C85C2A">
      <w:pPr>
        <w:rPr>
          <w:rFonts w:ascii="Arial" w:hAnsi="Arial"/>
          <w:sz w:val="20"/>
          <w:lang w:val="en-GB"/>
        </w:rPr>
      </w:pPr>
      <w:r w:rsidRPr="00BC6445">
        <w:rPr>
          <w:rFonts w:ascii="Arial" w:hAnsi="Arial"/>
          <w:b/>
          <w:sz w:val="20"/>
          <w:lang w:val="en-GB"/>
        </w:rPr>
        <w:t>Type: multiple choice question</w:t>
      </w:r>
    </w:p>
    <w:p w14:paraId="6F6A0FF8"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05</w:t>
      </w:r>
    </w:p>
    <w:p w14:paraId="03495B7E" w14:textId="31270B28" w:rsidR="00957CD4" w:rsidRPr="00BC6445" w:rsidRDefault="00957CD4" w:rsidP="00C85C2A">
      <w:pPr>
        <w:rPr>
          <w:rFonts w:ascii="Arial" w:hAnsi="Arial"/>
          <w:b/>
          <w:sz w:val="20"/>
          <w:lang w:val="en-GB"/>
        </w:rPr>
      </w:pPr>
      <w:r w:rsidRPr="00BC6445">
        <w:rPr>
          <w:rFonts w:ascii="Arial" w:hAnsi="Arial"/>
          <w:b/>
          <w:sz w:val="20"/>
          <w:lang w:val="en-GB"/>
        </w:rPr>
        <w:t xml:space="preserve">05) </w:t>
      </w:r>
      <w:r w:rsidRPr="00BC6445">
        <w:rPr>
          <w:rFonts w:ascii="Arial" w:hAnsi="Arial" w:cs="Arial"/>
          <w:sz w:val="20"/>
          <w:szCs w:val="20"/>
        </w:rPr>
        <w:t xml:space="preserve">In which year was </w:t>
      </w:r>
      <w:r w:rsidRPr="00BC6445">
        <w:rPr>
          <w:rFonts w:ascii="Arial" w:hAnsi="Arial" w:cs="Arial"/>
          <w:b/>
          <w:i/>
          <w:sz w:val="20"/>
          <w:szCs w:val="20"/>
        </w:rPr>
        <w:t>Donoghue v Stevenson</w:t>
      </w:r>
      <w:r w:rsidRPr="00BC6445">
        <w:rPr>
          <w:rFonts w:ascii="Arial" w:hAnsi="Arial" w:cs="Arial"/>
          <w:sz w:val="20"/>
          <w:szCs w:val="20"/>
        </w:rPr>
        <w:t xml:space="preserve"> decided?</w:t>
      </w:r>
    </w:p>
    <w:p w14:paraId="2D19651D" w14:textId="141B6EAC"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1832</w:t>
      </w:r>
    </w:p>
    <w:p w14:paraId="4248E46C" w14:textId="0AB55EBB"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w:t>
      </w:r>
      <w:r w:rsidRPr="00BC6445">
        <w:rPr>
          <w:rFonts w:ascii="Arial" w:hAnsi="Arial" w:cs="Arial"/>
          <w:b/>
          <w:i/>
          <w:sz w:val="20"/>
          <w:szCs w:val="20"/>
        </w:rPr>
        <w:t>Donoghue v Stevenson</w:t>
      </w:r>
      <w:r w:rsidRPr="00BC6445">
        <w:rPr>
          <w:rFonts w:ascii="Arial" w:hAnsi="Arial" w:cs="Arial"/>
          <w:sz w:val="20"/>
          <w:szCs w:val="20"/>
        </w:rPr>
        <w:t xml:space="preserve"> isn’t as old as you might think. Unlike the trespass torts, the tort of negligence is a relatively modern tort. The general principle of negligence as liability for conduct falling below a particular standard of care was only fully articulated in 1932.</w:t>
      </w:r>
    </w:p>
    <w:p w14:paraId="79259DAB"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0A1D62B5" w14:textId="48C18EF9" w:rsidR="00957CD4" w:rsidRPr="00BC6445" w:rsidRDefault="00957CD4" w:rsidP="00C85C2A">
      <w:pPr>
        <w:rPr>
          <w:rFonts w:ascii="Arial" w:hAnsi="Arial"/>
          <w:sz w:val="20"/>
          <w:lang w:val="en-GB"/>
        </w:rPr>
      </w:pPr>
      <w:r w:rsidRPr="00BC6445">
        <w:rPr>
          <w:rFonts w:ascii="Arial" w:hAnsi="Arial"/>
          <w:b/>
          <w:sz w:val="20"/>
          <w:lang w:val="en-GB"/>
        </w:rPr>
        <w:t>b.</w:t>
      </w:r>
      <w:r w:rsidRPr="00BC6445">
        <w:rPr>
          <w:rFonts w:ascii="Arial" w:hAnsi="Arial"/>
          <w:sz w:val="20"/>
          <w:lang w:val="en-GB"/>
        </w:rPr>
        <w:t xml:space="preserve"> 1882</w:t>
      </w:r>
    </w:p>
    <w:p w14:paraId="246069C9" w14:textId="75EE0805"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w:t>
      </w:r>
      <w:r w:rsidRPr="00BC6445">
        <w:rPr>
          <w:rFonts w:ascii="Arial" w:hAnsi="Arial" w:cs="Arial"/>
          <w:b/>
          <w:i/>
          <w:sz w:val="20"/>
          <w:szCs w:val="20"/>
        </w:rPr>
        <w:t>Donoghue v Stevenson</w:t>
      </w:r>
      <w:r w:rsidRPr="00BC6445">
        <w:rPr>
          <w:rFonts w:ascii="Arial" w:hAnsi="Arial" w:cs="Arial"/>
          <w:sz w:val="20"/>
          <w:szCs w:val="20"/>
        </w:rPr>
        <w:t xml:space="preserve"> isn’t as old as you might think. Unlike the trespass torts, the tort of negligence is a relatively modern tort. The general principle of negligence as liability for conduct falling below a particular standard of care was only fully articulated in 1932.</w:t>
      </w:r>
    </w:p>
    <w:p w14:paraId="359C04CC" w14:textId="77777777" w:rsidR="00957CD4" w:rsidRPr="00BC6445" w:rsidRDefault="00957CD4" w:rsidP="00C85C2A">
      <w:pPr>
        <w:rPr>
          <w:rFonts w:ascii="Arial" w:hAnsi="Arial"/>
          <w:sz w:val="20"/>
          <w:lang w:val="en-GB"/>
        </w:rPr>
      </w:pPr>
      <w:r w:rsidRPr="00BC6445">
        <w:rPr>
          <w:rFonts w:ascii="Arial" w:hAnsi="Arial"/>
          <w:b/>
          <w:sz w:val="20"/>
          <w:lang w:val="en-GB"/>
        </w:rPr>
        <w:t xml:space="preserve">Section reference: </w:t>
      </w:r>
      <w:r w:rsidRPr="00BC6445">
        <w:rPr>
          <w:rFonts w:ascii="Arial" w:hAnsi="Arial"/>
          <w:sz w:val="20"/>
          <w:lang w:val="en-GB"/>
        </w:rPr>
        <w:t>2.2</w:t>
      </w:r>
    </w:p>
    <w:p w14:paraId="3AF9860B" w14:textId="64D506DE"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c.</w:t>
      </w:r>
      <w:r w:rsidRPr="00BC6445">
        <w:rPr>
          <w:rFonts w:ascii="Arial" w:hAnsi="Arial"/>
          <w:sz w:val="20"/>
          <w:lang w:val="en-GB"/>
        </w:rPr>
        <w:t xml:space="preserve"> 1932</w:t>
      </w:r>
    </w:p>
    <w:p w14:paraId="119822AD" w14:textId="438CAE41"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Correct! </w:t>
      </w:r>
      <w:r w:rsidRPr="00BC6445">
        <w:rPr>
          <w:rFonts w:ascii="Arial" w:hAnsi="Arial" w:cs="Arial"/>
          <w:b/>
          <w:i/>
          <w:sz w:val="20"/>
          <w:szCs w:val="20"/>
        </w:rPr>
        <w:t>Donoghue v Stevenson</w:t>
      </w:r>
      <w:r w:rsidRPr="00BC6445">
        <w:rPr>
          <w:rFonts w:ascii="Arial" w:hAnsi="Arial" w:cs="Arial"/>
          <w:sz w:val="20"/>
          <w:szCs w:val="20"/>
        </w:rPr>
        <w:t xml:space="preserve"> was decided in 1932. The tort of negligence is a relatively modern tort. Unlike trespass to land or assault and battery which have been in existence for centuries, the general principle of negligence as liability for conduct falling below a particular standard of care was only fully articulated in the early 20</w:t>
      </w:r>
      <w:r w:rsidRPr="00BC6445">
        <w:rPr>
          <w:rFonts w:ascii="Arial" w:hAnsi="Arial" w:cs="Arial"/>
          <w:sz w:val="20"/>
          <w:szCs w:val="20"/>
          <w:vertAlign w:val="superscript"/>
        </w:rPr>
        <w:t>th</w:t>
      </w:r>
      <w:r w:rsidRPr="00BC6445">
        <w:rPr>
          <w:rFonts w:ascii="Arial" w:hAnsi="Arial" w:cs="Arial"/>
          <w:sz w:val="20"/>
          <w:szCs w:val="20"/>
        </w:rPr>
        <w:t xml:space="preserve"> century</w:t>
      </w:r>
    </w:p>
    <w:p w14:paraId="5330706F" w14:textId="77777777" w:rsidR="00957CD4" w:rsidRPr="00BC6445" w:rsidRDefault="00957CD4" w:rsidP="00C85C2A">
      <w:pPr>
        <w:rPr>
          <w:rFonts w:ascii="Arial" w:hAnsi="Arial"/>
          <w:sz w:val="20"/>
          <w:lang w:val="en-GB"/>
        </w:rPr>
      </w:pPr>
      <w:r w:rsidRPr="00BC6445">
        <w:rPr>
          <w:rFonts w:ascii="Arial" w:hAnsi="Arial"/>
          <w:b/>
          <w:sz w:val="20"/>
          <w:lang w:val="en-GB"/>
        </w:rPr>
        <w:t xml:space="preserve">Section reference: </w:t>
      </w:r>
      <w:r w:rsidRPr="00BC6445">
        <w:rPr>
          <w:rFonts w:ascii="Arial" w:hAnsi="Arial"/>
          <w:sz w:val="20"/>
          <w:lang w:val="en-GB"/>
        </w:rPr>
        <w:t>2.2</w:t>
      </w:r>
    </w:p>
    <w:p w14:paraId="12257A6E" w14:textId="4173C182" w:rsidR="00957CD4" w:rsidRPr="00BC6445" w:rsidRDefault="00957CD4" w:rsidP="00C85C2A">
      <w:pPr>
        <w:rPr>
          <w:rFonts w:ascii="Arial" w:hAnsi="Arial"/>
          <w:sz w:val="20"/>
          <w:lang w:val="en-GB"/>
        </w:rPr>
      </w:pPr>
      <w:r w:rsidRPr="00BC6445">
        <w:rPr>
          <w:rFonts w:ascii="Arial" w:hAnsi="Arial"/>
          <w:b/>
          <w:sz w:val="20"/>
          <w:lang w:val="en-GB"/>
        </w:rPr>
        <w:t>d.</w:t>
      </w:r>
      <w:r w:rsidRPr="00BC6445">
        <w:rPr>
          <w:rFonts w:ascii="Arial" w:hAnsi="Arial"/>
          <w:sz w:val="20"/>
          <w:lang w:val="en-GB"/>
        </w:rPr>
        <w:t xml:space="preserve"> 1982 </w:t>
      </w:r>
    </w:p>
    <w:p w14:paraId="42D69B36" w14:textId="06B5B526"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Although the tort of negligence is a relatively modern tort, </w:t>
      </w:r>
      <w:r w:rsidRPr="00BC6445">
        <w:rPr>
          <w:rFonts w:ascii="Arial" w:hAnsi="Arial" w:cs="Arial"/>
          <w:b/>
          <w:i/>
          <w:sz w:val="20"/>
          <w:szCs w:val="20"/>
        </w:rPr>
        <w:t xml:space="preserve">Donoghue v Stevenson </w:t>
      </w:r>
      <w:r w:rsidRPr="00BC6445">
        <w:rPr>
          <w:rFonts w:ascii="Arial" w:hAnsi="Arial" w:cs="Arial"/>
          <w:sz w:val="20"/>
          <w:szCs w:val="20"/>
        </w:rPr>
        <w:t>was decided by the House of Lords in 1932.</w:t>
      </w:r>
    </w:p>
    <w:p w14:paraId="3E0D4ADF" w14:textId="77777777" w:rsidR="00957CD4" w:rsidRPr="00BC6445" w:rsidRDefault="00957CD4" w:rsidP="00C85C2A">
      <w:pPr>
        <w:rPr>
          <w:rFonts w:ascii="Arial" w:hAnsi="Arial"/>
          <w:sz w:val="20"/>
          <w:lang w:val="en-GB"/>
        </w:rPr>
      </w:pPr>
      <w:r w:rsidRPr="00BC6445">
        <w:rPr>
          <w:rFonts w:ascii="Arial" w:hAnsi="Arial"/>
          <w:b/>
          <w:sz w:val="20"/>
          <w:lang w:val="en-GB"/>
        </w:rPr>
        <w:t xml:space="preserve">Section reference: </w:t>
      </w:r>
      <w:r w:rsidRPr="00BC6445">
        <w:rPr>
          <w:rFonts w:ascii="Arial" w:hAnsi="Arial"/>
          <w:sz w:val="20"/>
          <w:lang w:val="en-GB"/>
        </w:rPr>
        <w:t>2.2</w:t>
      </w:r>
    </w:p>
    <w:p w14:paraId="1EFE2834" w14:textId="20EB8838" w:rsidR="00957CD4" w:rsidRPr="00BC6445" w:rsidRDefault="00957CD4" w:rsidP="00C85C2A">
      <w:pPr>
        <w:rPr>
          <w:rFonts w:ascii="Arial" w:hAnsi="Arial"/>
          <w:sz w:val="20"/>
          <w:lang w:val="en-GB"/>
        </w:rPr>
      </w:pPr>
    </w:p>
    <w:p w14:paraId="1759088B" w14:textId="341E80F1" w:rsidR="00957CD4" w:rsidRPr="00BC6445" w:rsidRDefault="00957CD4" w:rsidP="00C85C2A">
      <w:pPr>
        <w:rPr>
          <w:rFonts w:ascii="Arial" w:hAnsi="Arial"/>
          <w:sz w:val="20"/>
          <w:lang w:val="en-GB"/>
        </w:rPr>
      </w:pPr>
      <w:r w:rsidRPr="00BC6445">
        <w:rPr>
          <w:rFonts w:ascii="Arial" w:hAnsi="Arial"/>
          <w:b/>
          <w:sz w:val="20"/>
          <w:lang w:val="en-GB"/>
        </w:rPr>
        <w:t>Type: multiple choice question</w:t>
      </w:r>
    </w:p>
    <w:p w14:paraId="4DA97212"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06</w:t>
      </w:r>
    </w:p>
    <w:p w14:paraId="22D8AB7D" w14:textId="5DC43DEE" w:rsidR="00957CD4" w:rsidRPr="00BC6445" w:rsidRDefault="00957CD4" w:rsidP="00C85C2A">
      <w:pPr>
        <w:rPr>
          <w:rFonts w:ascii="Arial" w:hAnsi="Arial" w:cs="Arial"/>
          <w:sz w:val="20"/>
          <w:szCs w:val="20"/>
        </w:rPr>
      </w:pPr>
      <w:r w:rsidRPr="00BC6445">
        <w:rPr>
          <w:rFonts w:ascii="Arial" w:hAnsi="Arial"/>
          <w:b/>
          <w:sz w:val="20"/>
          <w:lang w:val="en-GB"/>
        </w:rPr>
        <w:t xml:space="preserve">06) </w:t>
      </w:r>
      <w:r w:rsidRPr="00BC6445">
        <w:rPr>
          <w:rFonts w:ascii="Arial" w:hAnsi="Arial" w:cs="Arial"/>
          <w:sz w:val="20"/>
          <w:szCs w:val="20"/>
        </w:rPr>
        <w:t>The ‘</w:t>
      </w:r>
      <w:proofErr w:type="spellStart"/>
      <w:r w:rsidRPr="00BC6445">
        <w:rPr>
          <w:rFonts w:ascii="Arial" w:hAnsi="Arial" w:cs="Arial"/>
          <w:sz w:val="20"/>
          <w:szCs w:val="20"/>
        </w:rPr>
        <w:t>neighbour</w:t>
      </w:r>
      <w:proofErr w:type="spellEnd"/>
      <w:r w:rsidRPr="00BC6445">
        <w:rPr>
          <w:rFonts w:ascii="Arial" w:hAnsi="Arial" w:cs="Arial"/>
          <w:sz w:val="20"/>
          <w:szCs w:val="20"/>
        </w:rPr>
        <w:t xml:space="preserve"> principle’ was set down by which law lord?</w:t>
      </w:r>
    </w:p>
    <w:p w14:paraId="5F2735CB" w14:textId="1B784017"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w:t>
      </w:r>
      <w:r w:rsidRPr="00BC6445">
        <w:rPr>
          <w:rFonts w:ascii="Arial" w:hAnsi="Arial" w:cs="Arial"/>
          <w:sz w:val="20"/>
          <w:szCs w:val="20"/>
        </w:rPr>
        <w:t>Lord Macmillan</w:t>
      </w:r>
    </w:p>
    <w:p w14:paraId="7E479C16" w14:textId="23F633F9"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Although both Lord Macmillan and Lord </w:t>
      </w:r>
      <w:proofErr w:type="spellStart"/>
      <w:r w:rsidRPr="00BC6445">
        <w:rPr>
          <w:rFonts w:ascii="Arial" w:hAnsi="Arial" w:cs="Arial"/>
          <w:sz w:val="20"/>
          <w:szCs w:val="20"/>
        </w:rPr>
        <w:t>Buckmaster</w:t>
      </w:r>
      <w:proofErr w:type="spellEnd"/>
      <w:r w:rsidRPr="00BC6445">
        <w:rPr>
          <w:rFonts w:ascii="Arial" w:hAnsi="Arial" w:cs="Arial"/>
          <w:sz w:val="20"/>
          <w:szCs w:val="20"/>
        </w:rPr>
        <w:t xml:space="preserve"> were among the law lords who heard </w:t>
      </w:r>
      <w:r w:rsidRPr="00BC6445">
        <w:rPr>
          <w:rFonts w:ascii="Arial" w:hAnsi="Arial" w:cs="Arial"/>
          <w:b/>
          <w:i/>
          <w:sz w:val="20"/>
          <w:szCs w:val="20"/>
        </w:rPr>
        <w:t>Donoghue v Stevenson</w:t>
      </w:r>
      <w:r w:rsidRPr="00BC6445">
        <w:rPr>
          <w:rFonts w:ascii="Arial" w:hAnsi="Arial" w:cs="Arial"/>
          <w:sz w:val="20"/>
          <w:szCs w:val="20"/>
        </w:rPr>
        <w:t xml:space="preserve">, the </w:t>
      </w:r>
      <w:proofErr w:type="spellStart"/>
      <w:r w:rsidRPr="00BC6445">
        <w:rPr>
          <w:rFonts w:ascii="Arial" w:hAnsi="Arial" w:cs="Arial"/>
          <w:sz w:val="20"/>
          <w:szCs w:val="20"/>
        </w:rPr>
        <w:t>neighbour</w:t>
      </w:r>
      <w:proofErr w:type="spellEnd"/>
      <w:r w:rsidRPr="00BC6445">
        <w:rPr>
          <w:rFonts w:ascii="Arial" w:hAnsi="Arial" w:cs="Arial"/>
          <w:sz w:val="20"/>
          <w:szCs w:val="20"/>
        </w:rPr>
        <w:t xml:space="preserve"> principle was set down by Lord Atkin.</w:t>
      </w:r>
    </w:p>
    <w:p w14:paraId="71DA1C5B"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0A3765F4" w14:textId="71518A18" w:rsidR="00957CD4" w:rsidRPr="00BC6445" w:rsidRDefault="00957CD4" w:rsidP="00C85C2A">
      <w:pPr>
        <w:rPr>
          <w:rFonts w:ascii="Arial" w:hAnsi="Arial" w:cs="Arial"/>
          <w:sz w:val="20"/>
          <w:szCs w:val="20"/>
        </w:rPr>
      </w:pPr>
      <w:r w:rsidRPr="00BC6445">
        <w:rPr>
          <w:rFonts w:ascii="Arial" w:hAnsi="Arial"/>
          <w:sz w:val="20"/>
          <w:lang w:val="en-GB"/>
        </w:rPr>
        <w:t>*</w:t>
      </w:r>
      <w:r w:rsidRPr="00BC6445">
        <w:rPr>
          <w:rFonts w:ascii="Arial" w:hAnsi="Arial"/>
          <w:b/>
          <w:sz w:val="20"/>
          <w:lang w:val="en-GB"/>
        </w:rPr>
        <w:t>b.</w:t>
      </w:r>
      <w:r w:rsidRPr="00BC6445">
        <w:rPr>
          <w:rFonts w:ascii="Arial" w:hAnsi="Arial"/>
          <w:sz w:val="20"/>
          <w:lang w:val="en-GB"/>
        </w:rPr>
        <w:t xml:space="preserve"> </w:t>
      </w:r>
      <w:r w:rsidRPr="00BC6445">
        <w:rPr>
          <w:rFonts w:ascii="Arial" w:hAnsi="Arial" w:cs="Arial"/>
          <w:sz w:val="20"/>
          <w:szCs w:val="20"/>
        </w:rPr>
        <w:t>Lord Atkin</w:t>
      </w:r>
    </w:p>
    <w:p w14:paraId="0A4F083A" w14:textId="7A8E2D45"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Correct. Lord Atkin set down the </w:t>
      </w:r>
      <w:proofErr w:type="spellStart"/>
      <w:r w:rsidRPr="00BC6445">
        <w:rPr>
          <w:rFonts w:ascii="Arial" w:hAnsi="Arial" w:cs="Arial"/>
          <w:sz w:val="20"/>
          <w:szCs w:val="20"/>
        </w:rPr>
        <w:t>neighbour</w:t>
      </w:r>
      <w:proofErr w:type="spellEnd"/>
      <w:r w:rsidRPr="00BC6445">
        <w:rPr>
          <w:rFonts w:ascii="Arial" w:hAnsi="Arial" w:cs="Arial"/>
          <w:sz w:val="20"/>
          <w:szCs w:val="20"/>
        </w:rPr>
        <w:t xml:space="preserve"> principle in</w:t>
      </w:r>
      <w:r w:rsidRPr="00BC6445">
        <w:rPr>
          <w:rFonts w:ascii="Arial" w:hAnsi="Arial" w:cs="Arial"/>
          <w:i/>
          <w:sz w:val="20"/>
          <w:szCs w:val="20"/>
        </w:rPr>
        <w:t xml:space="preserve"> </w:t>
      </w:r>
      <w:r w:rsidRPr="00BC6445">
        <w:rPr>
          <w:rFonts w:ascii="Arial" w:hAnsi="Arial" w:cs="Arial"/>
          <w:b/>
          <w:i/>
          <w:sz w:val="20"/>
          <w:szCs w:val="20"/>
        </w:rPr>
        <w:t xml:space="preserve">Donoghue v Stevenson </w:t>
      </w:r>
      <w:r w:rsidRPr="00BC6445">
        <w:rPr>
          <w:rFonts w:ascii="Arial" w:hAnsi="Arial" w:cs="Arial"/>
          <w:b/>
          <w:sz w:val="20"/>
          <w:szCs w:val="20"/>
        </w:rPr>
        <w:t>[1932]</w:t>
      </w:r>
      <w:r w:rsidRPr="00BC6445">
        <w:rPr>
          <w:rFonts w:ascii="Arial" w:hAnsi="Arial" w:cs="Arial"/>
          <w:sz w:val="20"/>
          <w:szCs w:val="20"/>
        </w:rPr>
        <w:t>.</w:t>
      </w:r>
    </w:p>
    <w:p w14:paraId="7CA17615"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6C600548" w14:textId="0966B935" w:rsidR="00957CD4" w:rsidRPr="00BC6445" w:rsidRDefault="00957CD4" w:rsidP="00C85C2A">
      <w:pPr>
        <w:rPr>
          <w:rFonts w:ascii="Arial" w:hAnsi="Arial" w:cs="Arial"/>
          <w:sz w:val="20"/>
          <w:szCs w:val="20"/>
        </w:rPr>
      </w:pPr>
      <w:r w:rsidRPr="00BC6445">
        <w:rPr>
          <w:rFonts w:ascii="Arial" w:hAnsi="Arial"/>
          <w:b/>
          <w:sz w:val="20"/>
          <w:lang w:val="en-GB"/>
        </w:rPr>
        <w:t>c.</w:t>
      </w:r>
      <w:r w:rsidRPr="00BC6445">
        <w:rPr>
          <w:rFonts w:ascii="Arial" w:hAnsi="Arial"/>
          <w:sz w:val="20"/>
          <w:lang w:val="en-GB"/>
        </w:rPr>
        <w:t xml:space="preserve"> </w:t>
      </w:r>
      <w:r w:rsidRPr="00BC6445">
        <w:rPr>
          <w:rFonts w:ascii="Arial" w:hAnsi="Arial" w:cs="Arial"/>
          <w:sz w:val="20"/>
          <w:szCs w:val="20"/>
        </w:rPr>
        <w:t>Lord Donoghue</w:t>
      </w:r>
    </w:p>
    <w:p w14:paraId="3AB78F12" w14:textId="2E0570DA"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Lord Atkin set down the </w:t>
      </w:r>
      <w:proofErr w:type="spellStart"/>
      <w:r w:rsidRPr="00BC6445">
        <w:rPr>
          <w:rFonts w:ascii="Arial" w:hAnsi="Arial" w:cs="Arial"/>
          <w:sz w:val="20"/>
          <w:szCs w:val="20"/>
        </w:rPr>
        <w:t>neighbour</w:t>
      </w:r>
      <w:proofErr w:type="spellEnd"/>
      <w:r w:rsidRPr="00BC6445">
        <w:rPr>
          <w:rFonts w:ascii="Arial" w:hAnsi="Arial" w:cs="Arial"/>
          <w:sz w:val="20"/>
          <w:szCs w:val="20"/>
        </w:rPr>
        <w:t xml:space="preserve"> principle in</w:t>
      </w:r>
      <w:r w:rsidRPr="00BC6445">
        <w:rPr>
          <w:rFonts w:ascii="Arial" w:hAnsi="Arial" w:cs="Arial"/>
          <w:i/>
          <w:sz w:val="20"/>
          <w:szCs w:val="20"/>
        </w:rPr>
        <w:t xml:space="preserve"> </w:t>
      </w:r>
      <w:r w:rsidRPr="00BC6445">
        <w:rPr>
          <w:rFonts w:ascii="Arial" w:hAnsi="Arial" w:cs="Arial"/>
          <w:b/>
          <w:i/>
          <w:sz w:val="20"/>
          <w:szCs w:val="20"/>
        </w:rPr>
        <w:t xml:space="preserve">Donoghue v Stevenson </w:t>
      </w:r>
      <w:r w:rsidRPr="00BC6445">
        <w:rPr>
          <w:rFonts w:ascii="Arial" w:hAnsi="Arial" w:cs="Arial"/>
          <w:b/>
          <w:sz w:val="20"/>
          <w:szCs w:val="20"/>
        </w:rPr>
        <w:t>[1932]</w:t>
      </w:r>
      <w:r w:rsidRPr="00BC6445">
        <w:rPr>
          <w:rFonts w:ascii="Arial" w:hAnsi="Arial" w:cs="Arial"/>
          <w:sz w:val="20"/>
          <w:szCs w:val="20"/>
        </w:rPr>
        <w:t>.</w:t>
      </w:r>
    </w:p>
    <w:p w14:paraId="41EFB1A5"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6D7E807E" w14:textId="3A5E75DF" w:rsidR="00957CD4" w:rsidRPr="00BC6445" w:rsidRDefault="00957CD4" w:rsidP="00C85C2A">
      <w:pPr>
        <w:rPr>
          <w:rFonts w:ascii="Arial" w:hAnsi="Arial" w:cs="Arial"/>
          <w:sz w:val="20"/>
          <w:szCs w:val="20"/>
        </w:rPr>
      </w:pPr>
      <w:r w:rsidRPr="00BC6445">
        <w:rPr>
          <w:rFonts w:ascii="Arial" w:hAnsi="Arial"/>
          <w:b/>
          <w:sz w:val="20"/>
          <w:lang w:val="en-GB"/>
        </w:rPr>
        <w:t>d.</w:t>
      </w:r>
      <w:r w:rsidRPr="00BC6445">
        <w:rPr>
          <w:rFonts w:ascii="Arial" w:hAnsi="Arial"/>
          <w:sz w:val="20"/>
          <w:lang w:val="en-GB"/>
        </w:rPr>
        <w:t xml:space="preserve"> </w:t>
      </w:r>
      <w:r w:rsidRPr="00BC6445">
        <w:rPr>
          <w:rFonts w:ascii="Arial" w:hAnsi="Arial" w:cs="Arial"/>
          <w:sz w:val="20"/>
          <w:szCs w:val="20"/>
        </w:rPr>
        <w:t xml:space="preserve">Lord </w:t>
      </w:r>
      <w:proofErr w:type="spellStart"/>
      <w:r w:rsidRPr="00BC6445">
        <w:rPr>
          <w:rFonts w:ascii="Arial" w:hAnsi="Arial" w:cs="Arial"/>
          <w:sz w:val="20"/>
          <w:szCs w:val="20"/>
        </w:rPr>
        <w:t>Buckmaster</w:t>
      </w:r>
      <w:proofErr w:type="spellEnd"/>
    </w:p>
    <w:p w14:paraId="291453E4" w14:textId="6F0BB150"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Although both Lord Macmillan and Lord </w:t>
      </w:r>
      <w:proofErr w:type="spellStart"/>
      <w:r w:rsidRPr="00BC6445">
        <w:rPr>
          <w:rFonts w:ascii="Arial" w:hAnsi="Arial" w:cs="Arial"/>
          <w:sz w:val="20"/>
          <w:szCs w:val="20"/>
        </w:rPr>
        <w:t>Buckmaster</w:t>
      </w:r>
      <w:proofErr w:type="spellEnd"/>
      <w:r w:rsidRPr="00BC6445">
        <w:rPr>
          <w:rFonts w:ascii="Arial" w:hAnsi="Arial" w:cs="Arial"/>
          <w:sz w:val="20"/>
          <w:szCs w:val="20"/>
        </w:rPr>
        <w:t xml:space="preserve"> were among the law lords who heard </w:t>
      </w:r>
      <w:r w:rsidRPr="00BC6445">
        <w:rPr>
          <w:rFonts w:ascii="Arial" w:hAnsi="Arial" w:cs="Arial"/>
          <w:b/>
          <w:i/>
          <w:sz w:val="20"/>
          <w:szCs w:val="20"/>
        </w:rPr>
        <w:t>Donoghue v Stevenson</w:t>
      </w:r>
      <w:r w:rsidRPr="00BC6445">
        <w:rPr>
          <w:rFonts w:ascii="Arial" w:hAnsi="Arial" w:cs="Arial"/>
          <w:sz w:val="20"/>
          <w:szCs w:val="20"/>
        </w:rPr>
        <w:t xml:space="preserve">, the </w:t>
      </w:r>
      <w:proofErr w:type="spellStart"/>
      <w:r w:rsidRPr="00BC6445">
        <w:rPr>
          <w:rFonts w:ascii="Arial" w:hAnsi="Arial" w:cs="Arial"/>
          <w:sz w:val="20"/>
          <w:szCs w:val="20"/>
        </w:rPr>
        <w:t>neighbour</w:t>
      </w:r>
      <w:proofErr w:type="spellEnd"/>
      <w:r w:rsidRPr="00BC6445">
        <w:rPr>
          <w:rFonts w:ascii="Arial" w:hAnsi="Arial" w:cs="Arial"/>
          <w:sz w:val="20"/>
          <w:szCs w:val="20"/>
        </w:rPr>
        <w:t xml:space="preserve"> principle was set down by Lord Atkin.</w:t>
      </w:r>
    </w:p>
    <w:p w14:paraId="0BE31DE2"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2.2</w:t>
      </w:r>
    </w:p>
    <w:p w14:paraId="22FE2897" w14:textId="06D5801F" w:rsidR="00957CD4" w:rsidRPr="00BC6445" w:rsidRDefault="00957CD4" w:rsidP="00C85C2A">
      <w:pPr>
        <w:rPr>
          <w:rFonts w:ascii="Arial" w:hAnsi="Arial"/>
          <w:sz w:val="20"/>
          <w:lang w:val="en-GB"/>
        </w:rPr>
      </w:pPr>
    </w:p>
    <w:p w14:paraId="0B67F942" w14:textId="08CA5136" w:rsidR="00957CD4" w:rsidRPr="00BC6445" w:rsidRDefault="00957CD4" w:rsidP="00C85C2A">
      <w:pPr>
        <w:rPr>
          <w:rFonts w:ascii="Arial" w:hAnsi="Arial"/>
          <w:sz w:val="20"/>
          <w:lang w:val="en-GB"/>
        </w:rPr>
      </w:pPr>
      <w:r w:rsidRPr="00BC6445">
        <w:rPr>
          <w:rFonts w:ascii="Arial" w:hAnsi="Arial"/>
          <w:b/>
          <w:sz w:val="20"/>
          <w:lang w:val="en-GB"/>
        </w:rPr>
        <w:t>Type: multiple response question</w:t>
      </w:r>
    </w:p>
    <w:p w14:paraId="2ED208A2"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07</w:t>
      </w:r>
    </w:p>
    <w:p w14:paraId="4276DF87" w14:textId="361EEA19" w:rsidR="00957CD4" w:rsidRPr="00BC6445" w:rsidRDefault="00957CD4" w:rsidP="00C85C2A">
      <w:pPr>
        <w:rPr>
          <w:rFonts w:ascii="Arial" w:hAnsi="Arial"/>
          <w:b/>
          <w:sz w:val="20"/>
          <w:lang w:val="en-GB"/>
        </w:rPr>
      </w:pPr>
      <w:r w:rsidRPr="00BC6445">
        <w:rPr>
          <w:rFonts w:ascii="Arial" w:hAnsi="Arial"/>
          <w:b/>
          <w:sz w:val="20"/>
          <w:lang w:val="en-GB"/>
        </w:rPr>
        <w:t xml:space="preserve">07) </w:t>
      </w:r>
      <w:r w:rsidRPr="00BC6445">
        <w:rPr>
          <w:rFonts w:ascii="Arial" w:hAnsi="Arial" w:cs="Arial"/>
          <w:sz w:val="20"/>
          <w:szCs w:val="20"/>
        </w:rPr>
        <w:t xml:space="preserve">In which of the following scenarios is the primary claim likely to be in the tort of negligence? </w:t>
      </w:r>
      <w:r w:rsidRPr="00BC6445">
        <w:rPr>
          <w:rFonts w:ascii="Arial" w:hAnsi="Arial"/>
          <w:sz w:val="20"/>
          <w:lang w:val="en-GB"/>
        </w:rPr>
        <w:t>Please select all that apply.</w:t>
      </w:r>
    </w:p>
    <w:p w14:paraId="656A1F86" w14:textId="09C4C22E" w:rsidR="00957CD4" w:rsidRPr="00BC6445" w:rsidRDefault="00957CD4" w:rsidP="00C85C2A">
      <w:pPr>
        <w:rPr>
          <w:rFonts w:ascii="Arial" w:hAnsi="Arial" w:cs="Arial"/>
          <w:sz w:val="20"/>
          <w:szCs w:val="20"/>
        </w:rPr>
      </w:pPr>
      <w:r w:rsidRPr="00BC6445">
        <w:rPr>
          <w:rFonts w:ascii="Arial" w:hAnsi="Arial"/>
          <w:b/>
          <w:sz w:val="20"/>
          <w:lang w:val="en-GB"/>
        </w:rPr>
        <w:t xml:space="preserve">Feedback: </w:t>
      </w:r>
      <w:r w:rsidRPr="00BC6445">
        <w:rPr>
          <w:rFonts w:ascii="Arial" w:hAnsi="Arial" w:cs="Arial"/>
          <w:sz w:val="20"/>
          <w:szCs w:val="20"/>
        </w:rPr>
        <w:t xml:space="preserve">The primary claim will be in the tort of negligence in all of the scenarios. All the responses are correct. </w:t>
      </w:r>
      <w:r w:rsidRPr="00BC6445">
        <w:rPr>
          <w:rFonts w:ascii="Arial" w:hAnsi="Arial"/>
          <w:sz w:val="20"/>
          <w:szCs w:val="20"/>
        </w:rPr>
        <w:t>Negligence liability may arise in relation to a range of diverse types of harm or injury –  personal injury (physical and psychiatric), property damage, financial loss – and covers a wide range of activities – driving a car, giving financial advice, running a hospital operating theatre, playing football and so on.</w:t>
      </w:r>
    </w:p>
    <w:p w14:paraId="7E0E77D0" w14:textId="77777777" w:rsidR="00957CD4" w:rsidRPr="00BC6445" w:rsidRDefault="00957CD4" w:rsidP="00C85C2A">
      <w:pPr>
        <w:rPr>
          <w:rFonts w:ascii="Arial" w:hAnsi="Arial"/>
          <w:b/>
          <w:sz w:val="20"/>
          <w:lang w:val="en-GB"/>
        </w:rPr>
      </w:pPr>
      <w:r w:rsidRPr="00BC6445">
        <w:rPr>
          <w:rFonts w:ascii="Arial" w:hAnsi="Arial"/>
          <w:b/>
          <w:sz w:val="20"/>
          <w:lang w:val="en-GB"/>
        </w:rPr>
        <w:t>Section reference:</w:t>
      </w:r>
      <w:r w:rsidRPr="00BC6445">
        <w:rPr>
          <w:rFonts w:ascii="Arial" w:hAnsi="Arial"/>
          <w:sz w:val="20"/>
          <w:lang w:val="en-GB"/>
        </w:rPr>
        <w:t xml:space="preserve"> 2.1</w:t>
      </w:r>
    </w:p>
    <w:p w14:paraId="299AF5F0" w14:textId="1BB6E2DF"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w:t>
      </w:r>
      <w:r w:rsidRPr="00BC6445">
        <w:rPr>
          <w:rFonts w:ascii="Arial" w:hAnsi="Arial" w:cs="Arial"/>
          <w:sz w:val="20"/>
          <w:szCs w:val="20"/>
        </w:rPr>
        <w:t>A professional footballer is seriously injured by a high tackle and is unable to play football again.</w:t>
      </w:r>
    </w:p>
    <w:p w14:paraId="73D5A8AE" w14:textId="3D355200"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b.</w:t>
      </w:r>
      <w:r w:rsidRPr="00BC6445">
        <w:rPr>
          <w:rFonts w:ascii="Arial" w:hAnsi="Arial"/>
          <w:sz w:val="20"/>
          <w:lang w:val="en-GB"/>
        </w:rPr>
        <w:t xml:space="preserve"> </w:t>
      </w:r>
      <w:r w:rsidRPr="00BC6445">
        <w:rPr>
          <w:rFonts w:ascii="Arial" w:hAnsi="Arial" w:cs="Arial"/>
          <w:sz w:val="20"/>
          <w:szCs w:val="20"/>
        </w:rPr>
        <w:t>A junior doctor mistakenly injects their patient with the wrong antibiotic causing permanent paralysis.</w:t>
      </w:r>
    </w:p>
    <w:p w14:paraId="1837669C" w14:textId="6EE8BE22"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c.</w:t>
      </w:r>
      <w:r w:rsidRPr="00BC6445">
        <w:rPr>
          <w:rFonts w:ascii="Arial" w:hAnsi="Arial"/>
          <w:sz w:val="20"/>
          <w:lang w:val="en-GB"/>
        </w:rPr>
        <w:t xml:space="preserve"> </w:t>
      </w:r>
      <w:r w:rsidRPr="00BC6445">
        <w:rPr>
          <w:rFonts w:ascii="Arial" w:hAnsi="Arial" w:cs="Arial"/>
          <w:sz w:val="20"/>
          <w:szCs w:val="20"/>
        </w:rPr>
        <w:t>An elderly woman breaks her hip after tripping over a raised paving slab on the pavement outside her local shop.</w:t>
      </w:r>
    </w:p>
    <w:p w14:paraId="2B3BB276" w14:textId="47AD48EC"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d.</w:t>
      </w:r>
      <w:r w:rsidRPr="00BC6445">
        <w:rPr>
          <w:rFonts w:ascii="Arial" w:hAnsi="Arial"/>
          <w:sz w:val="20"/>
          <w:lang w:val="en-GB"/>
        </w:rPr>
        <w:t xml:space="preserve"> </w:t>
      </w:r>
      <w:r w:rsidRPr="00BC6445">
        <w:rPr>
          <w:rFonts w:ascii="Arial" w:hAnsi="Arial" w:cs="Arial"/>
          <w:sz w:val="20"/>
          <w:szCs w:val="20"/>
        </w:rPr>
        <w:t>A first-time buyer buys a house on the basis of an inaccurate survey. As a result the property is worth significantly less than they paid for it.</w:t>
      </w:r>
    </w:p>
    <w:p w14:paraId="2C3A3568" w14:textId="47A0EC72" w:rsidR="00957CD4" w:rsidRPr="00BC6445" w:rsidRDefault="00957CD4" w:rsidP="00C85C2A">
      <w:pPr>
        <w:rPr>
          <w:rFonts w:ascii="Arial" w:hAnsi="Arial"/>
          <w:sz w:val="20"/>
          <w:lang w:val="en-GB"/>
        </w:rPr>
      </w:pPr>
    </w:p>
    <w:p w14:paraId="501F96C5" w14:textId="672A575F" w:rsidR="00957CD4" w:rsidRPr="00BC6445" w:rsidRDefault="00957CD4" w:rsidP="00C85C2A">
      <w:pPr>
        <w:rPr>
          <w:rFonts w:ascii="Arial" w:hAnsi="Arial"/>
          <w:sz w:val="20"/>
          <w:lang w:val="en-GB"/>
        </w:rPr>
      </w:pPr>
      <w:r w:rsidRPr="00BC6445">
        <w:rPr>
          <w:rFonts w:ascii="Arial" w:hAnsi="Arial"/>
          <w:b/>
          <w:sz w:val="20"/>
          <w:lang w:val="en-GB"/>
        </w:rPr>
        <w:t>Type: true-false</w:t>
      </w:r>
    </w:p>
    <w:p w14:paraId="66E7E20D"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08</w:t>
      </w:r>
    </w:p>
    <w:p w14:paraId="3DFCD0C0" w14:textId="4BC6D8D0" w:rsidR="00957CD4" w:rsidRPr="00BC6445" w:rsidRDefault="00957CD4" w:rsidP="00C85C2A">
      <w:pPr>
        <w:rPr>
          <w:rFonts w:ascii="Arial" w:hAnsi="Arial" w:cs="Arial"/>
          <w:sz w:val="20"/>
          <w:szCs w:val="20"/>
        </w:rPr>
      </w:pPr>
      <w:r w:rsidRPr="00BC6445">
        <w:rPr>
          <w:rFonts w:ascii="Arial" w:hAnsi="Arial"/>
          <w:b/>
          <w:sz w:val="20"/>
          <w:lang w:val="en-GB"/>
        </w:rPr>
        <w:t xml:space="preserve">08) </w:t>
      </w:r>
      <w:r w:rsidRPr="00BC6445">
        <w:rPr>
          <w:rFonts w:ascii="Arial" w:hAnsi="Arial" w:cs="Arial"/>
          <w:sz w:val="20"/>
          <w:szCs w:val="20"/>
        </w:rPr>
        <w:t>A successful claim in the tort of negligence arises when the defendant causes foreseeable damage to the claimant’s person, property, or interests and fails to take reasonable care not to injure the claimant.</w:t>
      </w:r>
    </w:p>
    <w:p w14:paraId="526AB0FA" w14:textId="1014E6F1"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True</w:t>
      </w:r>
    </w:p>
    <w:p w14:paraId="6214502B" w14:textId="07672261"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In order to establish a successful claim in the tort of negligence, there also needs to be a legal duty owed by the defendant to the claimant to take care. There will only be a successful claim in the tort of negligence, if the defendant is in breach of this duty, that is they have fallen below the acceptable standard of care and this breach has caused damage to the claimant – usually their person or property – which is not considered by the courts to be too remote. </w:t>
      </w:r>
    </w:p>
    <w:p w14:paraId="3151FD41"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2.5</w:t>
      </w:r>
    </w:p>
    <w:p w14:paraId="768F3D0D" w14:textId="6317A070" w:rsidR="00957CD4" w:rsidRPr="00BC6445" w:rsidRDefault="00957CD4" w:rsidP="00C85C2A">
      <w:pPr>
        <w:rPr>
          <w:rFonts w:ascii="Arial" w:hAnsi="Arial"/>
          <w:sz w:val="20"/>
          <w:lang w:val="en-GB"/>
        </w:rPr>
      </w:pPr>
      <w:r w:rsidRPr="00BC6445">
        <w:rPr>
          <w:rFonts w:ascii="Arial" w:hAnsi="Arial"/>
          <w:sz w:val="20"/>
          <w:lang w:val="en-GB"/>
        </w:rPr>
        <w:t>*</w:t>
      </w:r>
      <w:r w:rsidRPr="00BC6445">
        <w:rPr>
          <w:rFonts w:ascii="Arial" w:hAnsi="Arial"/>
          <w:b/>
          <w:sz w:val="20"/>
          <w:lang w:val="en-GB"/>
        </w:rPr>
        <w:t>b.</w:t>
      </w:r>
      <w:r w:rsidRPr="00BC6445">
        <w:rPr>
          <w:rFonts w:ascii="Arial" w:hAnsi="Arial"/>
          <w:sz w:val="20"/>
          <w:lang w:val="en-GB"/>
        </w:rPr>
        <w:t xml:space="preserve"> False</w:t>
      </w:r>
    </w:p>
    <w:p w14:paraId="702612A2" w14:textId="5173175E"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Correct. In order to establish a successful claim in the tort of negligence, there also needs to be a legal duty owed by the defendant to the claimant to take care. There will only be a successful claim in the tort of negligence, if the defendant is in breach of this duty, that is they have fallen below the acceptable standard of care and this breach has caused damage to the claimant – usually their person or property – which is not considered by the courts to be too remote.</w:t>
      </w:r>
    </w:p>
    <w:p w14:paraId="7FA5B4E1"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2.5</w:t>
      </w:r>
    </w:p>
    <w:p w14:paraId="13190876" w14:textId="039B9A53" w:rsidR="00957CD4" w:rsidRPr="00BC6445" w:rsidRDefault="00957CD4" w:rsidP="00C85C2A">
      <w:pPr>
        <w:rPr>
          <w:rFonts w:ascii="Arial" w:hAnsi="Arial"/>
          <w:sz w:val="20"/>
          <w:lang w:val="en-GB"/>
        </w:rPr>
      </w:pPr>
    </w:p>
    <w:p w14:paraId="42665FEC" w14:textId="2DD76D79" w:rsidR="00957CD4" w:rsidRPr="00BC6445" w:rsidRDefault="00957CD4" w:rsidP="00C85C2A">
      <w:pPr>
        <w:rPr>
          <w:rFonts w:ascii="Arial" w:hAnsi="Arial"/>
          <w:sz w:val="20"/>
          <w:lang w:val="en-GB"/>
        </w:rPr>
      </w:pPr>
      <w:r w:rsidRPr="00BC6445">
        <w:rPr>
          <w:rFonts w:ascii="Arial" w:hAnsi="Arial"/>
          <w:b/>
          <w:sz w:val="20"/>
          <w:lang w:val="en-GB"/>
        </w:rPr>
        <w:t>Type: multiple choice question</w:t>
      </w:r>
    </w:p>
    <w:p w14:paraId="6C7ABE64"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09</w:t>
      </w:r>
    </w:p>
    <w:p w14:paraId="3D4F4BB5" w14:textId="79EAED81" w:rsidR="00957CD4" w:rsidRPr="00BC6445" w:rsidRDefault="00957CD4" w:rsidP="00C85C2A">
      <w:pPr>
        <w:rPr>
          <w:rFonts w:ascii="Arial" w:hAnsi="Arial"/>
          <w:b/>
          <w:sz w:val="20"/>
          <w:lang w:val="en-GB"/>
        </w:rPr>
      </w:pPr>
      <w:r w:rsidRPr="00BC6445">
        <w:rPr>
          <w:rFonts w:ascii="Arial" w:hAnsi="Arial"/>
          <w:b/>
          <w:sz w:val="20"/>
          <w:lang w:val="en-GB"/>
        </w:rPr>
        <w:t xml:space="preserve">09) </w:t>
      </w:r>
      <w:r w:rsidRPr="00BC6445">
        <w:rPr>
          <w:rFonts w:ascii="Arial" w:hAnsi="Arial" w:cs="Arial"/>
          <w:sz w:val="20"/>
          <w:szCs w:val="20"/>
        </w:rPr>
        <w:t>A claimant will be jointly and severally liable when…</w:t>
      </w:r>
    </w:p>
    <w:p w14:paraId="7E944786" w14:textId="7B976FF3" w:rsidR="00957CD4" w:rsidRPr="00BC6445" w:rsidRDefault="00957CD4" w:rsidP="00C85C2A">
      <w:pPr>
        <w:rPr>
          <w:rFonts w:ascii="Arial" w:hAnsi="Arial"/>
          <w:sz w:val="20"/>
          <w:lang w:val="en-GB"/>
        </w:rPr>
      </w:pPr>
      <w:proofErr w:type="gramStart"/>
      <w:r w:rsidRPr="00BC6445">
        <w:rPr>
          <w:rFonts w:ascii="Arial" w:hAnsi="Arial"/>
          <w:b/>
          <w:sz w:val="20"/>
          <w:lang w:val="en-GB"/>
        </w:rPr>
        <w:t>a</w:t>
      </w:r>
      <w:proofErr w:type="gramEnd"/>
      <w:r w:rsidRPr="00BC6445">
        <w:rPr>
          <w:rFonts w:ascii="Arial" w:hAnsi="Arial"/>
          <w:b/>
          <w:sz w:val="20"/>
          <w:lang w:val="en-GB"/>
        </w:rPr>
        <w:t>.</w:t>
      </w:r>
      <w:r w:rsidRPr="00BC6445">
        <w:rPr>
          <w:rFonts w:ascii="Arial" w:hAnsi="Arial"/>
          <w:sz w:val="20"/>
          <w:lang w:val="en-GB"/>
        </w:rPr>
        <w:t xml:space="preserve"> </w:t>
      </w:r>
      <w:r w:rsidRPr="00BC6445">
        <w:rPr>
          <w:rFonts w:ascii="Arial" w:hAnsi="Arial" w:cs="Arial"/>
          <w:sz w:val="20"/>
          <w:szCs w:val="20"/>
        </w:rPr>
        <w:t>the negligent actions of two or more parties acting  independently causes the same damage.</w:t>
      </w:r>
    </w:p>
    <w:p w14:paraId="1988CFDA" w14:textId="07E1BCAE"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Incorrect. This is a description of several concurrent </w:t>
      </w:r>
      <w:proofErr w:type="gramStart"/>
      <w:r w:rsidRPr="00BC6445">
        <w:rPr>
          <w:rFonts w:ascii="Arial" w:hAnsi="Arial" w:cs="Arial"/>
          <w:sz w:val="20"/>
          <w:szCs w:val="20"/>
        </w:rPr>
        <w:t>liability</w:t>
      </w:r>
      <w:proofErr w:type="gramEnd"/>
      <w:r w:rsidRPr="00BC6445">
        <w:rPr>
          <w:rFonts w:ascii="Arial" w:hAnsi="Arial" w:cs="Arial"/>
          <w:sz w:val="20"/>
          <w:szCs w:val="20"/>
        </w:rPr>
        <w:t>. A claimant will be jointly and severally liable when two or more parties act together in pursuit of a common design or plan and cause the same damage.</w:t>
      </w:r>
    </w:p>
    <w:p w14:paraId="3CE7738E"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2.5</w:t>
      </w:r>
    </w:p>
    <w:p w14:paraId="213F4B72" w14:textId="7A20A3FF" w:rsidR="00957CD4" w:rsidRPr="00BC6445" w:rsidRDefault="00957CD4" w:rsidP="00C85C2A">
      <w:pPr>
        <w:rPr>
          <w:rFonts w:ascii="Arial" w:hAnsi="Arial" w:cs="Arial"/>
          <w:sz w:val="20"/>
          <w:szCs w:val="20"/>
        </w:rPr>
      </w:pPr>
      <w:r w:rsidRPr="00BC6445">
        <w:rPr>
          <w:rFonts w:ascii="Arial" w:hAnsi="Arial"/>
          <w:sz w:val="20"/>
          <w:lang w:val="en-GB"/>
        </w:rPr>
        <w:t>*</w:t>
      </w:r>
      <w:r w:rsidRPr="00BC6445">
        <w:rPr>
          <w:rFonts w:ascii="Arial" w:hAnsi="Arial"/>
          <w:b/>
          <w:sz w:val="20"/>
          <w:lang w:val="en-GB"/>
        </w:rPr>
        <w:t>b.</w:t>
      </w:r>
      <w:r w:rsidRPr="00BC6445">
        <w:rPr>
          <w:rFonts w:ascii="Arial" w:hAnsi="Arial"/>
          <w:sz w:val="20"/>
          <w:lang w:val="en-GB"/>
        </w:rPr>
        <w:t xml:space="preserve"> </w:t>
      </w:r>
      <w:r w:rsidRPr="00BC6445">
        <w:rPr>
          <w:rFonts w:ascii="Arial" w:hAnsi="Arial" w:cs="Arial"/>
          <w:sz w:val="20"/>
          <w:szCs w:val="20"/>
        </w:rPr>
        <w:t>two or more parties act together in pursuit of a common design or plan and cause the same damage.</w:t>
      </w:r>
    </w:p>
    <w:p w14:paraId="2D90272C" w14:textId="57058BF6"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Correct. A claimant will be jointly and severally liable when two or more parties act together in pursuit of a common design or plan and cause the same damage.</w:t>
      </w:r>
    </w:p>
    <w:p w14:paraId="7B11EF85"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2.5</w:t>
      </w:r>
    </w:p>
    <w:p w14:paraId="1D6A09B2" w14:textId="2DCE795B" w:rsidR="00957CD4" w:rsidRPr="00BC6445" w:rsidRDefault="00957CD4" w:rsidP="00C85C2A">
      <w:pPr>
        <w:rPr>
          <w:rFonts w:ascii="Arial" w:hAnsi="Arial" w:cs="Arial"/>
          <w:sz w:val="20"/>
          <w:szCs w:val="20"/>
        </w:rPr>
      </w:pPr>
      <w:r w:rsidRPr="00BC6445">
        <w:rPr>
          <w:rFonts w:ascii="Arial" w:hAnsi="Arial"/>
          <w:b/>
          <w:sz w:val="20"/>
          <w:lang w:val="en-GB"/>
        </w:rPr>
        <w:t>c.</w:t>
      </w:r>
      <w:r w:rsidRPr="00BC6445">
        <w:rPr>
          <w:rFonts w:ascii="Arial" w:hAnsi="Arial"/>
          <w:sz w:val="20"/>
          <w:lang w:val="en-GB"/>
        </w:rPr>
        <w:t xml:space="preserve"> </w:t>
      </w:r>
      <w:r w:rsidRPr="00BC6445">
        <w:rPr>
          <w:rFonts w:ascii="Arial" w:hAnsi="Arial" w:cs="Arial"/>
          <w:sz w:val="20"/>
          <w:szCs w:val="20"/>
        </w:rPr>
        <w:t>when the negligent action of a single claimant causes damage to two or more people.</w:t>
      </w:r>
    </w:p>
    <w:p w14:paraId="0802B421" w14:textId="7D3BE171" w:rsidR="00957CD4" w:rsidRPr="00BC6445" w:rsidRDefault="00957CD4" w:rsidP="00C85C2A">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Incorrect. A claimant will be jointly and severally liable when two or more parties act together in pursuit of a common design or plan and cause the same damage.</w:t>
      </w:r>
    </w:p>
    <w:p w14:paraId="6AC50DE2"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2.5</w:t>
      </w:r>
    </w:p>
    <w:p w14:paraId="24B28446" w14:textId="037C0B84" w:rsidR="00957CD4" w:rsidRPr="00BC6445" w:rsidRDefault="00957CD4" w:rsidP="00C85C2A">
      <w:pPr>
        <w:rPr>
          <w:rFonts w:ascii="Arial" w:hAnsi="Arial"/>
          <w:sz w:val="20"/>
          <w:lang w:val="en-GB"/>
        </w:rPr>
      </w:pPr>
    </w:p>
    <w:p w14:paraId="6F893DEE" w14:textId="38E5BF3B" w:rsidR="00957CD4" w:rsidRPr="00BC6445" w:rsidRDefault="00957CD4" w:rsidP="00C85C2A">
      <w:pPr>
        <w:rPr>
          <w:rFonts w:ascii="Arial" w:hAnsi="Arial"/>
          <w:sz w:val="20"/>
          <w:lang w:val="en-GB"/>
        </w:rPr>
      </w:pPr>
      <w:r w:rsidRPr="00BC6445">
        <w:rPr>
          <w:rFonts w:ascii="Arial" w:hAnsi="Arial"/>
          <w:b/>
          <w:sz w:val="20"/>
          <w:lang w:val="en-GB"/>
        </w:rPr>
        <w:t>Type: fill-in-blank</w:t>
      </w:r>
    </w:p>
    <w:p w14:paraId="7F19BEC1" w14:textId="77777777" w:rsidR="00957CD4" w:rsidRPr="00BC6445" w:rsidRDefault="00957CD4" w:rsidP="00C85C2A">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02 - Question 10</w:t>
      </w:r>
    </w:p>
    <w:p w14:paraId="4178D7EE" w14:textId="41466393" w:rsidR="00957CD4" w:rsidRPr="00BC6445" w:rsidRDefault="00957CD4" w:rsidP="00C85C2A">
      <w:pPr>
        <w:rPr>
          <w:rFonts w:ascii="Arial" w:hAnsi="Arial" w:cs="Arial"/>
          <w:sz w:val="20"/>
          <w:szCs w:val="20"/>
        </w:rPr>
      </w:pPr>
      <w:r w:rsidRPr="00BC6445">
        <w:rPr>
          <w:rFonts w:ascii="Arial" w:hAnsi="Arial"/>
          <w:b/>
          <w:sz w:val="20"/>
          <w:lang w:val="en-GB"/>
        </w:rPr>
        <w:t xml:space="preserve">10) </w:t>
      </w:r>
      <w:r w:rsidRPr="00BC6445">
        <w:rPr>
          <w:rFonts w:ascii="Arial" w:hAnsi="Arial" w:cs="Arial"/>
          <w:sz w:val="20"/>
          <w:szCs w:val="20"/>
        </w:rPr>
        <w:t>Duty + breach + (causation – remoteness) - ________ = the tort of negligence.</w:t>
      </w:r>
    </w:p>
    <w:p w14:paraId="5400A538" w14:textId="4B3871E6" w:rsidR="00957CD4" w:rsidRPr="00BC6445" w:rsidRDefault="00957CD4" w:rsidP="00C85C2A">
      <w:pPr>
        <w:rPr>
          <w:rFonts w:ascii="Arial" w:hAnsi="Arial"/>
          <w:sz w:val="20"/>
          <w:lang w:val="en-GB"/>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 xml:space="preserve">Duty + breach + (causation – remoteness) – </w:t>
      </w:r>
      <w:proofErr w:type="spellStart"/>
      <w:r w:rsidRPr="00BC6445">
        <w:rPr>
          <w:rFonts w:ascii="Arial" w:hAnsi="Arial" w:cs="Arial"/>
          <w:sz w:val="20"/>
          <w:szCs w:val="20"/>
        </w:rPr>
        <w:t>defences</w:t>
      </w:r>
      <w:proofErr w:type="spellEnd"/>
      <w:r w:rsidRPr="00BC6445">
        <w:rPr>
          <w:rFonts w:ascii="Arial" w:hAnsi="Arial" w:cs="Arial"/>
          <w:sz w:val="20"/>
          <w:szCs w:val="20"/>
        </w:rPr>
        <w:t xml:space="preserve"> = the tort of negligence. This is the basic formula for all claims in the tort of negligence.</w:t>
      </w:r>
    </w:p>
    <w:p w14:paraId="37CF346E" w14:textId="77777777" w:rsidR="00957CD4" w:rsidRPr="00BC6445" w:rsidRDefault="00957CD4" w:rsidP="00C85C2A">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2.5</w:t>
      </w:r>
    </w:p>
    <w:p w14:paraId="63A8401F" w14:textId="0EDC3F69" w:rsidR="00957CD4" w:rsidRPr="00BC6445" w:rsidRDefault="00957CD4" w:rsidP="00C85C2A">
      <w:pPr>
        <w:rPr>
          <w:rFonts w:ascii="Arial" w:hAnsi="Arial"/>
          <w:sz w:val="20"/>
          <w:lang w:val="en-GB"/>
        </w:rPr>
      </w:pPr>
      <w:r w:rsidRPr="00BC6445">
        <w:rPr>
          <w:rFonts w:ascii="Arial" w:hAnsi="Arial"/>
          <w:b/>
          <w:sz w:val="20"/>
          <w:lang w:val="en-GB"/>
        </w:rPr>
        <w:t>a.</w:t>
      </w:r>
      <w:r w:rsidRPr="00BC6445">
        <w:rPr>
          <w:rFonts w:ascii="Arial" w:hAnsi="Arial"/>
          <w:sz w:val="20"/>
          <w:lang w:val="en-GB"/>
        </w:rPr>
        <w:t xml:space="preserve"> defences</w:t>
      </w:r>
    </w:p>
    <w:p w14:paraId="41D0A0E6" w14:textId="76ECE6B1" w:rsidR="00957CD4" w:rsidRPr="00BC6445" w:rsidRDefault="00957CD4" w:rsidP="00C85C2A">
      <w:pPr>
        <w:rPr>
          <w:rFonts w:ascii="Arial" w:hAnsi="Arial"/>
          <w:sz w:val="20"/>
          <w:lang w:val="en-GB"/>
        </w:rPr>
      </w:pPr>
      <w:r w:rsidRPr="00BC6445">
        <w:rPr>
          <w:rFonts w:ascii="Arial" w:hAnsi="Arial"/>
          <w:b/>
          <w:sz w:val="20"/>
          <w:lang w:val="en-GB"/>
        </w:rPr>
        <w:t xml:space="preserve">b.  </w:t>
      </w:r>
      <w:proofErr w:type="spellStart"/>
      <w:r w:rsidRPr="00BC6445">
        <w:rPr>
          <w:rFonts w:ascii="Arial" w:hAnsi="Arial"/>
          <w:sz w:val="20"/>
          <w:lang w:val="en-GB"/>
        </w:rPr>
        <w:t>defenses</w:t>
      </w:r>
      <w:proofErr w:type="spellEnd"/>
    </w:p>
    <w:p w14:paraId="7BB972F7" w14:textId="48D2849E" w:rsidR="00957CD4" w:rsidRPr="00BC6445" w:rsidRDefault="00957CD4" w:rsidP="00C85C2A">
      <w:pPr>
        <w:rPr>
          <w:rFonts w:ascii="Arial" w:hAnsi="Arial"/>
          <w:sz w:val="20"/>
          <w:lang w:val="en-GB"/>
        </w:rPr>
      </w:pPr>
    </w:p>
    <w:p w14:paraId="147C5EA7" w14:textId="27AB38F8" w:rsidR="00957CD4" w:rsidRPr="00BC6445" w:rsidRDefault="00957CD4" w:rsidP="001F00C5">
      <w:pPr>
        <w:rPr>
          <w:rFonts w:ascii="Arial" w:hAnsi="Arial"/>
          <w:sz w:val="20"/>
          <w:lang w:val="en-GB"/>
        </w:rPr>
      </w:pPr>
      <w:r w:rsidRPr="00BC6445">
        <w:rPr>
          <w:rFonts w:ascii="Arial" w:hAnsi="Arial"/>
          <w:b/>
          <w:sz w:val="20"/>
          <w:lang w:val="en-GB"/>
        </w:rPr>
        <w:t>Type: matching question</w:t>
      </w:r>
    </w:p>
    <w:p w14:paraId="0247D5F5" w14:textId="77777777" w:rsidR="00957CD4" w:rsidRPr="00BC6445" w:rsidRDefault="00957CD4" w:rsidP="001F00C5">
      <w:pPr>
        <w:rPr>
          <w:rFonts w:ascii="Arial" w:hAnsi="Arial"/>
          <w:sz w:val="20"/>
          <w:lang w:val="en-GB"/>
        </w:rPr>
      </w:pPr>
      <w:r w:rsidRPr="00BC6445">
        <w:rPr>
          <w:rFonts w:ascii="Arial" w:hAnsi="Arial"/>
          <w:b/>
          <w:sz w:val="20"/>
          <w:lang w:val="en-GB"/>
        </w:rPr>
        <w:t>Title:</w:t>
      </w:r>
      <w:r w:rsidRPr="00BC6445">
        <w:rPr>
          <w:rFonts w:ascii="Arial" w:hAnsi="Arial"/>
          <w:sz w:val="20"/>
          <w:lang w:val="en-GB"/>
        </w:rPr>
        <w:t xml:space="preserve"> Chapter 10 - Question 11</w:t>
      </w:r>
    </w:p>
    <w:p w14:paraId="0FF199CD" w14:textId="36D64777" w:rsidR="00957CD4" w:rsidRPr="00BC6445" w:rsidRDefault="00957CD4" w:rsidP="001F00C5">
      <w:pPr>
        <w:rPr>
          <w:rFonts w:ascii="Arial" w:hAnsi="Arial"/>
          <w:b/>
          <w:sz w:val="20"/>
          <w:lang w:val="en-GB"/>
        </w:rPr>
      </w:pPr>
      <w:r w:rsidRPr="00BC6445">
        <w:rPr>
          <w:rFonts w:ascii="Arial" w:hAnsi="Arial"/>
          <w:b/>
          <w:sz w:val="20"/>
          <w:lang w:val="en-GB"/>
        </w:rPr>
        <w:t xml:space="preserve">01) </w:t>
      </w:r>
      <w:r w:rsidRPr="00BC6445">
        <w:rPr>
          <w:rFonts w:ascii="Arial" w:hAnsi="Arial" w:cs="Arial"/>
          <w:sz w:val="20"/>
          <w:szCs w:val="20"/>
        </w:rPr>
        <w:t>Complete the case name for each of the following cases.</w:t>
      </w:r>
    </w:p>
    <w:p w14:paraId="42A5FFC0" w14:textId="0C1E4E36" w:rsidR="00957CD4" w:rsidRPr="00BC6445" w:rsidRDefault="00957CD4" w:rsidP="001F00C5">
      <w:pPr>
        <w:rPr>
          <w:rFonts w:ascii="Arial" w:hAnsi="Arial" w:cs="Arial"/>
          <w:sz w:val="20"/>
          <w:szCs w:val="20"/>
        </w:rPr>
      </w:pPr>
      <w:r w:rsidRPr="00BC6445">
        <w:rPr>
          <w:rFonts w:ascii="Arial" w:hAnsi="Arial"/>
          <w:b/>
          <w:sz w:val="20"/>
          <w:lang w:val="en-GB"/>
        </w:rPr>
        <w:t>Feedback:</w:t>
      </w:r>
      <w:r w:rsidRPr="00BC6445">
        <w:rPr>
          <w:rFonts w:ascii="Arial" w:hAnsi="Arial"/>
          <w:sz w:val="20"/>
          <w:lang w:val="en-GB"/>
        </w:rPr>
        <w:t xml:space="preserve"> </w:t>
      </w:r>
      <w:r w:rsidRPr="00BC6445">
        <w:rPr>
          <w:rFonts w:ascii="Arial" w:hAnsi="Arial" w:cs="Arial"/>
          <w:sz w:val="20"/>
          <w:szCs w:val="20"/>
        </w:rPr>
        <w:t>These key negligence cases were decided by the UK Supreme Court in 2015. You will come across them at a number of points in the introductory chapters as well as in later chapters which consider particular aspects of the tort of negligence in more detail.</w:t>
      </w:r>
    </w:p>
    <w:p w14:paraId="75513E04" w14:textId="77777777" w:rsidR="00957CD4" w:rsidRPr="00BC6445" w:rsidRDefault="00957CD4" w:rsidP="00AA3913">
      <w:pPr>
        <w:rPr>
          <w:rFonts w:ascii="Arial" w:hAnsi="Arial"/>
          <w:sz w:val="20"/>
          <w:lang w:val="en-GB"/>
        </w:rPr>
      </w:pPr>
      <w:r w:rsidRPr="00BC6445">
        <w:rPr>
          <w:rFonts w:ascii="Arial" w:hAnsi="Arial"/>
          <w:b/>
          <w:sz w:val="20"/>
          <w:lang w:val="en-GB"/>
        </w:rPr>
        <w:t>Section reference:</w:t>
      </w:r>
      <w:r w:rsidRPr="00BC6445">
        <w:rPr>
          <w:rFonts w:ascii="Arial" w:hAnsi="Arial"/>
          <w:sz w:val="20"/>
          <w:lang w:val="en-GB"/>
        </w:rPr>
        <w:t xml:space="preserve"> 10.4.3; 8.3.2.1; 6.3.1</w:t>
      </w:r>
    </w:p>
    <w:p w14:paraId="39C9855C" w14:textId="370BC094" w:rsidR="00957CD4" w:rsidRPr="007A4D93" w:rsidRDefault="00957CD4" w:rsidP="001F00C5">
      <w:pPr>
        <w:rPr>
          <w:rFonts w:ascii="Arial" w:hAnsi="Arial"/>
          <w:b/>
          <w:i/>
          <w:sz w:val="20"/>
          <w:lang w:val="en-GB"/>
        </w:rPr>
      </w:pPr>
      <w:r w:rsidRPr="00BC6445">
        <w:rPr>
          <w:rFonts w:ascii="Arial" w:hAnsi="Arial"/>
          <w:b/>
          <w:sz w:val="20"/>
          <w:lang w:val="en-GB"/>
        </w:rPr>
        <w:t>a.</w:t>
      </w:r>
      <w:r w:rsidRPr="00BC6445">
        <w:rPr>
          <w:rFonts w:ascii="Arial" w:hAnsi="Arial"/>
          <w:sz w:val="20"/>
          <w:lang w:val="en-GB"/>
        </w:rPr>
        <w:t xml:space="preserve"> </w:t>
      </w:r>
      <w:r w:rsidRPr="00BC6445">
        <w:rPr>
          <w:rFonts w:ascii="Arial" w:hAnsi="Arial" w:cs="Arial"/>
          <w:b/>
          <w:i/>
          <w:sz w:val="20"/>
          <w:szCs w:val="20"/>
        </w:rPr>
        <w:t xml:space="preserve">Jackson </w:t>
      </w:r>
      <w:proofErr w:type="gramStart"/>
      <w:r w:rsidRPr="007A4D93">
        <w:rPr>
          <w:rFonts w:ascii="Arial" w:hAnsi="Arial" w:cs="Arial"/>
          <w:b/>
          <w:i/>
          <w:sz w:val="20"/>
          <w:szCs w:val="20"/>
        </w:rPr>
        <w:t xml:space="preserve">v </w:t>
      </w:r>
      <w:r w:rsidRPr="007A4D93">
        <w:rPr>
          <w:rFonts w:ascii="Arial" w:hAnsi="Arial"/>
          <w:b/>
          <w:i/>
          <w:sz w:val="20"/>
          <w:lang w:val="en-GB"/>
        </w:rPr>
        <w:t xml:space="preserve"> =</w:t>
      </w:r>
      <w:proofErr w:type="gramEnd"/>
      <w:r w:rsidRPr="007A4D93">
        <w:rPr>
          <w:rFonts w:ascii="Arial" w:hAnsi="Arial"/>
          <w:b/>
          <w:i/>
          <w:sz w:val="20"/>
          <w:lang w:val="en-GB"/>
        </w:rPr>
        <w:t xml:space="preserve"> </w:t>
      </w:r>
      <w:r w:rsidRPr="007A4D93">
        <w:rPr>
          <w:rFonts w:ascii="Arial" w:hAnsi="Arial" w:cs="Arial"/>
          <w:b/>
          <w:i/>
          <w:sz w:val="20"/>
          <w:szCs w:val="20"/>
        </w:rPr>
        <w:t>Murray</w:t>
      </w:r>
    </w:p>
    <w:p w14:paraId="62C622E1" w14:textId="4D43699A" w:rsidR="00957CD4" w:rsidRPr="007A4D93" w:rsidRDefault="00957CD4" w:rsidP="001F00C5">
      <w:pPr>
        <w:rPr>
          <w:rFonts w:ascii="Arial" w:hAnsi="Arial"/>
          <w:b/>
          <w:i/>
          <w:sz w:val="20"/>
          <w:lang w:val="en-GB"/>
        </w:rPr>
      </w:pPr>
      <w:r w:rsidRPr="007A4D93">
        <w:rPr>
          <w:rFonts w:ascii="Arial" w:hAnsi="Arial"/>
          <w:b/>
          <w:sz w:val="20"/>
          <w:lang w:val="en-GB"/>
        </w:rPr>
        <w:t xml:space="preserve">b. </w:t>
      </w:r>
      <w:r w:rsidRPr="007A4D93">
        <w:rPr>
          <w:rFonts w:ascii="Arial" w:hAnsi="Arial" w:cs="Arial"/>
          <w:b/>
          <w:i/>
          <w:sz w:val="20"/>
          <w:szCs w:val="20"/>
        </w:rPr>
        <w:t>Montgomery</w:t>
      </w:r>
      <w:r w:rsidRPr="007A4D93">
        <w:rPr>
          <w:rFonts w:ascii="Arial" w:hAnsi="Arial" w:cs="Arial"/>
          <w:b/>
          <w:sz w:val="20"/>
          <w:szCs w:val="20"/>
        </w:rPr>
        <w:t xml:space="preserve"> v</w:t>
      </w:r>
      <w:r w:rsidRPr="007A4D93">
        <w:rPr>
          <w:rFonts w:ascii="Arial" w:hAnsi="Arial"/>
          <w:b/>
          <w:sz w:val="20"/>
          <w:lang w:val="en-GB"/>
        </w:rPr>
        <w:t xml:space="preserve"> = </w:t>
      </w:r>
      <w:proofErr w:type="spellStart"/>
      <w:r w:rsidRPr="007A4D93">
        <w:rPr>
          <w:rFonts w:ascii="Arial" w:hAnsi="Arial" w:cs="Arial"/>
          <w:b/>
          <w:i/>
          <w:sz w:val="20"/>
          <w:szCs w:val="20"/>
        </w:rPr>
        <w:t>Lanarkshire</w:t>
      </w:r>
      <w:proofErr w:type="spellEnd"/>
      <w:r w:rsidRPr="007A4D93">
        <w:rPr>
          <w:rFonts w:ascii="Arial" w:hAnsi="Arial" w:cs="Arial"/>
          <w:b/>
          <w:i/>
          <w:sz w:val="20"/>
          <w:szCs w:val="20"/>
        </w:rPr>
        <w:t xml:space="preserve"> Health Board</w:t>
      </w:r>
    </w:p>
    <w:p w14:paraId="7D0278BB" w14:textId="14791C6F" w:rsidR="00957CD4" w:rsidRPr="00BC6445" w:rsidRDefault="00957CD4" w:rsidP="001F00C5">
      <w:pPr>
        <w:rPr>
          <w:rFonts w:ascii="Arial" w:hAnsi="Arial"/>
          <w:b/>
          <w:i/>
          <w:sz w:val="20"/>
          <w:lang w:val="en-GB"/>
        </w:rPr>
      </w:pPr>
      <w:r w:rsidRPr="007A4D93">
        <w:rPr>
          <w:rFonts w:ascii="Arial" w:hAnsi="Arial"/>
          <w:b/>
          <w:sz w:val="20"/>
          <w:lang w:val="en-GB"/>
        </w:rPr>
        <w:t xml:space="preserve">c. </w:t>
      </w:r>
      <w:r w:rsidRPr="007A4D93">
        <w:rPr>
          <w:rFonts w:ascii="Arial" w:hAnsi="Arial" w:cs="Arial"/>
          <w:b/>
          <w:i/>
          <w:sz w:val="20"/>
          <w:szCs w:val="20"/>
        </w:rPr>
        <w:t xml:space="preserve">Michael v </w:t>
      </w:r>
      <w:proofErr w:type="gramStart"/>
      <w:r w:rsidRPr="007A4D93">
        <w:rPr>
          <w:rFonts w:ascii="Arial" w:hAnsi="Arial" w:cs="Arial"/>
          <w:b/>
          <w:i/>
          <w:sz w:val="20"/>
          <w:szCs w:val="20"/>
        </w:rPr>
        <w:t>=  Chief</w:t>
      </w:r>
      <w:proofErr w:type="gramEnd"/>
      <w:r w:rsidRPr="007A4D93">
        <w:rPr>
          <w:rFonts w:ascii="Arial" w:hAnsi="Arial" w:cs="Arial"/>
          <w:b/>
          <w:i/>
          <w:sz w:val="20"/>
          <w:szCs w:val="20"/>
        </w:rPr>
        <w:t xml:space="preserve"> Constable of So</w:t>
      </w:r>
      <w:bookmarkStart w:id="0" w:name="_GoBack"/>
      <w:bookmarkEnd w:id="0"/>
      <w:r w:rsidRPr="007A4D93">
        <w:rPr>
          <w:rFonts w:ascii="Arial" w:hAnsi="Arial" w:cs="Arial"/>
          <w:b/>
          <w:i/>
          <w:sz w:val="20"/>
          <w:szCs w:val="20"/>
        </w:rPr>
        <w:t>uth Wales Police</w:t>
      </w:r>
    </w:p>
    <w:sectPr w:rsidR="00957CD4" w:rsidRPr="00BC6445" w:rsidSect="00C85C2A">
      <w:headerReference w:type="default" r:id="rId8"/>
      <w:footerReference w:type="even" r:id="rId9"/>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35551" w14:textId="77777777" w:rsidR="00707FC3" w:rsidRDefault="00707FC3">
      <w:r>
        <w:separator/>
      </w:r>
    </w:p>
  </w:endnote>
  <w:endnote w:type="continuationSeparator" w:id="0">
    <w:p w14:paraId="5C84209D" w14:textId="77777777" w:rsidR="00707FC3" w:rsidRDefault="0070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UP Swift">
    <w:altName w:val="Anno 2 Com"/>
    <w:panose1 w:val="02000503080000020004"/>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7F17" w14:textId="77777777" w:rsidR="00C85C2A" w:rsidRDefault="00707FC3" w:rsidP="00C85C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9A5A" w14:textId="77777777" w:rsidR="00C85C2A" w:rsidRDefault="007A4D93" w:rsidP="00C85C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4215A" w14:textId="2E21568A" w:rsidR="00E4793E" w:rsidRDefault="00E4793E" w:rsidP="00E4793E">
    <w:pPr>
      <w:pStyle w:val="Footer"/>
      <w:pBdr>
        <w:top w:val="single" w:sz="4" w:space="1" w:color="808080"/>
      </w:pBdr>
      <w:jc w:val="right"/>
      <w:rPr>
        <w:rFonts w:ascii="OUP Swift" w:hAnsi="OUP Swift"/>
        <w:color w:val="808080"/>
      </w:rPr>
    </w:pPr>
    <w:r w:rsidRPr="000F71C4">
      <w:rPr>
        <w:rFonts w:ascii="OUP Swift" w:hAnsi="OUP Swift"/>
        <w:noProof/>
        <w:color w:val="808080"/>
        <w:lang w:val="en-GB" w:eastAsia="en-GB"/>
      </w:rPr>
      <w:drawing>
        <wp:inline distT="0" distB="0" distL="0" distR="0" wp14:anchorId="5F45129A" wp14:editId="77E78ABD">
          <wp:extent cx="1216025" cy="4660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466090"/>
                  </a:xfrm>
                  <a:prstGeom prst="rect">
                    <a:avLst/>
                  </a:prstGeom>
                  <a:noFill/>
                  <a:ln>
                    <a:noFill/>
                  </a:ln>
                </pic:spPr>
              </pic:pic>
            </a:graphicData>
          </a:graphic>
        </wp:inline>
      </w:drawing>
    </w:r>
  </w:p>
  <w:p w14:paraId="28805B8E" w14:textId="5A701403" w:rsidR="00E4793E" w:rsidRDefault="00D32525" w:rsidP="00E4793E">
    <w:pPr>
      <w:pStyle w:val="Footer"/>
    </w:pPr>
    <w:r>
      <w:rPr>
        <w:rFonts w:ascii="Arial" w:hAnsi="Arial"/>
        <w:color w:val="808080"/>
      </w:rPr>
      <w:t>© Oxford University Press, 2019</w:t>
    </w:r>
    <w:r w:rsidR="00E4793E">
      <w:rP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D6F0" w14:textId="77777777" w:rsidR="00707FC3" w:rsidRDefault="00707FC3">
      <w:r>
        <w:separator/>
      </w:r>
    </w:p>
  </w:footnote>
  <w:footnote w:type="continuationSeparator" w:id="0">
    <w:p w14:paraId="2A572A40" w14:textId="77777777" w:rsidR="00707FC3" w:rsidRDefault="0070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810E2" w14:textId="77777777" w:rsidR="00235D1F" w:rsidRPr="006E6518" w:rsidRDefault="00235D1F" w:rsidP="00235D1F">
    <w:pPr>
      <w:pStyle w:val="Header"/>
      <w:pBdr>
        <w:bottom w:val="single" w:sz="4" w:space="1" w:color="808080"/>
      </w:pBdr>
      <w:jc w:val="center"/>
      <w:rPr>
        <w:rFonts w:ascii="Arial" w:hAnsi="Arial"/>
        <w:color w:val="808080"/>
      </w:rPr>
    </w:pPr>
    <w:r>
      <w:rPr>
        <w:rFonts w:ascii="Arial" w:hAnsi="Arial"/>
        <w:color w:val="808080"/>
      </w:rPr>
      <w:t xml:space="preserve">Horsey &amp; </w:t>
    </w:r>
    <w:proofErr w:type="spellStart"/>
    <w:r>
      <w:rPr>
        <w:rFonts w:ascii="Arial" w:hAnsi="Arial"/>
        <w:color w:val="808080"/>
      </w:rPr>
      <w:t>Rackley</w:t>
    </w:r>
    <w:proofErr w:type="spellEnd"/>
    <w:r>
      <w:rPr>
        <w:rFonts w:ascii="Arial" w:hAnsi="Arial"/>
        <w:color w:val="808080"/>
      </w:rPr>
      <w:t xml:space="preserve">: </w:t>
    </w:r>
    <w:r>
      <w:rPr>
        <w:rFonts w:ascii="Arial" w:hAnsi="Arial"/>
        <w:i/>
        <w:color w:val="808080"/>
      </w:rPr>
      <w:t>Tort Law</w:t>
    </w:r>
    <w:r>
      <w:rPr>
        <w:rFonts w:ascii="Arial" w:hAnsi="Arial"/>
        <w:color w:val="808080"/>
      </w:rPr>
      <w:t xml:space="preserve"> 6e</w:t>
    </w:r>
  </w:p>
  <w:p w14:paraId="15BC5212" w14:textId="77777777" w:rsidR="00235D1F" w:rsidRPr="00225BD0" w:rsidRDefault="00235D1F" w:rsidP="00235D1F">
    <w:pPr>
      <w:pStyle w:val="Header"/>
      <w:pBdr>
        <w:bottom w:val="single" w:sz="4" w:space="1" w:color="808080"/>
      </w:pBdr>
      <w:jc w:val="center"/>
      <w:rPr>
        <w:rFonts w:ascii="Arial" w:hAnsi="Arial"/>
        <w:color w:val="808080"/>
      </w:rPr>
    </w:pPr>
    <w:r>
      <w:rPr>
        <w:rFonts w:ascii="Arial" w:hAnsi="Arial"/>
        <w:color w:val="808080"/>
      </w:rPr>
      <w:t>Test bank</w:t>
    </w:r>
  </w:p>
  <w:p w14:paraId="74A53734" w14:textId="77777777" w:rsidR="00235D1F" w:rsidRDefault="00235D1F" w:rsidP="00235D1F">
    <w:pPr>
      <w:pStyle w:val="Header"/>
    </w:pPr>
  </w:p>
  <w:p w14:paraId="0143CEB7" w14:textId="77777777" w:rsidR="00235D1F" w:rsidRPr="00BD7D57" w:rsidRDefault="00235D1F" w:rsidP="00235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33D0"/>
    <w:multiLevelType w:val="hybridMultilevel"/>
    <w:tmpl w:val="9DBA73BC"/>
    <w:lvl w:ilvl="0" w:tplc="89C85684">
      <w:start w:val="1"/>
      <w:numFmt w:val="lowerLetter"/>
      <w:lvlText w:val="%1."/>
      <w:lvlJc w:val="left"/>
      <w:pPr>
        <w:tabs>
          <w:tab w:val="num" w:pos="720"/>
        </w:tabs>
        <w:ind w:left="720" w:hanging="360"/>
      </w:pPr>
      <w:rPr>
        <w:rFonts w:cs="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26"/>
    <w:rsid w:val="000D2069"/>
    <w:rsid w:val="00235D1F"/>
    <w:rsid w:val="00257225"/>
    <w:rsid w:val="003E1C50"/>
    <w:rsid w:val="00707FC3"/>
    <w:rsid w:val="007A4D93"/>
    <w:rsid w:val="007E2E26"/>
    <w:rsid w:val="00957CD4"/>
    <w:rsid w:val="009E1505"/>
    <w:rsid w:val="00AA3913"/>
    <w:rsid w:val="00BC6445"/>
    <w:rsid w:val="00C03D1E"/>
    <w:rsid w:val="00C723F3"/>
    <w:rsid w:val="00CE7200"/>
    <w:rsid w:val="00D32525"/>
    <w:rsid w:val="00E4793E"/>
    <w:rsid w:val="00F03B89"/>
    <w:rsid w:val="00F24DB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C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A"/>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905"/>
    <w:pPr>
      <w:tabs>
        <w:tab w:val="center" w:pos="4153"/>
        <w:tab w:val="right" w:pos="8306"/>
      </w:tabs>
    </w:pPr>
  </w:style>
  <w:style w:type="paragraph" w:styleId="Footer">
    <w:name w:val="footer"/>
    <w:basedOn w:val="Normal"/>
    <w:link w:val="FooterChar"/>
    <w:uiPriority w:val="99"/>
    <w:rsid w:val="00C20905"/>
    <w:pPr>
      <w:tabs>
        <w:tab w:val="center" w:pos="4153"/>
        <w:tab w:val="right" w:pos="8306"/>
      </w:tabs>
    </w:pPr>
  </w:style>
  <w:style w:type="character" w:styleId="PageNumber">
    <w:name w:val="page number"/>
    <w:basedOn w:val="DefaultParagraphFont"/>
    <w:rsid w:val="00C20905"/>
  </w:style>
  <w:style w:type="table" w:styleId="TableGrid">
    <w:name w:val="Table Grid"/>
    <w:basedOn w:val="TableNormal"/>
    <w:rsid w:val="001253E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14265"/>
    <w:rPr>
      <w:rFonts w:ascii="Times" w:eastAsia="Times" w:hAnsi="Times"/>
      <w:sz w:val="22"/>
      <w:szCs w:val="20"/>
      <w:lang w:val="en-GB" w:eastAsia="en-US"/>
    </w:rPr>
  </w:style>
  <w:style w:type="character" w:styleId="CommentReference">
    <w:name w:val="annotation reference"/>
    <w:semiHidden/>
    <w:rsid w:val="0075309D"/>
    <w:rPr>
      <w:sz w:val="16"/>
      <w:szCs w:val="16"/>
    </w:rPr>
  </w:style>
  <w:style w:type="paragraph" w:styleId="CommentText">
    <w:name w:val="annotation text"/>
    <w:basedOn w:val="Normal"/>
    <w:semiHidden/>
    <w:rsid w:val="0075309D"/>
    <w:rPr>
      <w:sz w:val="20"/>
      <w:szCs w:val="20"/>
    </w:rPr>
  </w:style>
  <w:style w:type="paragraph" w:styleId="CommentSubject">
    <w:name w:val="annotation subject"/>
    <w:basedOn w:val="CommentText"/>
    <w:next w:val="CommentText"/>
    <w:semiHidden/>
    <w:rsid w:val="0075309D"/>
    <w:rPr>
      <w:b/>
      <w:bCs/>
    </w:rPr>
  </w:style>
  <w:style w:type="paragraph" w:styleId="BalloonText">
    <w:name w:val="Balloon Text"/>
    <w:basedOn w:val="Normal"/>
    <w:semiHidden/>
    <w:rsid w:val="0075309D"/>
    <w:rPr>
      <w:rFonts w:ascii="Tahoma" w:hAnsi="Tahoma" w:cs="Tahoma"/>
      <w:sz w:val="16"/>
      <w:szCs w:val="16"/>
    </w:rPr>
  </w:style>
  <w:style w:type="character" w:customStyle="1" w:styleId="HeaderChar">
    <w:name w:val="Header Char"/>
    <w:basedOn w:val="DefaultParagraphFont"/>
    <w:link w:val="Header"/>
    <w:uiPriority w:val="99"/>
    <w:rsid w:val="00235D1F"/>
    <w:rPr>
      <w:rFonts w:eastAsia="SimSun"/>
      <w:sz w:val="24"/>
      <w:szCs w:val="24"/>
      <w:lang w:val="en-US" w:eastAsia="zh-CN"/>
    </w:rPr>
  </w:style>
  <w:style w:type="character" w:customStyle="1" w:styleId="FooterChar">
    <w:name w:val="Footer Char"/>
    <w:basedOn w:val="DefaultParagraphFont"/>
    <w:link w:val="Footer"/>
    <w:uiPriority w:val="99"/>
    <w:rsid w:val="00E4793E"/>
    <w:rPr>
      <w:rFonts w:eastAsia="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A"/>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905"/>
    <w:pPr>
      <w:tabs>
        <w:tab w:val="center" w:pos="4153"/>
        <w:tab w:val="right" w:pos="8306"/>
      </w:tabs>
    </w:pPr>
  </w:style>
  <w:style w:type="paragraph" w:styleId="Footer">
    <w:name w:val="footer"/>
    <w:basedOn w:val="Normal"/>
    <w:link w:val="FooterChar"/>
    <w:uiPriority w:val="99"/>
    <w:rsid w:val="00C20905"/>
    <w:pPr>
      <w:tabs>
        <w:tab w:val="center" w:pos="4153"/>
        <w:tab w:val="right" w:pos="8306"/>
      </w:tabs>
    </w:pPr>
  </w:style>
  <w:style w:type="character" w:styleId="PageNumber">
    <w:name w:val="page number"/>
    <w:basedOn w:val="DefaultParagraphFont"/>
    <w:rsid w:val="00C20905"/>
  </w:style>
  <w:style w:type="table" w:styleId="TableGrid">
    <w:name w:val="Table Grid"/>
    <w:basedOn w:val="TableNormal"/>
    <w:rsid w:val="001253E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14265"/>
    <w:rPr>
      <w:rFonts w:ascii="Times" w:eastAsia="Times" w:hAnsi="Times"/>
      <w:sz w:val="22"/>
      <w:szCs w:val="20"/>
      <w:lang w:val="en-GB" w:eastAsia="en-US"/>
    </w:rPr>
  </w:style>
  <w:style w:type="character" w:styleId="CommentReference">
    <w:name w:val="annotation reference"/>
    <w:semiHidden/>
    <w:rsid w:val="0075309D"/>
    <w:rPr>
      <w:sz w:val="16"/>
      <w:szCs w:val="16"/>
    </w:rPr>
  </w:style>
  <w:style w:type="paragraph" w:styleId="CommentText">
    <w:name w:val="annotation text"/>
    <w:basedOn w:val="Normal"/>
    <w:semiHidden/>
    <w:rsid w:val="0075309D"/>
    <w:rPr>
      <w:sz w:val="20"/>
      <w:szCs w:val="20"/>
    </w:rPr>
  </w:style>
  <w:style w:type="paragraph" w:styleId="CommentSubject">
    <w:name w:val="annotation subject"/>
    <w:basedOn w:val="CommentText"/>
    <w:next w:val="CommentText"/>
    <w:semiHidden/>
    <w:rsid w:val="0075309D"/>
    <w:rPr>
      <w:b/>
      <w:bCs/>
    </w:rPr>
  </w:style>
  <w:style w:type="paragraph" w:styleId="BalloonText">
    <w:name w:val="Balloon Text"/>
    <w:basedOn w:val="Normal"/>
    <w:semiHidden/>
    <w:rsid w:val="0075309D"/>
    <w:rPr>
      <w:rFonts w:ascii="Tahoma" w:hAnsi="Tahoma" w:cs="Tahoma"/>
      <w:sz w:val="16"/>
      <w:szCs w:val="16"/>
    </w:rPr>
  </w:style>
  <w:style w:type="character" w:customStyle="1" w:styleId="HeaderChar">
    <w:name w:val="Header Char"/>
    <w:basedOn w:val="DefaultParagraphFont"/>
    <w:link w:val="Header"/>
    <w:uiPriority w:val="99"/>
    <w:rsid w:val="00235D1F"/>
    <w:rPr>
      <w:rFonts w:eastAsia="SimSun"/>
      <w:sz w:val="24"/>
      <w:szCs w:val="24"/>
      <w:lang w:val="en-US" w:eastAsia="zh-CN"/>
    </w:rPr>
  </w:style>
  <w:style w:type="character" w:customStyle="1" w:styleId="FooterChar">
    <w:name w:val="Footer Char"/>
    <w:basedOn w:val="DefaultParagraphFont"/>
    <w:link w:val="Footer"/>
    <w:uiPriority w:val="99"/>
    <w:rsid w:val="00E4793E"/>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multiple choice</vt:lpstr>
    </vt:vector>
  </TitlesOfParts>
  <Company>University of Durham</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multiple choice</dc:title>
  <dc:creator>Erika Rackley</dc:creator>
  <cp:lastModifiedBy>STEPHENSON, Sarah</cp:lastModifiedBy>
  <cp:revision>15</cp:revision>
  <dcterms:created xsi:type="dcterms:W3CDTF">2015-06-21T15:40:00Z</dcterms:created>
  <dcterms:modified xsi:type="dcterms:W3CDTF">2019-08-19T09:42:00Z</dcterms:modified>
</cp:coreProperties>
</file>