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 demand curve is a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plots the quantity of an item that someone plans to buy, at each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plots the quantity of an item that someone plans to buy, at one single price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plots the quantity of an item that a seller plans to sell, at each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plots the market price of a product at different points in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Quantity demanded is on the horizontal axis when you plot a demand curve and shows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a good that a person is willing to buy at each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a good that a person actually buys at the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a good that a seller is willing to sell at a particular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where opportunity cost is equal to the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Leonard's Demand for Pecan Pie) Look at Leonard's weekly demand curve for slices of pie. How many slices of pie is Leonard willing to buy at $3 per slice?</w:t>
            </w:r>
          </w:p>
          <w:p>
            <w:pPr>
              <w:pStyle w:val="p"/>
              <w:bidi w:val="0"/>
              <w:spacing w:before="0" w:beforeAutospacing="0" w:after="0" w:afterAutospacing="0"/>
              <w:jc w:val="left"/>
            </w:pPr>
            <w:r>
              <w:rPr>
                <w:position w:val="-20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20.5pt;width:295.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slices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Leonard's Demand for Pecan Pie) Look at Leonard's weekly demand curve for slices of pie. How many slices of pie is Leonard willing to buy at $2 per slice?</w:t>
            </w:r>
          </w:p>
          <w:p>
            <w:pPr>
              <w:pStyle w:val="p"/>
              <w:bidi w:val="0"/>
              <w:spacing w:before="0" w:beforeAutospacing="0" w:after="0" w:afterAutospacing="0"/>
              <w:jc w:val="left"/>
            </w:pPr>
            <w:r>
              <w:rPr>
                <w:position w:val="-209"/>
              </w:rPr>
              <w:pict>
                <v:shape id="_x0000_i1027" type="#_x0000_t75" style="height:220.5pt;width:295.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slices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Mia's Demand Curve for Ice Cream) The accompanying graph shows Mia's demand curve for ice cream, how many cones would Mia be willing to buy at $5 per cone?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4"/>
                <w:sz w:val="24"/>
                <w:szCs w:val="24"/>
                <w:bdr w:val="nil"/>
                <w:rtl w:val="0"/>
              </w:rPr>
              <w:pict>
                <v:shape id="_x0000_i1028" type="#_x0000_t75" style="height:236.25pt;width:291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cones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cones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cones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Mia's Demand Curve for Ice Cream) Look at Mia's demand curve for ice cream, how many cones is Mia willing to buy at $4 per cone?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224"/>
                <w:sz w:val="24"/>
                <w:szCs w:val="24"/>
                <w:bdr w:val="nil"/>
                <w:rtl w:val="0"/>
              </w:rPr>
              <w:pict>
                <v:shape id="_x0000_i1029" type="#_x0000_t75" style="height:236.25pt;width:291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cones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cones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cones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cones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does the demand curve slope downwards?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slopes downward due to the positive relationship between price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slopes downward due to buyers perceiving fall in price as a fall in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slopes downward due to the law of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slopes downward due to stores lowering the prices on their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downward-sloping demand curve implies: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inverse relationship between price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positive relationship between price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relationship between price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buyers are willing to buy less when prices are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demand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positive relationship between price and quantity supplied.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inverse relationship between price and quantity supplied.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inverse relationship between price and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positive relationship between price and quantity demanded.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scenarios does not illustrate the law of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Kit-Kats are cheaper, Mary opts to buy more Kit-Kats.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Darren buys two pairs of jeans when they are $40 each, but only one pair when it is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Layla buys less tea when the price of tea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Freya buys more doughnuts when the price of doughnuts is higher.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scenarios illustrates the law of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Francis does not care about the price of coffee at the coffee shop – he must buy two cappuccinos every day, regardless of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company finds that the more expensive a particular brand of a designer handbag, the more that consumers are willing to purchase the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likes to drink spring water. At $2 he buys four bottles of water, and at $1.50 he still buys four bottles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Kathleen eats more steak when the price is low, and less when the price is high.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plotting a demand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demanded is on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is on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supplied is on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demanded is on the horizontal axis.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plotting a demand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demanded is on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is on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is on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supplied is on the vertical axis.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rational buyer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keep buying a product until marginal benefit equals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 a product until the marginal benefit of consuming the product is less than the price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 the product only when the marginal benefit of consuming the product is twice as much as the price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consider costs versus benefits when purchasing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Rational Rule for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compares the total benefit of all units to the total price of all units purchased.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compares the benefit of buying an additional unit of the item to the cost of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applies to buyers who are buying necessities as opposed to luxury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compares the cost of production of an item to the price of the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scenarios depicts a rational buyer?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Mary values a bag of salad at $2, but she buys the bag of salad even when the price is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walks into a grocery store and purchases monthly groceries without paying attention to the prices of groceries.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Darwin buys a can of shoe polish at $4.50 when his marginal benefit from it is $3.75.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Damien chooses to buy a sandwich for $5 when the marginal benefit of the sandwich to him is $7.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curve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is a curve that shows the maximum willingness to pay for a product.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is a curve that shows the marginal benefit gained from a product.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is a curve that shows the production cost of a product.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is a curve that shows the relationship between the price of a product and a consumer's willingness to buy at each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(iii) and (iv) are all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be considered in a cost-benefit analysis to decide if a person should cycle to work or ride the subway?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The air pollution that the cyclist has to breathe.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The cost of subway tickets.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The time it takes to cycle to work versus the time it takes to ride the subway to work.</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The cost per gallon of gasoline.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and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Diminishing marginal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when buying an additional item yields a larger marginal benefit than the previous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when consumers do not follow the rational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not important in determining a consumer's purchase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when buying an additional item yields a smaller marginal benefit than the previous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Diminishing marginal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affect a buyer's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be observed in the upward slope of the supply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be observed in the downward slope of the 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means that consumers are willing to pay more for additional units of an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On a hot sweltering day, you feel thirsty and buy an ice-cold soft drink, which you gulp down. Whether you buy the second drink or not, will depend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you feel about soft drinks.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amount of soft drinks that you have consumed that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the soft drink.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benefit from the second soft drink and if it will outweigh the price of the soft drink.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table shows the monthly individual demand schedules of four students for soda. What is the total monthly market demand for soda at $2 per can?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92"/>
                <w:sz w:val="24"/>
                <w:szCs w:val="24"/>
                <w:bdr w:val="nil"/>
                <w:rtl w:val="0"/>
              </w:rPr>
              <w:pict>
                <v:shape id="_x0000_i1030" type="#_x0000_t75" style="height:104.25pt;width:339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table contains the monthly demand for soda cans for four students. If these four students make up the entire market, what is the total monthly market demand for soda at $1.50 per can?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92"/>
                <w:sz w:val="24"/>
                <w:szCs w:val="24"/>
                <w:bdr w:val="nil"/>
                <w:rtl w:val="0"/>
              </w:rPr>
              <w:pict>
                <v:shape id="_x0000_i1031" type="#_x0000_t75" style="height:104.25pt;width:339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table shows the monthly individual demand schedules of four students for soda. What is the change in the total market demand for soda when the price changes from $1.50 per can to $2 per can?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92"/>
                <w:sz w:val="24"/>
                <w:szCs w:val="24"/>
                <w:bdr w:val="nil"/>
                <w:rtl w:val="0"/>
              </w:rPr>
              <w:pict>
                <v:shape id="_x0000_i1032" type="#_x0000_t75" style="height:104.25pt;width:339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falls by 23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rises by 26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falls by 18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rises by 23 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table contains the monthly demand for soda cans for four students. If these four students make up the entire market, what is the change in the total monthly market demand for soda when the price changes from $3 per can to $2.50 per can?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92"/>
                <w:sz w:val="24"/>
                <w:szCs w:val="24"/>
                <w:bdr w:val="nil"/>
                <w:rtl w:val="0"/>
              </w:rPr>
              <w:pict>
                <v:shape id="_x0000_i1033" type="#_x0000_t75" style="height:104.25pt;width:339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rises by 23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falls by 26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rises by 36 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falls by 33 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As part of a market research project, you survey six random people to see how much gas per week they would buy at various prices. The data you collect is in the accompanying table. What is the total demand for gasoline at $2.50 per gallon in your survey?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of Gallons of Gas Demanded Per Week</w:t>
            </w:r>
          </w:p>
          <w:tbl>
            <w:tblPr>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3636"/>
              <w:gridCol w:w="871"/>
              <w:gridCol w:w="673"/>
              <w:gridCol w:w="619"/>
              <w:gridCol w:w="997"/>
              <w:gridCol w:w="745"/>
              <w:gridCol w:w="1068"/>
            </w:tblGrid>
            <w:tr>
              <w:tblPrEx>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per gallon of gasoline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Marty</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Zain</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Mikael</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Zoya</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Amirah</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gallons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As part of a market research project, you survey six random people to see how much gas per week they would buy at various prices. The data you collect is in the accompanying table. What is the total demand in your survey for gas at $1.50 per gallon?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of Gallons of Gas Demanded Per Week</w:t>
            </w:r>
          </w:p>
          <w:tbl>
            <w:tblPr>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3636"/>
              <w:gridCol w:w="871"/>
              <w:gridCol w:w="673"/>
              <w:gridCol w:w="619"/>
              <w:gridCol w:w="997"/>
              <w:gridCol w:w="745"/>
              <w:gridCol w:w="1068"/>
            </w:tblGrid>
            <w:tr>
              <w:tblPrEx>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per gallon of gasoline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Marty</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Zain</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Mikael</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Zoya</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Amirah</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gallons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a market research project, you survey six random people to see how much gas per week they would buy at various prices. The data you collect is in the accompanying table. What is the change in the total demand for gasoline in your survey when the price changes from $2 per gallon to $2.50 per gallon?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of Gallons of Gas Demanded Per Week</w:t>
            </w:r>
          </w:p>
          <w:tbl>
            <w:tblPr>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3602"/>
              <w:gridCol w:w="863"/>
              <w:gridCol w:w="667"/>
              <w:gridCol w:w="614"/>
              <w:gridCol w:w="987"/>
              <w:gridCol w:w="818"/>
              <w:gridCol w:w="1058"/>
            </w:tblGrid>
            <w:tr>
              <w:tblPrEx>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per gallon of gasoline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Marty</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Zain</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Mikael</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Zoya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Amirah</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rises by 11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falls by 14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rises by 16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falls by 13 gallons.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As part of a market research project, you survey six random people to see how much gas per week they would buy at various prices. The data you collect is in the accompanying table. What is the change in the total demand for gasoline in your survey when the price changes from $3 per gallon to $2.50 per gallon?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of Gallons of Gas Demanded Per Week</w:t>
            </w:r>
          </w:p>
          <w:tbl>
            <w:tblPr>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3636"/>
              <w:gridCol w:w="871"/>
              <w:gridCol w:w="673"/>
              <w:gridCol w:w="619"/>
              <w:gridCol w:w="997"/>
              <w:gridCol w:w="745"/>
              <w:gridCol w:w="1068"/>
            </w:tblGrid>
            <w:tr>
              <w:tblPrEx>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per gallon of gasoline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Marty</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Zain</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Mikael</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Zoya</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Amirah</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falls by 11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falls by 14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rises by 16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quantity demanded in the market rises by 13 gallons.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process that a manager can follow to estimate the total market demand for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one consumer, and then scale up that individual demand to represent the entire market, and plot the market 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some representative customers, find the total quantity demanded for those customers, scale up the quantities demanded to represent the entire market, and then plot the market 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representative customers, find the total quantity demanded for those representative customers, and then plot the market 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Generate random data to represent market quantity demanded for the entire market, and then plot the market demand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Refer to the graph to answer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34"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movement from point M to point N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Refer to the graph to answer the question. In the graph, the movement from point P to point Q represents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35" type="#_x0000_t75" style="height:203.25pt;width:228.7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quantity demanded.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Refer to the graph to answer the question. In the graph, the movement from point M to point Q represents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36" type="#_x0000_t75" style="height:203.25pt;width:228.7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Refer to the graph to answer the question. In the graph, the movement from point W to point P represents: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37" type="#_x0000_t75" style="height:203.25pt;width:228.7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quantity demanded.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Refer to the graph to answer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38"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movement from point S to point T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price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demand for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demand for the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Refer to the graph to answer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39"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movement from point V to point W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price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demand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demand for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Refer to the graph to answer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40"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an item will cause the movement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W to point 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Q to point 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N to point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Q to point 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Refer to the graph to answer the question.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41"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price of an item will cause the movement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P to point 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N to point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T to point 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point Q to point 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interdependence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same as 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refers to the marginal benefit of consuming additional units of an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implies that buyers decisions are affected by many factors other than the price of an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implies that consumers depend on each other to make purchase decisions in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Holly's Demand for Toffee) Holly doesn't care about the price of toffee. She loves toffee so much that she must eat toffee every day. Which of the following figures most likely depicts Holly's demand for toffee?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29"/>
              </w:rPr>
              <w:pict>
                <v:shape id="_x0000_i1042" type="#_x0000_t75" style="height:141pt;width:450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Damien's Demand for Kit-Kats) Regardless of the price of Kit-Kats, Damien has decided to eat five Kit-Kats every day. Which of the figures shows Damien's daily demand curve for Kit-Kats?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28"/>
              </w:rPr>
              <w:pict>
                <v:shape id="_x0000_i1043" type="#_x0000_t75" style="height:140pt;width:450pt">
                  <v:imagedata r:id="rId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Shifts in market demand can result from a change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 of production for an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producers of an item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type and number of buyers.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demand shifter?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substitute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a complementary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buyers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of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 normal good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for which higher income causes an increase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which is normally purchased by many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which is only purchased by high-income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for which higher income causes a decrease in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For normal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tax cut on consumer income will lead to a rise in their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tax cut on consumer income will lead to a fall in their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consumer income do not affect their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consumers will choose to purchase the good regardless of income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An inferior good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whose demand increases when income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whose demand decreases when income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item that is only bought by rich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item that is purchased by very few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Fast food is a good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good with a congestion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inferior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luxury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Holding all else constant, if people eat out more at expensive restaurants when they earn more, then expensive restaurant meals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goods with a congestion-effect.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goods with a network-effect.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 evidence suggests exercise promotes longevity and reverses aging. Based on this information, what might happen in the market for exercise-related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gyms will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will reduce their purchases of exercise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exercise machines and/or gyms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exercise equipment will not be affected.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In March 2019, airlines around the world grounded their Boeing 737 Max aircraft after two of them crashed. What would we expect to happen in the market for this aircraft?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Airline companies would increase their demand for the Boeing 737 Max aircraft.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would be a rise in the number of orders for the Boeing 737 Max aircraft.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Consumers would increase the number of flights they take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the Boeing 737 Max would decrease due to concerns about the safety of the aircraft.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Leather Wallets) Fossil has started an aggressive advertising campaign for its wallets. Which graph shows how the demand in the market might change if the advertising campaign is successful?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44"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Demand for Bus Rides) The city of Vaughan in Ontario, Canada, opened a new subway line that extended the existing subway system between the greater Toronto area and the city of Vaughan. The route previously only had bus service. Which of the following graphs depicts the effect you would expect to see on the demand for bus rides on this route after the introduction of the subway?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45"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Peanut Butter and Jelly) In the United States, peanut butter and jelly are considered complementary items. Which graph illustrates the impact of a rise in the price of peanut butter on the jelly market?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46"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Butter and Jam) Some people like to eat jam and butter sandwiches, and for them, these two foods are complementary goods. For these people, which of the graphs illustrates the impact of a fall in the price of butter on the jam market?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47"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Demand for Rental Housing) Fort Collins, CO is experiencing net immigration of people into the area. Which of the following graphs illustrates the impact of this net immigration on the demand for rental housing?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48"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Luxury Vehicles) Which graph shows what will happen in the market for luxury vehicles if a recession is imminent?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49"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Holiday Cruises) Which graph shows the effect of an impending slowdown on the market for cruise holidays?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0"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High-End Meals) What will happen to the demand for upscale restaurants, if an economy goes into recession and unemployment rises?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1"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Community College) Which graph illustrates the effect on the demand for community college, if an economy faces a recession, and there is rising unemployment?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2"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New Housing) Which of the graphs shows the effect on the housing market today, if the realtor association predicts new housing prices to fall in a few months?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3"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New Housing) Which graph shows the effect on the housing market today, if the realtor association predicts new housing prices to rise in a few months?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4"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Printing Paper) Which of the following graphs illustrates what we expect to see in the market for printing paper if the price of printing paper rises?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5"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Roses) Which graph illustrates what will happen in the market for roses if the price of roses falls?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6"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Paint and paintbrushes are complements. If the price of paint rises, we can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quantity demanded of paint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paintbrushes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paintbrushes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quantity demanded of paintbrushes to 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If Tesla cars become less expensive, what will happen in the market for other electric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quantity demanded of Teslas will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other electric cars will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other electric cars will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quantity demanded of Teslas will not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Stevia) Stevia is a natural sweetener that is used as a sugar substitute. Which of the following graphs illustrates the impact of a rise in the price of Stevia on the demand for sugar?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7"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Bread) Bread and cheese are often considered to be complementary foods. Which graph shows what will happen in the market for bread if the price of bread rises?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8"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Apple Computers) Dell and Apple are competitors in the computer market. Which graph illustrates the effect of a rise in the price of Dell computers on the demand for Apple computers?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59"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lists only factors that would cause a decrease in the demand for a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popularity of a good; a rise in income (if the good is an inferior good); a fall in the price of a substitute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number of consumers in the market; a rise in the price of a substitute good; a fall in the price of a complementary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congestion effects; a decrease in the number of consumers in the market; increase in popularity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network effects; a rise in income (if the good is a normal good); a rise in the price of a substitute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lists only factors that would cause an increase in the demand for an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on possible side effects of using an item; a rise in income (if the good is a normal good); a fall in the price of a substitute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on possible side effects of using an item; a rise in income (if the good is a normal good); a fall in the price of a substitute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number of consumers in the market; a rise in the price of a substitute good; a fall in the price of a complementary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increased congestion effect; a decrease in the number of consumers in the market; increase in popularity of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items is an inferior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Low-quality frozen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University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Restaurant a la carte dinners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Toll roads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items is an inferior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Luxury SUVs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Discount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 rentals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items is a normal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Canned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Instant noodles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Third-hand cars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price expectations and demand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when future prices are expected to rise, current demand will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when future prices are expected to fall, current demand will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when future prices are expected to rise, current demand will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future prices are generally expected to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 product that can have congestion effects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Tripadvisor reviews.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 product with a network effect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drive-through window at a fast food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media tool such as WeChat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broadband telecommunications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customer service line at the Department of Motor Vehicles.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If Canadian consumers expect the value of the Canadian dollar to depreciate against the US dollar (the Canadian dollar becomes weaker against the dollar), what impact would we expect this to have on Canadians' demand for American made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American-made items would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American-made items would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American-made items would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American-made items would double.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If Canadian consumers expect the value of the Canadian dollar to rise against the US dollar, what impact would we expect this to have on Canadians' demand for American made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American-made items would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American-made items would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American-made items would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American-made items would double.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Due to uncertainty around Brexit, the value of the British pound has been falling against the Euro. How will this affect the demand for German goods in the UK?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German goods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German goods would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German goods would 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German goods would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table below shows data on quantity demanded for ATV tours at an ATV excursion company in Bali. In June, many new tourists arrive in Bali and the additional demand from these tourists is indicated in the table. Which of the following is true about the market for ATV tours in June?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92"/>
                <w:sz w:val="24"/>
                <w:szCs w:val="24"/>
                <w:bdr w:val="nil"/>
                <w:rtl w:val="0"/>
              </w:rPr>
              <w:pict>
                <v:shape id="_x0000_i1060" type="#_x0000_t75" style="height:103.5pt;width:357pt">
                  <v:imagedata r:id="rId1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price of $149, the total market demand for ATV tours in June is 933.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price of $99, the total market demand for ATV tours in June is 272.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price of $189, the total market demand for ATV tours in June is 459.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price of $119, the total market demand for ATV tours in June is 245.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Tourism) A hotel in Cape Cod, Massachusetts, is completely booked during August. However, in September, tourism drops significantly and some hotel rooms remain empty. Which of the graphs depicts this scenario?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61"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table shows data on quantity demanded for college textbooks in June. In August, the new incoming freshmen join the university. The additional demand for college textbooks in August is shown in the last column of the table. Which of the following is true about the market for textbooks in August?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91"/>
                <w:sz w:val="24"/>
                <w:szCs w:val="24"/>
                <w:bdr w:val="nil"/>
                <w:rtl w:val="0"/>
              </w:rPr>
              <w:pict>
                <v:shape id="_x0000_i1062" type="#_x0000_t75" style="height:102.75pt;width:354.75pt">
                  <v:imagedata r:id="rId1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price of $75, the total market demand for textbooks in August is 2700.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price of $99, the total market demand for textbooks in August is 1050.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price of $149, the total market demand for textbooks in August is 417.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a price of $300, the total market demand for textbooks in August is 967.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Great Recession of 2007-2009, unemployment shot up and a lot of people lost their jobs. All over the United States, people worried about job security. Which of the following do you think happened as a result of the Great Recession?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Consumers ate out less often.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Consumers purchased fewer higher-end vehicles.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Purchases of new housing went down.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Consumers took fewer vacations outside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(ii), (iii) and (iv) are all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Market for Oral Health Care) A recent article published in the Journal of the American Dental Association talked about the impact of the Great Recession of 2007-2009 on the demand for oral health care in the United States. Which of the graphs illustrates what this impact might have been?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12"/>
              </w:rPr>
              <w:pict>
                <v:shape id="_x0000_i1063" type="#_x0000_t75" style="height:124pt;width:450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How will the demand for Gucci shoes change today, if the government decides to tax designer shoes next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Gucci shoes will shift to the right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will be no impact on the demand for Gucci shoes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will stop buying Gucci shoes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Gucci shoes will shift to the left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would you expect to happen to the demand for a luxury good today, if the government announces it will stop taxing that luxury good next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the luxury good will shift to the right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will be no impact on the demand for the luxury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Consumers will stop their consumption of the luxury good altogether.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the luxury good will shift to the left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businesses do you think will do well during a recession?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Luxury cruise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Discount clothing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Designer clothing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Upscale restaurants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Stores that are expected to perform better during recessions are those that sell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luxury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expensive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marginal benefit of consuming an item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difference between what the consumer is willing to pay and the actual market price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total benefit from buying several units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additional benefit from buying one more unit of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additional number of consumers who buy a unit of an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Jane goes to an all-you-can-eat restaurant and makes three trips to the buffet. After finishing food from her third trip, she felt sick and throws up. Which of the following economic explanations best matches Jane's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Jane's marginal benefit from eating the third place was positive but less than that of the second plate.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Jane's marginal benefit from her third trip to the buffet was larger than her marginal benefit from her second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Jane was charged extra for the third plate at the buffet.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Jane's marginal benefit from eating the third plate was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you get hired for a well-paying job, you will most likely view older used cars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complementary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substitute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As consumers consume more units of an item, the marginal benefit of each additional unit decreases at an increasing rate. This can be seen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curves that are flatter at lower quantities and steeper at higher quantities.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curves that are 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curves that are steeper at lower quantities and flatter at higher quantities.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demand curves that are positively sloped.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In May of 2019, the U.S. raised tariffs (import taxes) on a large variety of Chinese imports. In the U.S. market for these Chinese imports, we would see: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number of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fall in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rise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rise in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product has a large network effect, it will lead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 congestion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small number of consumers using the product and a decreased demand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marginal benefits from using the product and increased demand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smaller marginal benefits from using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price of airline tickets goes up, there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demand for bus tickets, but a decrease in the demand for train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demand for bus tickets, but an increase in the demand for train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quantity demanded of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demand for both bus and train tickets.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Air Canada announces a 15% off sale on its flights, so fans can watch Toronto Raptors play against the Golden State Warriors in the NBA Finals. What effect will this sale have on Air Canada's flights to destinations other than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supply of Air Canada tickets will shift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Air Canada tickets will shift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supply of Air Canada tickets will shift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demand for Air Canada tickets will shift to the left.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Dental services can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expenses that do not change with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fixed in their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aim of a marketing campaign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the number of consumers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the demand curve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the demand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demand for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Find and explain the error in reasoning in each of the following three statements.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 1: If the price of steak rises, then the demand for steak will fall.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 2: When incomes rise, consumers demand fewer inferior goods because these goods are lower in quality than normal goods.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 3: The law of demand refers to the inverse relationship between the price of a product and the demand curve for that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Statement 1's error is the failure to distinguish between a change in quantity demanded and a change in demand. If the price of steak rises, then the quantity demanded of steak will fall, leading to a movement along the same demand curve. The demand curve would not shift as a result of the change in the price of steak.</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 2's error is in defining inferior goods. Inferior goods do not have to be low in quality – when income rise, the demand for inferior goods falls because consumers can afford more expensive items.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 3's error is in the failure to distinguish between demand and quantity demanded. The law of demand refers to the inverse relationship between the price of a product and the quantity demanded of that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Find and explain the error in reasoning in each of the following three statements.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 1: If prices are expected to rise in the future, this will lead to a fall in quantity demanded at the present time.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 2: A decrease in demand is the same as saying that there is a decrease in the quantity demanded for the product.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 3: An increase in demand is the same as saying that there is an increase in the quantity demanded for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Statement 1's error is in failing to distinguish between a change in price today and a change in the expected future price. If the product price changes today, this will lead to a change in quantity demanded. However, if the future price of the product is expected to change, this will lead to a shift in the demand curve.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Statements 2 and 3 have the same error – a failure to distinguish between a change in demand and a change in quantity demanded. A change in demand is a shift of the entire demand curve. A change in quantity demanded is a movement along the same demand curve.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a market research project, you survey six random people to see how much gas per week they would buy at various prices. The data you collect is in the accompanying table. Assuming that these are the only six consumers in the market, plot the market demand curve for gas.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of Gallons of Gas Demanded Per Week</w:t>
            </w:r>
          </w:p>
          <w:tbl>
            <w:tblPr>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3636"/>
              <w:gridCol w:w="871"/>
              <w:gridCol w:w="673"/>
              <w:gridCol w:w="619"/>
              <w:gridCol w:w="997"/>
              <w:gridCol w:w="745"/>
              <w:gridCol w:w="1068"/>
            </w:tblGrid>
            <w:tr>
              <w:tblPrEx>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per gallon of gasoline</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Marty</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Zain</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Doc</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Mikael</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Zoya</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Amirah</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179"/>
                    </w:rPr>
                    <w:pict>
                      <v:shape id="_x0000_i1064" type="#_x0000_t75" style="height:190.5pt;width:291pt">
                        <v:imagedata r:id="rId13"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table shows the demand data for four different consumers who drinks sodas. Assuming that these are the only four consumers in the market, plot the market demand curve for sodas.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375"/>
              <w:gridCol w:w="1362"/>
              <w:gridCol w:w="1364"/>
              <w:gridCol w:w="1364"/>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355"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Price per can of soda</w:t>
                  </w:r>
                </w:p>
              </w:tc>
              <w:tc>
                <w:tcPr>
                  <w:tcW w:w="5352" w:type="dxa"/>
                  <w:gridSpan w:val="4"/>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of sodas demanded per month</w:t>
                  </w:r>
                </w:p>
              </w:tc>
            </w:tr>
            <w:tr>
              <w:tblPrEx>
                <w:jc w:val="left"/>
                <w:tblCellMar>
                  <w:top w:w="0" w:type="dxa"/>
                  <w:left w:w="0" w:type="dxa"/>
                  <w:bottom w:w="0" w:type="dxa"/>
                  <w:right w:w="0" w:type="dxa"/>
                </w:tblCellMar>
              </w:tblPrEx>
              <w:trPr>
                <w:cantSplit w:val="0"/>
                <w:jc w:val="left"/>
              </w:trPr>
              <w:tc>
                <w:tcPr>
                  <w:tcW w:w="1350"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34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Joanna</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Jeffrey</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Jason</w:t>
                  </w:r>
                </w:p>
              </w:tc>
              <w:tc>
                <w:tcPr>
                  <w:tcW w:w="1346"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Jeremy</w:t>
                  </w:r>
                </w:p>
              </w:tc>
            </w:tr>
            <w:tr>
              <w:tblPrEx>
                <w:jc w:val="left"/>
                <w:tblCellMar>
                  <w:top w:w="0" w:type="dxa"/>
                  <w:left w:w="0" w:type="dxa"/>
                  <w:bottom w:w="0" w:type="dxa"/>
                  <w:right w:w="0" w:type="dxa"/>
                </w:tblCellMar>
              </w:tblPrEx>
              <w:trPr>
                <w:cantSplit w:val="0"/>
                <w:jc w:val="left"/>
              </w:trPr>
              <w:tc>
                <w:tcPr>
                  <w:tcW w:w="1350"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$1.50</w:t>
                  </w:r>
                </w:p>
              </w:tc>
              <w:tc>
                <w:tcPr>
                  <w:tcW w:w="134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c>
                <w:tcPr>
                  <w:tcW w:w="1346"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1350"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$2.00</w:t>
                  </w:r>
                </w:p>
              </w:tc>
              <w:tc>
                <w:tcPr>
                  <w:tcW w:w="134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1346"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70</w:t>
                  </w:r>
                </w:p>
              </w:tc>
            </w:tr>
            <w:tr>
              <w:tblPrEx>
                <w:jc w:val="left"/>
                <w:tblCellMar>
                  <w:top w:w="0" w:type="dxa"/>
                  <w:left w:w="0" w:type="dxa"/>
                  <w:bottom w:w="0" w:type="dxa"/>
                  <w:right w:w="0" w:type="dxa"/>
                </w:tblCellMar>
              </w:tblPrEx>
              <w:trPr>
                <w:cantSplit w:val="0"/>
                <w:jc w:val="left"/>
              </w:trPr>
              <w:tc>
                <w:tcPr>
                  <w:tcW w:w="1350"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$2.50</w:t>
                  </w:r>
                </w:p>
              </w:tc>
              <w:tc>
                <w:tcPr>
                  <w:tcW w:w="134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1346"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r>
            <w:tr>
              <w:tblPrEx>
                <w:jc w:val="left"/>
                <w:tblCellMar>
                  <w:top w:w="0" w:type="dxa"/>
                  <w:left w:w="0" w:type="dxa"/>
                  <w:bottom w:w="0" w:type="dxa"/>
                  <w:right w:w="0" w:type="dxa"/>
                </w:tblCellMar>
              </w:tblPrEx>
              <w:trPr>
                <w:cantSplit w:val="0"/>
                <w:jc w:val="left"/>
              </w:trPr>
              <w:tc>
                <w:tcPr>
                  <w:tcW w:w="1350"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$3.00</w:t>
                  </w:r>
                </w:p>
              </w:tc>
              <w:tc>
                <w:tcPr>
                  <w:tcW w:w="134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20</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W w:w="1346"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1350"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$3.50</w:t>
                  </w:r>
                </w:p>
              </w:tc>
              <w:tc>
                <w:tcPr>
                  <w:tcW w:w="134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W w:w="134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c>
                <w:tcPr>
                  <w:tcW w:w="1346"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position w:val="-177"/>
                    </w:rPr>
                    <w:pict>
                      <v:shape id="_x0000_i1065" type="#_x0000_t75" style="height:189pt;width:294.75pt">
                        <v:imagedata r:id="rId14"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studying the demand for cruise ship tickets. Determine how the demand for these tickets might be affected by each of the three factors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A major marketing campaign successfully advertises the cruise ship sailings.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The government lowers income taxes on its population and so consumers have more after-tax income.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Consumers begin to prefer ocean travel as opposed to airline travel.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Demand increases (b) Demand increases (c) Demand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find out that Domino's is having a promotion where you buy the first 3-topping large pizza for $8 and get the second one for $4. Why does the store not simply sell each pizza for $6? Explain your answer using the Rational Rule for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rational buyer will only buy an item if the marginal benefit is greater than or equal to the price of the product. The first pizza that a consumer buys will have a larger marginal benefit than the second pizza. Therefore, in order to sell the second pizza, Domino's will have to lower the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For each of the four scenarios below, explain which way the demand curve shifts and why.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1: In the market for automobiles, a credible forecast is released which says that prices will fall in the near future.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2: You are studying the market for jackfruits. A report is released which details the health benefits of eating jackfruits.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3: You are studying the market for farmed salmon. You now get information that consumers have developed a strong preference for wild-caught salmon.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Scenario 1: Demand will decrease at the current time as consumers will wait to purchase vehicles when they are cheaper.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2: The demand for jackfruits will increase as consumers will want to benefit from the health properties of jackfruits.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3: The demand for farmed salmon will decrease as consumers will opt for the wild-caught variety.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For each of the four scenarios below, explain which way the demand curve shifts and why.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1: In the market for automobiles, a credible forecast is released which says that prices will rise in the near future.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2: Many young people leave a small town to look for jobs in the capital city. What happens to the demand for college education in the small town?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3: There is news of an E. coli outbreak caused by contaminated lettuce.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Scenario 1: Demand will increase at the current time as consumers will hurry to buy vehicles before prices rise.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2: The demand for college education in the small town will decrease as young people will have moved away to the capital city.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Scenario 3: The demand for lettuce will fall as consumers will want to avoid the contaminated lettuce.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For each of the four scenarios below, draw demand curves to illustrate the effects.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During the cold and flu season, consumers choose to drink more orange juice to get the health benefits of Vitamin C. What happens to the demand curve for orange juice?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The government provides tax incentives to consumers who trade in their old vehicles for electric vehicles. What happens to the demand curve for electric vehicles?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The Canadian dollar weakens against the US dollar. In Canada, what happens to the demand for American-made goods?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The US dollar strengthens against the Canadian dollar. In the United States, what happens to the demand for Canadian-made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4"/>
                      <w:sz w:val="24"/>
                      <w:szCs w:val="24"/>
                      <w:bdr w:val="nil"/>
                      <w:rtl w:val="0"/>
                    </w:rPr>
                    <w:pict>
                      <v:shape id="_x0000_i1066" type="#_x0000_t75" style="height:165.75pt;width:171.7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4"/>
                      <w:sz w:val="24"/>
                      <w:szCs w:val="24"/>
                      <w:bdr w:val="nil"/>
                      <w:rtl w:val="0"/>
                    </w:rPr>
                    <w:pict>
                      <v:shape id="_x0000_i1067" type="#_x0000_t75" style="height:165.75pt;width:171.7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5"/>
                      <w:sz w:val="24"/>
                      <w:szCs w:val="24"/>
                      <w:bdr w:val="nil"/>
                      <w:rtl w:val="0"/>
                    </w:rPr>
                    <w:pict>
                      <v:shape id="_x0000_i1068" type="#_x0000_t75" style="height:166.5pt;width:171pt">
                        <v:imagedata r:id="rId1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4"/>
                      <w:sz w:val="24"/>
                      <w:szCs w:val="24"/>
                      <w:bdr w:val="nil"/>
                      <w:rtl w:val="0"/>
                    </w:rPr>
                    <w:pict>
                      <v:shape id="_x0000_i1069" type="#_x0000_t75" style="height:165.75pt;width:171.75pt">
                        <v:imagedata r:id="rId15"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Computer hardware and computer software are complementary goods. What happens to the demand curves for computer hardware and computer software if the price of computer hardware rises? Show your answer using two graphs – one for computer hardware and the other for computer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 hardware market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5"/>
                      <w:sz w:val="24"/>
                      <w:szCs w:val="24"/>
                      <w:bdr w:val="nil"/>
                      <w:rtl w:val="0"/>
                    </w:rPr>
                    <w:pict>
                      <v:shape id="_x0000_i1070" type="#_x0000_t75" style="height:167.25pt;width:177pt">
                        <v:imagedata r:id="rId1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Computer software market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5"/>
                      <w:sz w:val="24"/>
                      <w:szCs w:val="24"/>
                      <w:bdr w:val="nil"/>
                      <w:rtl w:val="0"/>
                    </w:rPr>
                    <w:pict>
                      <v:shape id="_x0000_i1071" type="#_x0000_t75" style="height:166.5pt;width:171pt">
                        <v:imagedata r:id="rId16"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Orange juice and apple juice are substitute goods. What happens to the demand curves for apple juice and orange juice if the price of apple juice rises? Show your answer using two graphs – one for apple juice and the other for orange juice.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Apple juice market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5"/>
                      <w:sz w:val="24"/>
                      <w:szCs w:val="24"/>
                      <w:bdr w:val="nil"/>
                      <w:rtl w:val="0"/>
                    </w:rPr>
                    <w:pict>
                      <v:shape id="_x0000_i1072" type="#_x0000_t75" style="height:167.25pt;width:177pt">
                        <v:imagedata r:id="rId1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Orange juice market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4"/>
                      <w:sz w:val="24"/>
                      <w:szCs w:val="24"/>
                      <w:bdr w:val="nil"/>
                      <w:rtl w:val="0"/>
                    </w:rPr>
                    <w:pict>
                      <v:shape id="_x0000_i1073" type="#_x0000_t75" style="height:165.75pt;width:171.75pt">
                        <v:imagedata r:id="rId15"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McDonald's and Wendy's are substitute fast food restaurants. What would happen to the demand curve for fish sandwiches from these two restaurants if McDonald's decreases the price of fish sandwiches? Show your answer using two graphs – one for McDonald's fish sandwiches and the other for Wendy's fish sandwiches.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Vegemite market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9"/>
                      <w:sz w:val="24"/>
                      <w:szCs w:val="24"/>
                      <w:bdr w:val="nil"/>
                      <w:rtl w:val="0"/>
                    </w:rPr>
                    <w:pict>
                      <v:shape id="_x0000_i1074" type="#_x0000_t75" style="height:171pt;width:176.25pt">
                        <v:imagedata r:id="rId1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Bread market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4"/>
                      <w:sz w:val="24"/>
                      <w:szCs w:val="24"/>
                      <w:bdr w:val="nil"/>
                      <w:rtl w:val="0"/>
                    </w:rPr>
                    <w:pict>
                      <v:shape id="_x0000_i1075" type="#_x0000_t75" style="height:165.75pt;width:171.75pt">
                        <v:imagedata r:id="rId15"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Graphically illustrate how the demand curve for electric vehicles will be affected in each of these cases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A major climate change awareness campaign is instituted which teaches consumers about clean energy vehicles.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The price of gas-powered vehicles falls significantly, due to lower costs of production.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Gas prices experience a significant and long-standing increase.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The price of electric vehicles falls due to a fall in the cost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4"/>
                      <w:sz w:val="24"/>
                      <w:szCs w:val="24"/>
                      <w:bdr w:val="nil"/>
                      <w:rtl w:val="0"/>
                    </w:rPr>
                    <w:pict>
                      <v:shape id="_x0000_i1076" type="#_x0000_t75" style="height:165.75pt;width:171.7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5"/>
                      <w:sz w:val="24"/>
                      <w:szCs w:val="24"/>
                      <w:bdr w:val="nil"/>
                      <w:rtl w:val="0"/>
                    </w:rPr>
                    <w:pict>
                      <v:shape id="_x0000_i1077" type="#_x0000_t75" style="height:166.5pt;width:171pt">
                        <v:imagedata r:id="rId1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4"/>
                      <w:sz w:val="24"/>
                      <w:szCs w:val="24"/>
                      <w:bdr w:val="nil"/>
                      <w:rtl w:val="0"/>
                    </w:rPr>
                    <w:pict>
                      <v:shape id="_x0000_i1078" type="#_x0000_t75" style="height:165.75pt;width:171.75pt">
                        <v:imagedata r:id="rId1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59"/>
                      <w:sz w:val="24"/>
                      <w:szCs w:val="24"/>
                      <w:bdr w:val="nil"/>
                      <w:rtl w:val="0"/>
                    </w:rPr>
                    <w:pict>
                      <v:shape id="_x0000_i1079" type="#_x0000_t75" style="height:171pt;width:176.25pt">
                        <v:imagedata r:id="rId18"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demand for strawberry ice-cream. For each of the following scenarios, identify whether the market would experience a change in quantity demanded or a change in demand, and specify the direction of the change.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Strawberry orchards are affected by disease, and the supply of strawberries to ice-cream manufacturers falls.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The market price of strawberry ice-cream rises.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More consumers begin to prefer chocolate ice-cream to strawberry ice-cream.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 fall in the supply of strawberries will cause a reduction in the supply of strawberry ice-cream. This will lead to a rise in the price of strawberries and a decrease in the quantity demanded of strawberry ice-cream.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The rise in the price of strawberries and a decrease in the quantity demanded of strawberry ice-cream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The demand for strawberry ice-cream will decrease as more consumers choose chocolate ice-cream instead.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demand for antibiotic-free eggs. For each of the following scenarios, identify whether the market would experience a change in quantity demanded or a change in demand, and specify the direction of the change.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A major news article is published, which shows that eating antibiotic-free eggs is much healthier than eating eggs from farms where antibiotics are used.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Where there used to be just one producer of antibiotic-free eggs, now several new producers of antibiotic-free eggs also begin to supply eggs to supermarkets in the region. This causes a fall in the price of antibiotic-free eggs.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The price of eggs produced using antibiotics falls significantly.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 increase in the demand for antibiotic-free eggs.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An increase in the quantity demanded of antiobiotic-free eggs.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A decrease in demand for antiobiotic-free egg, as some onsumers will now switch back to the eggs produced using antiobiotics (since they are now much cheaper).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provided with the following table, which shows price and quantity demanded data for soccer game tickets.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6"/>
                <w:sz w:val="24"/>
                <w:szCs w:val="24"/>
                <w:bdr w:val="nil"/>
                <w:rtl w:val="0"/>
              </w:rPr>
              <w:pict>
                <v:shape id="_x0000_i1080" type="#_x0000_t75" style="height:117.75pt;width:159.75pt">
                  <v:imagedata r:id="rId1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t>
            </w:r>
            <w:r>
              <w:rPr>
                <w:rStyle w:val="DefaultParagraphFont"/>
                <w:rFonts w:ascii="Times New Roman" w:eastAsia="Times New Roman" w:hAnsi="Times New Roman" w:cs="Times New Roman"/>
                <w:b w:val="0"/>
                <w:bCs w:val="0"/>
                <w:i w:val="0"/>
                <w:iCs w:val="0"/>
                <w:smallCaps w:val="0"/>
                <w:color w:val="000000"/>
                <w:sz w:val="24"/>
                <w:szCs w:val="24"/>
                <w:bdr w:val="nil"/>
                <w:rtl w:val="0"/>
              </w:rPr>
              <w:t>A major advertising campaign doubles the demand for soccer game tickets. Fill in the table to show the new demand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6"/>
                <w:sz w:val="24"/>
                <w:szCs w:val="24"/>
                <w:bdr w:val="nil"/>
                <w:rtl w:val="0"/>
              </w:rPr>
              <w:pict>
                <v:shape id="_x0000_i1081" type="#_x0000_t75" style="height:117.75pt;width:158.25pt">
                  <v:imagedata r:id="rId2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Which way has the demand curve shifted?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6"/>
                      <w:sz w:val="24"/>
                      <w:szCs w:val="24"/>
                      <w:bdr w:val="nil"/>
                      <w:rtl w:val="0"/>
                    </w:rPr>
                    <w:pict>
                      <v:shape id="_x0000_i1082" type="#_x0000_t75" style="height:117.75pt;width:159pt">
                        <v:imagedata r:id="rId2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Demand has shifted to the right (an increase in demand).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provided with the following table, which shows price and quantity demanded data for boats.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8"/>
                <w:sz w:val="24"/>
                <w:szCs w:val="24"/>
                <w:bdr w:val="nil"/>
                <w:rtl w:val="0"/>
              </w:rPr>
              <w:pict>
                <v:shape id="_x0000_i1083" type="#_x0000_t75" style="height:120pt;width:161.25pt">
                  <v:imagedata r:id="rId2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A credible forecast is then released which indicates that the prices of boats will fall in the near future. At each current price level, this forecast causes a reduction of 25% of the current consumers, as these consumers opt to wait to purchase the boats when the prices have actually fallen. Fill in the table to show what the new demand for boats will be.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7"/>
                <w:sz w:val="24"/>
                <w:szCs w:val="24"/>
                <w:bdr w:val="nil"/>
                <w:rtl w:val="0"/>
              </w:rPr>
              <w:pict>
                <v:shape id="_x0000_i1084" type="#_x0000_t75" style="height:119.25pt;width:160.5pt">
                  <v:imagedata r:id="rId2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Which way has the demand curve shifted?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07"/>
                      <w:sz w:val="24"/>
                      <w:szCs w:val="24"/>
                      <w:bdr w:val="nil"/>
                      <w:rtl w:val="0"/>
                    </w:rPr>
                    <w:pict>
                      <v:shape id="_x0000_i1085" type="#_x0000_t75" style="height:118.5pt;width:160.5pt">
                        <v:imagedata r:id="rId2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Demand has shifted to the left (a decrease in demand).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Use the graph to answer the following 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86"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Here are 5 different options based on the graph above. These 5 options show movements from one point to another on the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Point M to Point 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Point W to Point V</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Point Q to point 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Point W to point 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(v) Point N to point 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Now answer the following three 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Which of the 5 options could be caused by a change in the price of the product?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Which of the 5 options could be caused by a decrease in the price of the product?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Which of the 5 options could be caused by an increase in the expected future price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Options (i) and (ii)</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Options (i) and (ii)</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Options (iii) and (v)</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Use the graph to answer the following 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87"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Here are 5 different options based on the graph above. These 5 options show movements from one point to another on the graph.</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 Point M to Point 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 Point W to Point V</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(iii) Point Q to point 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(iv) Point W to point P</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(v) Point N to point 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Now answer the following three 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Which of the 5 options could be caused by an increased congestion effect?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Which of the 5 options could be caused by an increased network effect?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Which of the 5 options could be caused by decreased consumer preferences for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Option (iv)</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Options (iii) and (v)</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Option (iv)</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Use the graph to answer the following 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88"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change caused the movement from point V to point 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What change caused the movement from point T to point 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If the item is a normal good, in what direction did income change to cause the shift from point P to point 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If the item is an inferior good, in what direction did income change to cause the shift from point T to point Q?</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 increase in price caused the movement from V to 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A decrease in price caused the movement from T to 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An increase in income.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An increase in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Graph) Use the graph to answer the following 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91"/>
                <w:sz w:val="24"/>
                <w:szCs w:val="24"/>
                <w:bdr w:val="nil"/>
                <w:rtl w:val="0"/>
              </w:rPr>
              <w:pict>
                <v:shape id="_x0000_i1089" type="#_x0000_t75" style="height:203.25pt;width:228.75pt">
                  <v:imagedata r:id="rId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What change caused the movement from point S to point 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What change caused the movement from point W to point 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Fishing rods and fishing reels are complementary goods. In which direction did the price of fishing rods change to cause the shift from point Q to point M in the demand for fishing reels?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Abu Garcia fishing rods and Shimano fishing rods are substitute goods. In which direction did the price of Abu Garcia fishing rods change to cause the shift from point N to point P in the demand for Shimano fishing rods?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 decrease in price caused the movement from S to 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An increase in price caused the movement from W to 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There was an increase in the price of fishing rods.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There was an increase in the price of Abu Garcia fishing rods.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Fill in the blanks below using the following choices: increases OR decreases.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If the congestion effect of using a highway increases, then the demand curve for that highway __________.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If the network effect of using a social media platform increases, the demand for advertising by businesses on that platform 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On heavy smog days in Beijing, the demand for face masks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decreases (b) increases (c)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Fill in the blanks below using the following choices: increases OR decreases.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When Canadian fans travel to Oracle Arena in California to watch the Toronto Raptors play the Golden State Warriors in the NBA Finals, we observe that the demand for airline tickets __________.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As the Toronto Raptors reach the final rounds of the NBA Finals, the demand for Raptors merchandise __________.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If the demand for hot dogs at basketball games increases, then the price of hot dogs sold at basketball games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increases (b) increases (c)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Fill in the blanks below using the following choices: increases OR decreases.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As the price of roses increases, the quantity demanded of roses _________.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(b) As the expected price of airline tickets rises, the current demand for airline tickets _________.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 As the demand for cruise ship vacations falls, the price of cruise ship tickets _________.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 When the tourist season begins in Bali, the price of hotels rooms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decreases (b) increases (c) decreases (d)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law of demand is the tendency that when price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higher, the quantity demanded is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the demand curve shifts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the demand curve shifts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the quantity demanded is higher.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tendency for quantity demanded to be higher when the price is lower is known as the law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BEST illustrates the law of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food prices encourages more individuals to buy more food as a result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Consumers buy more iPhones because prices have fallen.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Tesla produces more cars as prices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Fewer people visit Disneyland because incomes have fallen.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illustrates a downward sloping relationship between price and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schedule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law of demand implies that you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buy more at higher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buy more at lower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offer more on the market at lower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offer less on the market at higher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apples and pomegranates are substitute goods. The _____ pomegranates will increase when apple prices 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demanded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supplied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BEST explains the law of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income rises, more cars are purchased, assuming cars are 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the price of corn rises, more corn is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the price of computers rises, fewer computers are purchased.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the population rises, more electricity is consumed.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change in demand is a movement along the demand curve, and a change in quantity demanded is a shift of the 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change in quantity demanded and a change in demand are movements along the 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change in quantity demanded and a change in demand are shifts of the 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change in quantity demanded is a movement along the demand curve, and a change in demand is a shift of the demand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much of the country, car owners choose to operate their vehicles using gasoline or electricity, both of which are normal goods. Which factor would cause an increase in the demand for gasoline?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price of gasoline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the price of electricity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consumer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consumer incomes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general, when incomes rise, individuals are more likely to travel by air than by car when they take vacations. Which statement provides one possible explanation for this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Air travel and travel by car are complementary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Air travel and travel by car are both normal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Air travel is a normal good, and travel by car is an inferior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Air travel is an inferior good, and travel by car is a normal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shift of the demand curve for fried chicken would NOT be caused by a change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fried chicken.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hot 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popularity of fried chicken.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ratatouille and Hungarian goulash are substitutes, a decrease in the price of Hungarian goulash will cause the demand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ratatouille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Hungarian goulash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ratatouille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Hungarian goulash to increase and the demand for ratatouille to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Paint and paintbrushes are complements. A decrease in the price of paintbrushes will cause the demand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paint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paint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paintbrushes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paint and paintbrushes to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 the past several years, sushi has become increasingly popular among consumers. This means that the _____ sushi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demanded of;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for;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for;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demanded of;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factor will NOT cause an increase in the demand for shoes?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income, assuming shoes are an inferior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income, assuming shoes are 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the price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popularity of shoes, as adventurous new styles of shoe become fashionable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TRUE regarding a normal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income increases, the demand for a complementary good remains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income increases, the demand for a substitute good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income increases, the demand for the good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 and demand are unrelated.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the demand curve for monthly subscriptions to Netflix has shifted to the right. What could have caused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fall in the price of Netflix subscriptions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price of Netflix subscriptions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availability of Netflix subscriptions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incomes of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people demand more Netflix subscriptions when the price of Hulu subscriptions falls, then Netflix and Hulu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inferior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people demand fewer Netflix subscriptions when the price of Hulu subscriptions falls, then Netflix and Hulu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inferior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demand for electric cars falls when the price of electricity rises, then electric cars and electricity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rival in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expensive.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price of shoes would probably result in _____ in the demand for shoelaces.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 fluctuations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announcement of a finding that vaping diminishes people's ability to think clearly will MOST likely result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quantity of vapes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the demand for vapes.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change in vaping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price of vapes.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spaghetti and meatballs are complements, when the price of spaghetti rises, the demand curve for meatballs: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shifts to the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shifts to the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unaffected.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shifts to the right and then moves back.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chicken and pork are substitutes, then a fall in the price of chicken will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demand for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the demand for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quantity demanded of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change in the demand for pork.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 vacations, restaurant meals, and smartphones, purchases tend to fall as buyers' incomes fall and rise as buyers' incomes rise. Such goods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 bus rides, a(n) _____ in buyers' incomes causes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increase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increase in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decrease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 decrease in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Steak is a normal good. If students' incomes at your college decrease, the effect on steak consumption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change in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Macaroni and cheese is an inferior good. If students' incomes at your college increase, the effect on macaroni and cheese consumption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quantity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change in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upon changing jobs, you experience an increase in income (otherwise, why change jobs?). If, as a result, you decide to purchase more sushi and fewer hamburgers, then hamburgers for you are a(n) _____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complementary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inferior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demand for bottled water decreases at a time when people believe bottled water prices will soon fall. The change in demand is most likely attributable to a change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consumer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consumer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prices of other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factor would shift the demand curve for new computers to the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decrease in the price of tablets (such as an iPad)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fall in the price of used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student enrollment in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fall in the price of new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demand curve for meals at a local Chick-fil-A will shift to the left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Chick-fil-A offers a free sandwich to people who sign up for their new rewards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a meal at Chick-fil-A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incomes increase, and Chick-fil-A meals are 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gasoline falls in the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Assuming that iPhones are normal goods, which factor will NOT increase the demand for iPhones?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incomes of iPhone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cool new computer games that can only be played on iPhones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prices for Samsung smartphones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laptop computers increasing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market for canned soup, _____ will increase if income increases and soup is a(n) _____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price of peanut butter were to decrease, the demand for jam, a complementary good, would probably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randomly fluctuate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demand curve for Adidas shoes has shifted to the right. What could have caused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fall in the price of Adidas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price of Adidas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supply of Adidas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enthusiasm among consumers for Adidas as an exercise shoe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market price of cruise ship vacations has increased recently. Some economists suggest that the price increased because of an increase in the number of retirees. In other words, they believe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Steak is a normal good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rise in the price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complement causes the demand for steak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 and the demand for steak are negatively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rise in the price of a substitute causes the demand for steak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demand for steak increases when income 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Demand for Bananas) Use Figure: Demand for Bananas. If pears are a substitute for bananas, an increase in the price of pears could be represented as a:</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76" w:lineRule="auto"/>
              <w:jc w:val="left"/>
            </w:pPr>
            <w:r>
              <w:rPr>
                <w:position w:val="-193"/>
              </w:rPr>
              <w:pict>
                <v:shape id="_x0000_i1090" type="#_x0000_t75" alt="A graph plots Price of bananas on the vertical axis versus Quantity of bananas on the horizontal axis and shows three parallel demand curves. All three curves are negative sloping lines. The negative sloping lines are labeled, ?D subscript 3,? ?D subscript 1,? and ?D subscript 2,? from left to right, respectively. A point E is marked on the curve D subscript 3. Two points B and A are plotted on the curve D subscript 1, from bottom to top. A point C is marked on the curve D subscript 2. Points E and B are horizontally aligned. Points A and C are horizontally aligned." style="height:205pt;width:281pt">
                  <v:imagedata r:id="rId25" o:title=""/>
                </v:shape>
              </w:pic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movement from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movement from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Demand for Bananas) Use Figure: Demand for Bananas. A decreased preference for bananas could be represented as a:</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76" w:lineRule="auto"/>
              <w:jc w:val="left"/>
            </w:pPr>
            <w:r>
              <w:rPr>
                <w:position w:val="-193"/>
              </w:rPr>
              <w:pict>
                <v:shape id="_x0000_i1091" type="#_x0000_t75" alt="A graph plots Price of bananas on the vertical axis versus Quantity of bananas on the horizontal axis and shows three parallel demand curves. All three curves are negative sloping lines. The negative sloping lines are labeled, ?D subscript 3,? ?D subscript 1,? and ?D subscript 2,? from left to right, respectively. A point E is marked on the curve D subscript 3. Two points B and A are plotted on the curve D subscript 1, from bottom to top. A point C is marked on the curve D subscript 2. Points E and B are horizontally aligned. Points A and C are horizontally aligned." style="height:205pt;width:281pt">
                  <v:imagedata r:id="rId2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movement from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movement from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(Figure: Demand for Bananas) Use Figure: Demand for Bananas. Expectations among consumers that the price of bananas will rise significantly in the near future could be represented as a:</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76" w:lineRule="auto"/>
              <w:jc w:val="left"/>
            </w:pPr>
            <w:r>
              <w:rPr>
                <w:position w:val="-193"/>
              </w:rPr>
              <w:pict>
                <v:shape id="_x0000_i1092" type="#_x0000_t75" alt="A graph plots Price of bananas on the vertical axis versus Quantity of bananas on the horizontal axis and shows three parallel demand curves. All three curves are negative sloping lines. The negative sloping lines are labeled, ?D subscript 3,? ?D subscript 1,? and ?D subscript 2,? from left to right, respectively. A point E is marked on the curve D subscript 3. Two points B and A are plotted on the curve D subscript 1, from bottom to top. A point C is marked on the curve D subscript 2. Points E and B are horizontally aligned. Points A and C are horizontally aligned." style="height:205pt;width:281pt">
                  <v:imagedata r:id="rId25" o:title=""/>
                </v:shape>
              </w:pic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movement from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shift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movement from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 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6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The Demand for Potato Chips) Use Table: The Demand for Potato Chips. Blair demands 30 bags of potato chips per month when the price of each bag is:</w:t>
            </w:r>
          </w:p>
          <w:tbl>
            <w:tblPr>
              <w:tblW w:w="8865" w:type="dxa"/>
              <w:jc w:val="left"/>
              <w:tblBorders>
                <w:top w:val="nil"/>
                <w:left w:val="nil"/>
                <w:bottom w:val="nil"/>
                <w:right w:val="nil"/>
                <w:insideH w:val="nil"/>
                <w:insideV w:val="nil"/>
              </w:tblBorders>
              <w:tblCellMar>
                <w:top w:w="60" w:type="dxa"/>
                <w:left w:w="60" w:type="dxa"/>
                <w:bottom w:w="60" w:type="dxa"/>
                <w:right w:w="60" w:type="dxa"/>
              </w:tblCellMar>
            </w:tblPr>
            <w:tblGrid>
              <w:gridCol w:w="3432"/>
              <w:gridCol w:w="2748"/>
              <w:gridCol w:w="1380"/>
              <w:gridCol w:w="1305"/>
            </w:tblGrid>
            <w:tr>
              <w:tblPrEx>
                <w:tblW w:w="8865" w:type="dxa"/>
                <w:jc w:val="left"/>
                <w:tblBorders>
                  <w:top w:val="nil"/>
                  <w:left w:val="nil"/>
                  <w:bottom w:val="nil"/>
                  <w:right w:val="nil"/>
                  <w:insideH w:val="nil"/>
                  <w:insideV w:val="nil"/>
                </w:tblBorders>
                <w:tblCellMar>
                  <w:top w:w="60" w:type="dxa"/>
                  <w:left w:w="60" w:type="dxa"/>
                  <w:bottom w:w="60" w:type="dxa"/>
                  <w:right w:w="60" w:type="dxa"/>
                </w:tblCellMar>
              </w:tblPrEx>
              <w:trPr>
                <w:cantSplit w:val="0"/>
                <w:trHeight w:val="210"/>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The Demand for Potato Chips</w:t>
                  </w:r>
                </w:p>
              </w:tc>
              <w:tc>
                <w:tcPr>
                  <w:tcW w:w="2935"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c>
                <w:tcPr>
                  <w:tcW w:w="1150"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c>
                <w:tcPr>
                  <w:tcW w:w="1075"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r>
            <w:tr>
              <w:tblPrEx>
                <w:tblW w:w="8865" w:type="dxa"/>
                <w:jc w:val="left"/>
                <w:tblCellMar>
                  <w:top w:w="60" w:type="dxa"/>
                  <w:left w:w="60" w:type="dxa"/>
                  <w:bottom w:w="60" w:type="dxa"/>
                  <w:right w:w="60" w:type="dxa"/>
                </w:tblCellMar>
              </w:tblPrEx>
              <w:trPr>
                <w:cantSplit w:val="0"/>
                <w:trHeight w:val="34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Demanded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(bags per month)</w:t>
                  </w:r>
                </w:p>
              </w:tc>
              <w:tc>
                <w:tcPr>
                  <w:tcW w:w="1150" w:type="dxa"/>
                  <w:tcBorders>
                    <w:top w:val="single" w:sz="6" w:space="0" w:color="000000"/>
                    <w:left w:val="single" w:sz="6" w:space="0" w:color="000000"/>
                    <w:bottom w:val="single" w:sz="6" w:space="0" w:color="000000"/>
                    <w:right w:val="single" w:sz="6" w:space="0" w:color="000000"/>
                  </w:tcBorders>
                  <w:shd w:val="clear" w:color="auto" w:fill="F2F2F2"/>
                  <w:noWrap w:val="0"/>
                  <w:tcMar>
                    <w:top w:w="58" w:type="dxa"/>
                    <w:left w:w="58" w:type="dxa"/>
                    <w:bottom w:w="58" w:type="dxa"/>
                    <w:right w:w="58" w:type="dxa"/>
                  </w:tcMar>
                  <w:vAlign w:val="top"/>
                </w:tcPr>
                <w:p>
                  <w:pPr>
                    <w:shd w:val="clear" w:color="auto" w:fill="F2F2F2"/>
                    <w:bidi w:val="0"/>
                  </w:pPr>
                </w:p>
              </w:tc>
              <w:tc>
                <w:tcPr>
                  <w:tcW w:w="1075" w:type="dxa"/>
                  <w:tcBorders>
                    <w:top w:val="single" w:sz="6" w:space="0" w:color="000000"/>
                    <w:left w:val="single" w:sz="6" w:space="0" w:color="000000"/>
                    <w:bottom w:val="single" w:sz="6" w:space="0" w:color="000000"/>
                    <w:right w:val="single" w:sz="6" w:space="0" w:color="000000"/>
                  </w:tcBorders>
                  <w:shd w:val="clear" w:color="auto" w:fill="F2F2F2"/>
                  <w:noWrap w:val="0"/>
                  <w:tcMar>
                    <w:top w:w="58" w:type="dxa"/>
                    <w:left w:w="58" w:type="dxa"/>
                    <w:bottom w:w="58" w:type="dxa"/>
                    <w:right w:w="58" w:type="dxa"/>
                  </w:tcMar>
                  <w:vAlign w:val="top"/>
                </w:tcPr>
                <w:p>
                  <w:pPr>
                    <w:shd w:val="clear" w:color="auto" w:fill="F2F2F2"/>
                    <w:bidi w:val="0"/>
                  </w:pP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Price per Bag</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Blair</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Serena</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Dan</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$0.90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0.80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0.70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110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0.60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0.40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170</w:t>
                  </w:r>
                </w:p>
              </w:tc>
            </w:tr>
            <w:tr>
              <w:tblPrEx>
                <w:tblW w:w="8865" w:type="dxa"/>
                <w:jc w:val="left"/>
                <w:tblCellMar>
                  <w:top w:w="60" w:type="dxa"/>
                  <w:left w:w="60" w:type="dxa"/>
                  <w:bottom w:w="60" w:type="dxa"/>
                  <w:right w:w="60" w:type="dxa"/>
                </w:tblCellMar>
              </w:tblPrEx>
              <w:trPr>
                <w:cantSplit w:val="0"/>
                <w:trHeight w:val="150"/>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0.30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6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The Demand for Potato Chips) Use Table: The Demand for Potato Chips. If Blair, Serena, and Dan are the only three buyers in the market and the price of a bag of potato chips is $0.80, the total market quantity demanded is _____ bags per month.</w:t>
            </w:r>
          </w:p>
          <w:tbl>
            <w:tblPr>
              <w:tblW w:w="8865" w:type="dxa"/>
              <w:jc w:val="left"/>
              <w:tblBorders>
                <w:top w:val="nil"/>
                <w:left w:val="nil"/>
                <w:bottom w:val="nil"/>
                <w:right w:val="nil"/>
                <w:insideH w:val="nil"/>
                <w:insideV w:val="nil"/>
              </w:tblBorders>
              <w:tblCellMar>
                <w:top w:w="60" w:type="dxa"/>
                <w:left w:w="60" w:type="dxa"/>
                <w:bottom w:w="60" w:type="dxa"/>
                <w:right w:w="60" w:type="dxa"/>
              </w:tblCellMar>
            </w:tblPr>
            <w:tblGrid>
              <w:gridCol w:w="3432"/>
              <w:gridCol w:w="2748"/>
              <w:gridCol w:w="1380"/>
              <w:gridCol w:w="1305"/>
            </w:tblGrid>
            <w:tr>
              <w:tblPrEx>
                <w:tblW w:w="8865" w:type="dxa"/>
                <w:jc w:val="left"/>
                <w:tblBorders>
                  <w:top w:val="nil"/>
                  <w:left w:val="nil"/>
                  <w:bottom w:val="nil"/>
                  <w:right w:val="nil"/>
                  <w:insideH w:val="nil"/>
                  <w:insideV w:val="nil"/>
                </w:tblBorders>
                <w:tblCellMar>
                  <w:top w:w="60" w:type="dxa"/>
                  <w:left w:w="60" w:type="dxa"/>
                  <w:bottom w:w="60" w:type="dxa"/>
                  <w:right w:w="60" w:type="dxa"/>
                </w:tblCellMar>
              </w:tblPrEx>
              <w:trPr>
                <w:cantSplit w:val="0"/>
                <w:trHeight w:val="210"/>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Table: The Demand for Potato Chips</w:t>
                  </w:r>
                </w:p>
              </w:tc>
              <w:tc>
                <w:tcPr>
                  <w:tcW w:w="2935"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c>
                <w:tcPr>
                  <w:tcW w:w="1150"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c>
                <w:tcPr>
                  <w:tcW w:w="1075"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r>
            <w:tr>
              <w:tblPrEx>
                <w:tblW w:w="8865" w:type="dxa"/>
                <w:jc w:val="left"/>
                <w:tblCellMar>
                  <w:top w:w="60" w:type="dxa"/>
                  <w:left w:w="60" w:type="dxa"/>
                  <w:bottom w:w="60" w:type="dxa"/>
                  <w:right w:w="60" w:type="dxa"/>
                </w:tblCellMar>
              </w:tblPrEx>
              <w:trPr>
                <w:cantSplit w:val="0"/>
                <w:trHeight w:val="34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Quantity Demanded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(bags per month)</w:t>
                  </w:r>
                </w:p>
              </w:tc>
              <w:tc>
                <w:tcPr>
                  <w:tcW w:w="1150" w:type="dxa"/>
                  <w:tcBorders>
                    <w:top w:val="single" w:sz="6" w:space="0" w:color="000000"/>
                    <w:left w:val="single" w:sz="6" w:space="0" w:color="000000"/>
                    <w:bottom w:val="single" w:sz="6" w:space="0" w:color="000000"/>
                    <w:right w:val="single" w:sz="6" w:space="0" w:color="000000"/>
                  </w:tcBorders>
                  <w:shd w:val="clear" w:color="auto" w:fill="F2F2F2"/>
                  <w:noWrap w:val="0"/>
                  <w:tcMar>
                    <w:top w:w="58" w:type="dxa"/>
                    <w:left w:w="58" w:type="dxa"/>
                    <w:bottom w:w="58" w:type="dxa"/>
                    <w:right w:w="58" w:type="dxa"/>
                  </w:tcMar>
                  <w:vAlign w:val="top"/>
                </w:tcPr>
                <w:p>
                  <w:pPr>
                    <w:shd w:val="clear" w:color="auto" w:fill="F2F2F2"/>
                    <w:bidi w:val="0"/>
                  </w:pPr>
                </w:p>
              </w:tc>
              <w:tc>
                <w:tcPr>
                  <w:tcW w:w="1075" w:type="dxa"/>
                  <w:tcBorders>
                    <w:top w:val="single" w:sz="6" w:space="0" w:color="000000"/>
                    <w:left w:val="single" w:sz="6" w:space="0" w:color="000000"/>
                    <w:bottom w:val="single" w:sz="6" w:space="0" w:color="000000"/>
                    <w:right w:val="single" w:sz="6" w:space="0" w:color="000000"/>
                  </w:tcBorders>
                  <w:shd w:val="clear" w:color="auto" w:fill="F2F2F2"/>
                  <w:noWrap w:val="0"/>
                  <w:tcMar>
                    <w:top w:w="58" w:type="dxa"/>
                    <w:left w:w="58" w:type="dxa"/>
                    <w:bottom w:w="58" w:type="dxa"/>
                    <w:right w:w="58" w:type="dxa"/>
                  </w:tcMar>
                  <w:vAlign w:val="top"/>
                </w:tcPr>
                <w:p>
                  <w:pPr>
                    <w:shd w:val="clear" w:color="auto" w:fill="F2F2F2"/>
                    <w:bidi w:val="0"/>
                  </w:pP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Price per Bag</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Blair</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Serena</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Dan</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$0.90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0.80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0.70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110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0.60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0.40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170</w:t>
                  </w:r>
                </w:p>
              </w:tc>
            </w:tr>
            <w:tr>
              <w:tblPrEx>
                <w:tblW w:w="8865" w:type="dxa"/>
                <w:jc w:val="left"/>
                <w:tblCellMar>
                  <w:top w:w="60" w:type="dxa"/>
                  <w:left w:w="60" w:type="dxa"/>
                  <w:bottom w:w="60" w:type="dxa"/>
                  <w:right w:w="60" w:type="dxa"/>
                </w:tblCellMar>
              </w:tblPrEx>
              <w:trPr>
                <w:cantSplit w:val="0"/>
                <w:trHeight w:val="150"/>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0.30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widowControl w:val="0"/>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widowControl w:val="0"/>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6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The Demand for Potato Chips) Use Table: The Demand for Potato Chips. If Blair, Serena, and Dan are the only three buyers in the market and the price of a bag of potato chips is $0.60, the total market quantity demanded is _____ bags per month.</w:t>
            </w:r>
          </w:p>
          <w:tbl>
            <w:tblPr>
              <w:tblW w:w="8865" w:type="dxa"/>
              <w:jc w:val="left"/>
              <w:tblBorders>
                <w:top w:val="nil"/>
                <w:left w:val="nil"/>
                <w:bottom w:val="nil"/>
                <w:right w:val="nil"/>
                <w:insideH w:val="nil"/>
                <w:insideV w:val="nil"/>
              </w:tblBorders>
              <w:tblCellMar>
                <w:top w:w="60" w:type="dxa"/>
                <w:left w:w="60" w:type="dxa"/>
                <w:bottom w:w="60" w:type="dxa"/>
                <w:right w:w="60" w:type="dxa"/>
              </w:tblCellMar>
            </w:tblPr>
            <w:tblGrid>
              <w:gridCol w:w="3432"/>
              <w:gridCol w:w="2748"/>
              <w:gridCol w:w="1380"/>
              <w:gridCol w:w="1305"/>
            </w:tblGrid>
            <w:tr>
              <w:tblPrEx>
                <w:tblW w:w="8865" w:type="dxa"/>
                <w:jc w:val="left"/>
                <w:tblBorders>
                  <w:top w:val="nil"/>
                  <w:left w:val="nil"/>
                  <w:bottom w:val="nil"/>
                  <w:right w:val="nil"/>
                  <w:insideH w:val="nil"/>
                  <w:insideV w:val="nil"/>
                </w:tblBorders>
                <w:tblCellMar>
                  <w:top w:w="60" w:type="dxa"/>
                  <w:left w:w="60" w:type="dxa"/>
                  <w:bottom w:w="60" w:type="dxa"/>
                  <w:right w:w="60" w:type="dxa"/>
                </w:tblCellMar>
              </w:tblPrEx>
              <w:trPr>
                <w:cantSplit w:val="0"/>
                <w:trHeight w:val="210"/>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Table: The Demand for Potato Chips</w:t>
                  </w:r>
                </w:p>
              </w:tc>
              <w:tc>
                <w:tcPr>
                  <w:tcW w:w="2935"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c>
                <w:tcPr>
                  <w:tcW w:w="1150"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c>
                <w:tcPr>
                  <w:tcW w:w="1075"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r>
            <w:tr>
              <w:tblPrEx>
                <w:tblW w:w="8865" w:type="dxa"/>
                <w:jc w:val="left"/>
                <w:tblCellMar>
                  <w:top w:w="60" w:type="dxa"/>
                  <w:left w:w="60" w:type="dxa"/>
                  <w:bottom w:w="60" w:type="dxa"/>
                  <w:right w:w="60" w:type="dxa"/>
                </w:tblCellMar>
              </w:tblPrEx>
              <w:trPr>
                <w:cantSplit w:val="0"/>
                <w:trHeight w:val="34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Quantity Demanded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(bags per month)</w:t>
                  </w:r>
                </w:p>
              </w:tc>
              <w:tc>
                <w:tcPr>
                  <w:tcW w:w="1150" w:type="dxa"/>
                  <w:tcBorders>
                    <w:top w:val="single" w:sz="6" w:space="0" w:color="000000"/>
                    <w:left w:val="single" w:sz="6" w:space="0" w:color="000000"/>
                    <w:bottom w:val="single" w:sz="6" w:space="0" w:color="000000"/>
                    <w:right w:val="single" w:sz="6" w:space="0" w:color="000000"/>
                  </w:tcBorders>
                  <w:shd w:val="clear" w:color="auto" w:fill="F2F2F2"/>
                  <w:noWrap w:val="0"/>
                  <w:tcMar>
                    <w:top w:w="58" w:type="dxa"/>
                    <w:left w:w="58" w:type="dxa"/>
                    <w:bottom w:w="58" w:type="dxa"/>
                    <w:right w:w="58" w:type="dxa"/>
                  </w:tcMar>
                  <w:vAlign w:val="top"/>
                </w:tcPr>
                <w:p>
                  <w:pPr>
                    <w:shd w:val="clear" w:color="auto" w:fill="F2F2F2"/>
                    <w:bidi w:val="0"/>
                  </w:pPr>
                </w:p>
              </w:tc>
              <w:tc>
                <w:tcPr>
                  <w:tcW w:w="1075" w:type="dxa"/>
                  <w:tcBorders>
                    <w:top w:val="single" w:sz="6" w:space="0" w:color="000000"/>
                    <w:left w:val="single" w:sz="6" w:space="0" w:color="000000"/>
                    <w:bottom w:val="single" w:sz="6" w:space="0" w:color="000000"/>
                    <w:right w:val="single" w:sz="6" w:space="0" w:color="000000"/>
                  </w:tcBorders>
                  <w:shd w:val="clear" w:color="auto" w:fill="F2F2F2"/>
                  <w:noWrap w:val="0"/>
                  <w:tcMar>
                    <w:top w:w="58" w:type="dxa"/>
                    <w:left w:w="58" w:type="dxa"/>
                    <w:bottom w:w="58" w:type="dxa"/>
                    <w:right w:w="58" w:type="dxa"/>
                  </w:tcMar>
                  <w:vAlign w:val="top"/>
                </w:tcPr>
                <w:p>
                  <w:pPr>
                    <w:shd w:val="clear" w:color="auto" w:fill="F2F2F2"/>
                    <w:bidi w:val="0"/>
                  </w:pP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Price per Bag</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Blair</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Serena</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Dan</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$0.90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0.80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0.70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110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0.60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0.40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170</w:t>
                  </w:r>
                </w:p>
              </w:tc>
            </w:tr>
            <w:tr>
              <w:tblPrEx>
                <w:tblW w:w="8865" w:type="dxa"/>
                <w:jc w:val="left"/>
                <w:tblCellMar>
                  <w:top w:w="60" w:type="dxa"/>
                  <w:left w:w="60" w:type="dxa"/>
                  <w:bottom w:w="60" w:type="dxa"/>
                  <w:right w:w="60" w:type="dxa"/>
                </w:tblCellMar>
              </w:tblPrEx>
              <w:trPr>
                <w:cantSplit w:val="0"/>
                <w:trHeight w:val="150"/>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0.30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86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The Demand for Potato Chips) Use Table: The Demand for Potato Chips. If Blair, Serena, and Dan are the only three buyers in the market, and the price of a bag of potato chips is $0.50, the total market quantity demanded is _____ bags per month.</w:t>
            </w:r>
          </w:p>
          <w:tbl>
            <w:tblPr>
              <w:tblW w:w="8865" w:type="dxa"/>
              <w:jc w:val="left"/>
              <w:tblBorders>
                <w:top w:val="nil"/>
                <w:left w:val="nil"/>
                <w:bottom w:val="nil"/>
                <w:right w:val="nil"/>
                <w:insideH w:val="nil"/>
                <w:insideV w:val="nil"/>
              </w:tblBorders>
              <w:tblCellMar>
                <w:top w:w="60" w:type="dxa"/>
                <w:left w:w="60" w:type="dxa"/>
                <w:bottom w:w="60" w:type="dxa"/>
                <w:right w:w="60" w:type="dxa"/>
              </w:tblCellMar>
            </w:tblPr>
            <w:tblGrid>
              <w:gridCol w:w="3432"/>
              <w:gridCol w:w="2748"/>
              <w:gridCol w:w="1380"/>
              <w:gridCol w:w="1305"/>
            </w:tblGrid>
            <w:tr>
              <w:tblPrEx>
                <w:tblW w:w="8865" w:type="dxa"/>
                <w:jc w:val="left"/>
                <w:tblBorders>
                  <w:top w:val="nil"/>
                  <w:left w:val="nil"/>
                  <w:bottom w:val="nil"/>
                  <w:right w:val="nil"/>
                  <w:insideH w:val="nil"/>
                  <w:insideV w:val="nil"/>
                </w:tblBorders>
                <w:tblCellMar>
                  <w:top w:w="60" w:type="dxa"/>
                  <w:left w:w="60" w:type="dxa"/>
                  <w:bottom w:w="60" w:type="dxa"/>
                  <w:right w:w="60" w:type="dxa"/>
                </w:tblCellMar>
              </w:tblPrEx>
              <w:trPr>
                <w:cantSplit w:val="0"/>
                <w:trHeight w:val="210"/>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Table: The Demand for Potato Chips</w:t>
                  </w:r>
                </w:p>
              </w:tc>
              <w:tc>
                <w:tcPr>
                  <w:tcW w:w="2935"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c>
                <w:tcPr>
                  <w:tcW w:w="1150"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c>
                <w:tcPr>
                  <w:tcW w:w="1075" w:type="dxa"/>
                  <w:tcBorders>
                    <w:top w:val="single" w:sz="6" w:space="0" w:color="000000"/>
                    <w:left w:val="single" w:sz="6" w:space="0" w:color="000000"/>
                    <w:bottom w:val="single" w:sz="6" w:space="0" w:color="000000"/>
                    <w:right w:val="single" w:sz="6" w:space="0" w:color="000000"/>
                  </w:tcBorders>
                  <w:noWrap w:val="0"/>
                  <w:tcMar>
                    <w:top w:w="58" w:type="dxa"/>
                    <w:left w:w="58" w:type="dxa"/>
                    <w:bottom w:w="58" w:type="dxa"/>
                    <w:right w:w="58" w:type="dxa"/>
                  </w:tcMar>
                  <w:vAlign w:val="top"/>
                </w:tcPr>
                <w:p>
                  <w:pPr>
                    <w:bidi w:val="0"/>
                  </w:pPr>
                </w:p>
              </w:tc>
            </w:tr>
            <w:tr>
              <w:tblPrEx>
                <w:tblW w:w="8865" w:type="dxa"/>
                <w:jc w:val="left"/>
                <w:tblCellMar>
                  <w:top w:w="60" w:type="dxa"/>
                  <w:left w:w="60" w:type="dxa"/>
                  <w:bottom w:w="60" w:type="dxa"/>
                  <w:right w:w="60" w:type="dxa"/>
                </w:tblCellMar>
              </w:tblPrEx>
              <w:trPr>
                <w:cantSplit w:val="0"/>
                <w:trHeight w:val="34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Quantity Demanded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(bags per month)</w:t>
                  </w:r>
                </w:p>
              </w:tc>
              <w:tc>
                <w:tcPr>
                  <w:tcW w:w="1150" w:type="dxa"/>
                  <w:tcBorders>
                    <w:top w:val="single" w:sz="6" w:space="0" w:color="000000"/>
                    <w:left w:val="single" w:sz="6" w:space="0" w:color="000000"/>
                    <w:bottom w:val="single" w:sz="6" w:space="0" w:color="000000"/>
                    <w:right w:val="single" w:sz="6" w:space="0" w:color="000000"/>
                  </w:tcBorders>
                  <w:shd w:val="clear" w:color="auto" w:fill="F2F2F2"/>
                  <w:noWrap w:val="0"/>
                  <w:tcMar>
                    <w:top w:w="58" w:type="dxa"/>
                    <w:left w:w="58" w:type="dxa"/>
                    <w:bottom w:w="58" w:type="dxa"/>
                    <w:right w:w="58" w:type="dxa"/>
                  </w:tcMar>
                  <w:vAlign w:val="top"/>
                </w:tcPr>
                <w:p>
                  <w:pPr>
                    <w:shd w:val="clear" w:color="auto" w:fill="F2F2F2"/>
                    <w:bidi w:val="0"/>
                  </w:pPr>
                </w:p>
              </w:tc>
              <w:tc>
                <w:tcPr>
                  <w:tcW w:w="1075" w:type="dxa"/>
                  <w:tcBorders>
                    <w:top w:val="single" w:sz="6" w:space="0" w:color="000000"/>
                    <w:left w:val="single" w:sz="6" w:space="0" w:color="000000"/>
                    <w:bottom w:val="single" w:sz="6" w:space="0" w:color="000000"/>
                    <w:right w:val="single" w:sz="6" w:space="0" w:color="000000"/>
                  </w:tcBorders>
                  <w:shd w:val="clear" w:color="auto" w:fill="F2F2F2"/>
                  <w:noWrap w:val="0"/>
                  <w:tcMar>
                    <w:top w:w="58" w:type="dxa"/>
                    <w:left w:w="58" w:type="dxa"/>
                    <w:bottom w:w="58" w:type="dxa"/>
                    <w:right w:w="58" w:type="dxa"/>
                  </w:tcMar>
                  <w:vAlign w:val="top"/>
                </w:tcPr>
                <w:p>
                  <w:pPr>
                    <w:shd w:val="clear" w:color="auto" w:fill="F2F2F2"/>
                    <w:bidi w:val="0"/>
                  </w:pP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Price per Bag</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Blair</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Serena</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Dan</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$0.90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0.80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0.70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110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0.60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8865" w:type="dxa"/>
                <w:jc w:val="left"/>
                <w:tblCellMar>
                  <w:top w:w="60" w:type="dxa"/>
                  <w:left w:w="60" w:type="dxa"/>
                  <w:bottom w:w="60" w:type="dxa"/>
                  <w:right w:w="60" w:type="dxa"/>
                </w:tblCellMar>
              </w:tblPrEx>
              <w:trPr>
                <w:cantSplit w:val="0"/>
                <w:trHeight w:val="165"/>
                <w:jc w:val="left"/>
              </w:trPr>
              <w:tc>
                <w:tcPr>
                  <w:tcW w:w="378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0.40</w:t>
                  </w:r>
                </w:p>
              </w:tc>
              <w:tc>
                <w:tcPr>
                  <w:tcW w:w="299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w:t>
                  </w:r>
                </w:p>
              </w:tc>
              <w:tc>
                <w:tcPr>
                  <w:tcW w:w="1208"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60</w:t>
                  </w:r>
                </w:p>
              </w:tc>
              <w:tc>
                <w:tcPr>
                  <w:tcW w:w="1133" w:type="dxa"/>
                  <w:tcBorders>
                    <w:top w:val="single" w:sz="6" w:space="0" w:color="000000"/>
                    <w:left w:val="single" w:sz="6" w:space="0" w:color="000000"/>
                    <w:bottom w:val="single" w:sz="6" w:space="0" w:color="000000"/>
                    <w:right w:val="single" w:sz="6" w:space="0" w:color="000000"/>
                  </w:tcBorders>
                  <w:noWrap w:val="0"/>
                  <w:tcMar>
                    <w:top w:w="0" w:type="dxa"/>
                    <w:left w:w="86" w:type="dxa"/>
                    <w:bottom w:w="0" w:type="dxa"/>
                    <w:right w:w="86"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170</w:t>
                  </w:r>
                </w:p>
              </w:tc>
            </w:tr>
            <w:tr>
              <w:tblPrEx>
                <w:tblW w:w="8865" w:type="dxa"/>
                <w:jc w:val="left"/>
                <w:tblCellMar>
                  <w:top w:w="60" w:type="dxa"/>
                  <w:left w:w="60" w:type="dxa"/>
                  <w:bottom w:w="60" w:type="dxa"/>
                  <w:right w:w="60" w:type="dxa"/>
                </w:tblCellMar>
              </w:tblPrEx>
              <w:trPr>
                <w:cantSplit w:val="0"/>
                <w:trHeight w:val="150"/>
                <w:jc w:val="left"/>
              </w:trPr>
              <w:tc>
                <w:tcPr>
                  <w:tcW w:w="378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0.30</w:t>
                  </w:r>
                </w:p>
              </w:tc>
              <w:tc>
                <w:tcPr>
                  <w:tcW w:w="299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c>
                <w:tcPr>
                  <w:tcW w:w="1208"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c>
                <w:tcPr>
                  <w:tcW w:w="1133" w:type="dxa"/>
                  <w:tcBorders>
                    <w:top w:val="single" w:sz="6" w:space="0" w:color="000000"/>
                    <w:left w:val="single" w:sz="6" w:space="0" w:color="000000"/>
                    <w:bottom w:val="single" w:sz="6" w:space="0" w:color="000000"/>
                    <w:right w:val="single" w:sz="6" w:space="0" w:color="000000"/>
                  </w:tcBorders>
                  <w:shd w:val="clear" w:color="auto" w:fill="F2F2F2"/>
                  <w:noWrap w:val="0"/>
                  <w:tcMar>
                    <w:top w:w="0" w:type="dxa"/>
                    <w:left w:w="86" w:type="dxa"/>
                    <w:bottom w:w="0" w:type="dxa"/>
                    <w:right w:w="86" w:type="dxa"/>
                  </w:tcMar>
                  <w:vAlign w:val="top"/>
                </w:tcPr>
                <w:p>
                  <w:pPr>
                    <w:shd w:val="clear" w:color="auto" w:fill="F2F2F2"/>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Coca Cola consumption recently decreased, the Coca Cola Company hired a survey firm to determine what was going on. The firm interviewed consumers, who said that rising Coke prices were discouraging them from purchasing Coke. This implies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movement along the demand curve for Coca Cola.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movement along the supply curve for Coca Cola.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shift of the demand curve for Coca Cola.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shift of the supply curve for Coca Cola.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the price of shampoo will generally result in a decrease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of shampoo.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of shampoo.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of shampoo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of shampoo supplied.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_____ for season tickets for the New York Rangers is the graphical representation of the number of season tickets people want to buy at any given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production possibility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quantity demanded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Tide falls and the demand for Purex decreases. We can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Tide and Purex are complements.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Tide and Purex are substitutes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Tide and Purex are 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Tide is a normal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market for fresh coffee, a normal good, which of these will shift the demand curve to the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coffee is planted in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coffee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Incomes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Consumers switch from coffee to tea.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yoghurt and smoothies are substitutes in consumption, then a rise in the price of yoghurt will cause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for smoothies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for smoothies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of smoothies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supply of smoothies to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 in income will be reflected in the market for passionfruit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in the demand for passionfruit if passionfruit is an inferior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the demand for passionfruit if passionfruit is a normal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 in the supply of passionfruit.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 in the demand for passionfruit if passionfruit has a very low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ramen noodles are an inferior good, then an increase in income will lead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leftward shift of the demand curve for ramen noodles.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rightward shift of the demand curve for ramen noodles.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movement up along the demand curve for ramen noodles.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movement down along the demand curve for ramen noodles.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Avery goes to the local supermarket to purchase one package of collard greens. She often pays $2.50 for a package, but she finds they are on sale for $1.50 each. According to the law of demand, shoppers like Avery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purchase an alternative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purchase more collard greens than they normally would.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decide not to purchase collard greens.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buy the same amount of collard greens as they always do, on average.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Recent research suggests that certain refillable plastic water bottles may leech cancer-causing particles into the containers with repeated usage. As a result of this research being made public, one would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demand for such containers to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quantity demanded of such containers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the containers to change because of a movement along the demand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Spaghetti and salad are related. If the price of spaghetti increases and the demand curve for salad shifts leftward, these goods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oranges and clementines are substitutes. Holding everything else constant, if the price of oranges decreases, then the demand for _____ will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clementines;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clementines;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oranges;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oranges;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Spaghetti and salad are related goods. Holding everything else constant, if the price of spaghetti decreases and the demand for salad increases, spaghetti and salad are probably: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Spaghetti and lasagna are substitutes. Holding all other things constant, this means that if the price of spaghetti increases, the demand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spaghetti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lasagna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spaghetti and lasagna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lasagna will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ramen noodles are an inferior good for Kim, then, holding all other things constant, as Kim's income increases, her demand for ramen noodles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exceed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stay the same.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demand for matcha will increase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decrease in the price of matcha.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prices of inputs needed to produce matcha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an increase in the number of matcha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sugar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the price of rare earth metals is increasing (this is one of the main components of most smartphones). As a consequence, people expect the price of smartphones to rise next year. Therefore, people will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purchase fewer smartphones this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observe higher prices for smartphones this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purchase the same amount of smartphones, since this expectation will have no effect on consumers this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decide to wait and purchase the smartphones next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Tamara notices that studying for one hour after class increases her statistics grade by 16 points. The second hour yields a 9-point gain, the third hour yields a 4-point gain, and the fourth hour yields only a 1-point gain. This means that the marginal _____ of studying decreases with study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the marginal benefit of an activity is equal to the price of the activity, the rational buyer should do _____ of the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that exact amount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find that the marginal benefit of eating one more yogurt is greater than the price of the yogurt. You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will be better off if you eat one more 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will be no better off and no worse off if you eat one more 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will be worse off if you eat one more 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cost of eating the yogurt will be greater than the total benefit of eating the yogurt.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Janelle loves sashimi. Her first piece of sashimi normally gives her a marginal benefit of $5. Each additional piece yields a marginal benefit that declines by $0.25 per piece. If her favorite sushi bar charges $2.75 per piece of sashimi, how many pieces should she 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Maria's Pizza offers one slice for $2, two slices for $3.50, three slices for $4.50, and four slices for $5.00. Gil orders two slices. From this information, we know that the marginal benefit to Gil of a second slice is at least _____, and the marginal benefit to Gil of a third slice is less than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$3.50; $4.50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$3.50;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 $4.50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Massimo ate cheesecake during one recent outing, he found that he enjoyed each additional slice less and less. This implies that his marginal benefit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76"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Antonio has a cell phone, and his service provider is AT&amp;T. When he calls his wife, Erika, who is also an AT&amp;T customer, he does not have to pay for those minutes. The more AT&amp;T customers there are in the market, the greater the benefit Antonio receives.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a network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the Coase theorem.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a Pigouvian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a technology spillover.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Facebook is subject to network effects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its value to an individual declines when the number of other people using it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22222"/>
                      <w:sz w:val="24"/>
                      <w:szCs w:val="24"/>
                      <w:bdr w:val="nil"/>
                      <w:rtl w:val="0"/>
                    </w:rPr>
                    <w:t>its value is determined only by its marginal private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its value to an individual increases when the number of other people using it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222222"/>
                      <w:sz w:val="24"/>
                      <w:szCs w:val="24"/>
                      <w:bdr w:val="nil"/>
                      <w:rtl w:val="0"/>
                    </w:rPr>
                    <w:t>it yields negative externalities.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law of demand. What does it tell us about the shape of a demand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demand states that when all other variables are held constant, a higher price of a good will tend to decrease the quantity demanded of that good. Graphically, we see this as a downward-sloping demand curve.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each of the listed events affect the demand for new textbooks?</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The price of used textbooks falls.</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The price of college tuition falls.</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More high school graduates decide to attend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 used textbook is a substitute for a new textbook. When used textbooks become cheaper, the demand for new textbooks decreases.</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 college course is a complement to a new textbook. If the price of attending college falls, more people will attend college, and the demand for new textbooks will increase.</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An increase in the number of students attending college will increase in the number of consumers of new textbooks. This increases the demand for both new and used textbooks.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these cases, explain what happens to demand or quantity demanded and how the change would be shown on a graph of the demand schedule.</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Assuming that tickets to an MLB game are normal goods, what is the effect of an increase in the incomes of MLB fans?</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Assuming that DAZN and ESPN prime are substitutes, what happens if the price of DAZN subscriptions increases?</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Assuming that data plans and cell phones are complements, what happens if the price of data plans decreases?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If fans' incomes increase, and tickets are a normal good, the demand for tickets will increase, shown by a shift of the demand curve for tickets to the right.</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 An increase in the price of a DAZN subscription will lead to a decrease in the quantity of DAZN subscriptions demanded, shown by a movement up and to the left along the demand curve for DAZN subscriptions. If subscriptions to DAZN and ESPN prime are substitutes, the demand for ESPN subscriptions will increase, represented by a shift of the demand curve for ESPN subscriptions to the right.</w:t>
                  </w:r>
                </w:p>
                <w:p>
                  <w:pPr>
                    <w:pStyle w:val="p"/>
                    <w:bidi w:val="0"/>
                    <w:spacing w:before="0" w:beforeAutospacing="0" w:after="0" w:afterAutospacing="0" w:line="276"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III. If the price of data plans decreases, the quantity of data plans demanded will increase, shown by a movement down and to the right along the data plan demand curve. The demand for cell phones will increase, shown by a shift to the right of the demand curve for cell phones.</w:t>
                  </w:r>
                </w:p>
              </w:tc>
            </w:tr>
          </w:tbl>
          <w:p/>
        </w:tc>
      </w:tr>
    </w:tbl>
    <w:p>
      <w:pPr>
        <w:bidi w:val="0"/>
        <w:spacing w:after="75"/>
        <w:jc w:val="left"/>
      </w:pPr>
    </w:p>
    <w:p>
      <w:pPr>
        <w:bidi w:val="0"/>
        <w:spacing w:after="75"/>
        <w:jc w:val="left"/>
      </w:pPr>
    </w:p>
    <w:sectPr>
      <w:headerReference w:type="default" r:id="rId26"/>
      <w:footerReference w:type="default" r:id="rId2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02: Demand: Thinking Like a Buyer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Demand: Thinking Like a Buyer</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