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76524" w14:textId="77777777" w:rsidR="00532543" w:rsidRPr="0007256F" w:rsidRDefault="00532543" w:rsidP="00532543">
      <w:pPr>
        <w:spacing w:after="0"/>
        <w:jc w:val="center"/>
        <w:rPr>
          <w:rFonts w:ascii="Times New Roman" w:hAnsi="Times New Roman" w:cs="Times New Roman"/>
          <w:b/>
          <w:i/>
          <w:sz w:val="28"/>
          <w:szCs w:val="28"/>
        </w:rPr>
      </w:pPr>
      <w:r w:rsidRPr="0007256F">
        <w:rPr>
          <w:rFonts w:ascii="Times New Roman" w:hAnsi="Times New Roman" w:cs="Times New Roman"/>
          <w:b/>
          <w:i/>
          <w:sz w:val="28"/>
          <w:szCs w:val="28"/>
        </w:rPr>
        <w:t xml:space="preserve">Population Health: </w:t>
      </w:r>
      <w:r>
        <w:rPr>
          <w:rFonts w:ascii="Times New Roman" w:hAnsi="Times New Roman" w:cs="Times New Roman"/>
          <w:b/>
          <w:i/>
          <w:sz w:val="28"/>
          <w:szCs w:val="28"/>
        </w:rPr>
        <w:t>A Primer</w:t>
      </w:r>
    </w:p>
    <w:p w14:paraId="38C001E7" w14:textId="77777777" w:rsidR="00532543" w:rsidRDefault="00532543" w:rsidP="00532543">
      <w:pPr>
        <w:spacing w:after="0"/>
        <w:jc w:val="center"/>
        <w:rPr>
          <w:rFonts w:ascii="Times New Roman" w:hAnsi="Times New Roman" w:cs="Times New Roman"/>
          <w:b/>
          <w:sz w:val="28"/>
          <w:szCs w:val="28"/>
        </w:rPr>
      </w:pPr>
    </w:p>
    <w:p w14:paraId="3915BD01" w14:textId="77777777" w:rsidR="00532543" w:rsidRDefault="00532543" w:rsidP="00532543">
      <w:pPr>
        <w:spacing w:after="0"/>
        <w:jc w:val="center"/>
        <w:rPr>
          <w:rFonts w:ascii="Times New Roman" w:hAnsi="Times New Roman" w:cs="Times New Roman"/>
          <w:b/>
          <w:sz w:val="28"/>
          <w:szCs w:val="28"/>
        </w:rPr>
      </w:pPr>
      <w:r>
        <w:rPr>
          <w:rFonts w:ascii="Times New Roman" w:hAnsi="Times New Roman" w:cs="Times New Roman"/>
          <w:b/>
          <w:sz w:val="28"/>
          <w:szCs w:val="28"/>
        </w:rPr>
        <w:t>Instructor’s Guide with Sample Answers to Selected Case Studies</w:t>
      </w:r>
    </w:p>
    <w:p w14:paraId="1200B126" w14:textId="77777777" w:rsidR="00532543" w:rsidRDefault="00532543" w:rsidP="00532543">
      <w:pPr>
        <w:spacing w:after="0"/>
        <w:jc w:val="center"/>
        <w:rPr>
          <w:rFonts w:ascii="Times New Roman" w:hAnsi="Times New Roman" w:cs="Times New Roman"/>
          <w:b/>
          <w:sz w:val="28"/>
          <w:szCs w:val="28"/>
        </w:rPr>
      </w:pPr>
    </w:p>
    <w:p w14:paraId="3F98B3DB" w14:textId="77777777" w:rsidR="00532543" w:rsidRDefault="00532543" w:rsidP="00532543">
      <w:pPr>
        <w:spacing w:after="0"/>
        <w:jc w:val="center"/>
        <w:rPr>
          <w:rFonts w:ascii="Times New Roman" w:hAnsi="Times New Roman" w:cs="Times New Roman"/>
          <w:b/>
          <w:sz w:val="28"/>
          <w:szCs w:val="28"/>
        </w:rPr>
      </w:pPr>
      <w:r>
        <w:rPr>
          <w:rFonts w:ascii="Times New Roman" w:hAnsi="Times New Roman" w:cs="Times New Roman"/>
          <w:b/>
          <w:sz w:val="28"/>
          <w:szCs w:val="28"/>
        </w:rPr>
        <w:t>Richard Riegelman MD, MPH, PhD</w:t>
      </w:r>
    </w:p>
    <w:p w14:paraId="6038A31C" w14:textId="77777777" w:rsidR="00532543" w:rsidRDefault="00532543" w:rsidP="00532543">
      <w:pPr>
        <w:rPr>
          <w:rFonts w:ascii="Times New Roman" w:hAnsi="Times New Roman" w:cs="Times New Roman"/>
          <w:b/>
          <w:sz w:val="28"/>
          <w:szCs w:val="28"/>
        </w:rPr>
      </w:pPr>
    </w:p>
    <w:p w14:paraId="77D65F1B" w14:textId="77777777" w:rsidR="00532543" w:rsidRDefault="00532543" w:rsidP="00532543">
      <w:pPr>
        <w:rPr>
          <w:rFonts w:ascii="Times New Roman" w:hAnsi="Times New Roman" w:cs="Times New Roman"/>
          <w:b/>
          <w:sz w:val="28"/>
          <w:szCs w:val="28"/>
        </w:rPr>
      </w:pPr>
      <w:r>
        <w:rPr>
          <w:rFonts w:ascii="Times New Roman" w:hAnsi="Times New Roman" w:cs="Times New Roman"/>
          <w:b/>
          <w:sz w:val="28"/>
          <w:szCs w:val="28"/>
        </w:rPr>
        <w:br w:type="page"/>
      </w:r>
    </w:p>
    <w:p w14:paraId="760B8B43" w14:textId="77777777" w:rsidR="00532543" w:rsidRDefault="00532543" w:rsidP="00532543">
      <w:pPr>
        <w:spacing w:after="0"/>
        <w:rPr>
          <w:rFonts w:ascii="Times New Roman" w:hAnsi="Times New Roman" w:cs="Times New Roman"/>
          <w:b/>
          <w:sz w:val="28"/>
          <w:szCs w:val="28"/>
        </w:rPr>
      </w:pPr>
    </w:p>
    <w:p w14:paraId="33EA7E4E" w14:textId="77777777" w:rsidR="00532543" w:rsidRPr="0079337D" w:rsidRDefault="00532543" w:rsidP="00532543">
      <w:pPr>
        <w:spacing w:after="0"/>
        <w:rPr>
          <w:rFonts w:ascii="Times New Roman" w:hAnsi="Times New Roman" w:cs="Times New Roman"/>
          <w:b/>
          <w:sz w:val="28"/>
          <w:szCs w:val="28"/>
        </w:rPr>
      </w:pPr>
      <w:r w:rsidRPr="0079337D">
        <w:rPr>
          <w:rFonts w:ascii="Times New Roman" w:hAnsi="Times New Roman" w:cs="Times New Roman"/>
          <w:b/>
          <w:sz w:val="28"/>
          <w:szCs w:val="28"/>
        </w:rPr>
        <w:t xml:space="preserve">Why Adopt </w:t>
      </w:r>
      <w:r w:rsidRPr="0007256F">
        <w:rPr>
          <w:rFonts w:ascii="Times New Roman" w:hAnsi="Times New Roman" w:cs="Times New Roman"/>
          <w:b/>
          <w:i/>
          <w:sz w:val="28"/>
          <w:szCs w:val="28"/>
        </w:rPr>
        <w:t>Population Health: A Primer</w:t>
      </w:r>
      <w:r w:rsidRPr="0079337D">
        <w:rPr>
          <w:rFonts w:ascii="Times New Roman" w:hAnsi="Times New Roman" w:cs="Times New Roman"/>
          <w:b/>
          <w:sz w:val="28"/>
          <w:szCs w:val="28"/>
        </w:rPr>
        <w:t>?</w:t>
      </w:r>
    </w:p>
    <w:p w14:paraId="45FC3EA4" w14:textId="77777777" w:rsidR="00532543" w:rsidRDefault="00532543" w:rsidP="00532543">
      <w:pPr>
        <w:spacing w:after="0"/>
        <w:rPr>
          <w:rFonts w:ascii="Times New Roman" w:hAnsi="Times New Roman" w:cs="Times New Roman"/>
          <w:sz w:val="24"/>
          <w:szCs w:val="24"/>
        </w:rPr>
      </w:pPr>
    </w:p>
    <w:p w14:paraId="78FBFE47" w14:textId="77777777" w:rsidR="00532543" w:rsidRPr="0079337D" w:rsidRDefault="00532543" w:rsidP="00532543">
      <w:pPr>
        <w:spacing w:after="0"/>
        <w:rPr>
          <w:rFonts w:ascii="Times New Roman" w:hAnsi="Times New Roman" w:cs="Times New Roman"/>
          <w:sz w:val="24"/>
          <w:szCs w:val="24"/>
        </w:rPr>
      </w:pPr>
      <w:r w:rsidRPr="0079337D">
        <w:rPr>
          <w:rFonts w:ascii="Times New Roman" w:hAnsi="Times New Roman" w:cs="Times New Roman"/>
          <w:sz w:val="24"/>
          <w:szCs w:val="24"/>
        </w:rPr>
        <w:t>In recent years</w:t>
      </w:r>
      <w:r>
        <w:rPr>
          <w:rFonts w:ascii="Times New Roman" w:hAnsi="Times New Roman" w:cs="Times New Roman"/>
          <w:sz w:val="24"/>
          <w:szCs w:val="24"/>
        </w:rPr>
        <w:t>,</w:t>
      </w:r>
      <w:r w:rsidRPr="0079337D">
        <w:rPr>
          <w:rFonts w:ascii="Times New Roman" w:hAnsi="Times New Roman" w:cs="Times New Roman"/>
          <w:sz w:val="24"/>
          <w:szCs w:val="24"/>
        </w:rPr>
        <w:t xml:space="preserve"> major efforts have been made to define the content of population health so that it can be integrated into the basic </w:t>
      </w:r>
      <w:r>
        <w:rPr>
          <w:rFonts w:ascii="Times New Roman" w:hAnsi="Times New Roman" w:cs="Times New Roman"/>
          <w:sz w:val="24"/>
          <w:szCs w:val="24"/>
        </w:rPr>
        <w:t>educational requirements</w:t>
      </w:r>
      <w:r w:rsidRPr="0079337D">
        <w:rPr>
          <w:rFonts w:ascii="Times New Roman" w:hAnsi="Times New Roman" w:cs="Times New Roman"/>
          <w:sz w:val="24"/>
          <w:szCs w:val="24"/>
        </w:rPr>
        <w:t xml:space="preserve"> of clinical and health administration professionals as well as </w:t>
      </w:r>
      <w:r>
        <w:rPr>
          <w:rFonts w:ascii="Times New Roman" w:hAnsi="Times New Roman" w:cs="Times New Roman"/>
          <w:sz w:val="24"/>
          <w:szCs w:val="24"/>
        </w:rPr>
        <w:t xml:space="preserve">those working in </w:t>
      </w:r>
      <w:r w:rsidRPr="0079337D">
        <w:rPr>
          <w:rFonts w:ascii="Times New Roman" w:hAnsi="Times New Roman" w:cs="Times New Roman"/>
          <w:sz w:val="24"/>
          <w:szCs w:val="24"/>
        </w:rPr>
        <w:t>public health.</w:t>
      </w:r>
      <w:r>
        <w:rPr>
          <w:rFonts w:ascii="Times New Roman" w:hAnsi="Times New Roman" w:cs="Times New Roman"/>
          <w:sz w:val="24"/>
          <w:szCs w:val="24"/>
        </w:rPr>
        <w:t xml:space="preserve"> These national efforts are highlighted below:</w:t>
      </w:r>
      <w:r w:rsidRPr="0079337D">
        <w:rPr>
          <w:rFonts w:ascii="Times New Roman" w:hAnsi="Times New Roman" w:cs="Times New Roman"/>
          <w:sz w:val="24"/>
          <w:szCs w:val="24"/>
        </w:rPr>
        <w:t xml:space="preserve"> </w:t>
      </w:r>
    </w:p>
    <w:p w14:paraId="7656EECA" w14:textId="77777777" w:rsidR="00532543" w:rsidRPr="0079337D" w:rsidRDefault="00532543" w:rsidP="00532543">
      <w:pPr>
        <w:pStyle w:val="ListParagraph"/>
        <w:numPr>
          <w:ilvl w:val="0"/>
          <w:numId w:val="1"/>
        </w:numPr>
        <w:tabs>
          <w:tab w:val="left" w:pos="5670"/>
        </w:tabs>
        <w:spacing w:after="0" w:line="276" w:lineRule="auto"/>
        <w:rPr>
          <w:rFonts w:ascii="Times New Roman" w:hAnsi="Times New Roman" w:cs="Times New Roman"/>
          <w:sz w:val="24"/>
          <w:szCs w:val="24"/>
        </w:rPr>
      </w:pPr>
      <w:r w:rsidRPr="0079337D">
        <w:rPr>
          <w:rFonts w:ascii="Times New Roman" w:hAnsi="Times New Roman" w:cs="Times New Roman"/>
          <w:sz w:val="24"/>
          <w:szCs w:val="24"/>
        </w:rPr>
        <w:t>The Healthy People Curriculum Task Force</w:t>
      </w:r>
      <w:r>
        <w:rPr>
          <w:rFonts w:ascii="Times New Roman" w:hAnsi="Times New Roman" w:cs="Times New Roman"/>
          <w:sz w:val="24"/>
          <w:szCs w:val="24"/>
        </w:rPr>
        <w:t xml:space="preserve"> is</w:t>
      </w:r>
      <w:r w:rsidRPr="0079337D">
        <w:rPr>
          <w:rFonts w:ascii="Times New Roman" w:hAnsi="Times New Roman" w:cs="Times New Roman"/>
          <w:sz w:val="24"/>
          <w:szCs w:val="24"/>
        </w:rPr>
        <w:t xml:space="preserve"> made up of representatives of </w:t>
      </w:r>
      <w:r>
        <w:rPr>
          <w:rFonts w:ascii="Times New Roman" w:hAnsi="Times New Roman" w:cs="Times New Roman"/>
          <w:sz w:val="24"/>
          <w:szCs w:val="24"/>
        </w:rPr>
        <w:t>eight</w:t>
      </w:r>
      <w:r w:rsidRPr="0079337D">
        <w:rPr>
          <w:rFonts w:ascii="Times New Roman" w:hAnsi="Times New Roman" w:cs="Times New Roman"/>
          <w:sz w:val="24"/>
          <w:szCs w:val="24"/>
        </w:rPr>
        <w:t xml:space="preserve"> clinical health professions educational organizations</w:t>
      </w:r>
      <w:r>
        <w:rPr>
          <w:rFonts w:ascii="Times New Roman" w:hAnsi="Times New Roman" w:cs="Times New Roman"/>
          <w:sz w:val="24"/>
          <w:szCs w:val="24"/>
        </w:rPr>
        <w:t>, including nursing and nurse practitioners, allopathic and osteopathic medicine, pharmacy, dentistry, physician assistants, allied health</w:t>
      </w:r>
      <w:r w:rsidRPr="0079337D">
        <w:rPr>
          <w:rFonts w:ascii="Times New Roman" w:hAnsi="Times New Roman" w:cs="Times New Roman"/>
          <w:sz w:val="24"/>
          <w:szCs w:val="24"/>
        </w:rPr>
        <w:t xml:space="preserve"> as well as public health</w:t>
      </w:r>
      <w:r>
        <w:rPr>
          <w:rFonts w:ascii="Times New Roman" w:hAnsi="Times New Roman" w:cs="Times New Roman"/>
          <w:sz w:val="24"/>
          <w:szCs w:val="24"/>
        </w:rPr>
        <w:t>. The Task Force</w:t>
      </w:r>
      <w:r w:rsidRPr="0079337D">
        <w:rPr>
          <w:rFonts w:ascii="Times New Roman" w:hAnsi="Times New Roman" w:cs="Times New Roman"/>
          <w:sz w:val="24"/>
          <w:szCs w:val="24"/>
        </w:rPr>
        <w:t xml:space="preserve"> has developed the Clinical Prevention &amp; Population Health Curriculum Framework</w:t>
      </w:r>
      <w:r>
        <w:rPr>
          <w:rFonts w:ascii="Times New Roman" w:hAnsi="Times New Roman" w:cs="Times New Roman"/>
          <w:sz w:val="24"/>
          <w:szCs w:val="24"/>
        </w:rPr>
        <w:t>. This framework</w:t>
      </w:r>
      <w:r w:rsidRPr="0079337D">
        <w:rPr>
          <w:rFonts w:ascii="Times New Roman" w:hAnsi="Times New Roman" w:cs="Times New Roman"/>
          <w:sz w:val="24"/>
          <w:szCs w:val="24"/>
        </w:rPr>
        <w:t xml:space="preserve"> specifically </w:t>
      </w:r>
      <w:r>
        <w:rPr>
          <w:rFonts w:ascii="Times New Roman" w:hAnsi="Times New Roman" w:cs="Times New Roman"/>
          <w:sz w:val="24"/>
          <w:szCs w:val="24"/>
        </w:rPr>
        <w:t xml:space="preserve">includes two population health components: </w:t>
      </w:r>
      <w:r w:rsidRPr="0079337D">
        <w:rPr>
          <w:rFonts w:ascii="Times New Roman" w:hAnsi="Times New Roman" w:cs="Times New Roman"/>
          <w:sz w:val="24"/>
          <w:szCs w:val="24"/>
        </w:rPr>
        <w:t xml:space="preserve">Foundations of Population Health and Clinical Practice </w:t>
      </w:r>
      <w:r>
        <w:rPr>
          <w:rFonts w:ascii="Times New Roman" w:hAnsi="Times New Roman" w:cs="Times New Roman"/>
          <w:sz w:val="24"/>
          <w:szCs w:val="24"/>
        </w:rPr>
        <w:t>and</w:t>
      </w:r>
      <w:r w:rsidRPr="0079337D">
        <w:rPr>
          <w:rFonts w:ascii="Times New Roman" w:hAnsi="Times New Roman" w:cs="Times New Roman"/>
          <w:sz w:val="24"/>
          <w:szCs w:val="24"/>
        </w:rPr>
        <w:t xml:space="preserve"> Population Health. These recommendations have been widely accepted </w:t>
      </w:r>
      <w:r>
        <w:rPr>
          <w:rFonts w:ascii="Times New Roman" w:hAnsi="Times New Roman" w:cs="Times New Roman"/>
          <w:sz w:val="24"/>
          <w:szCs w:val="24"/>
        </w:rPr>
        <w:t>and are</w:t>
      </w:r>
      <w:r w:rsidRPr="0079337D">
        <w:rPr>
          <w:rFonts w:ascii="Times New Roman" w:hAnsi="Times New Roman" w:cs="Times New Roman"/>
          <w:sz w:val="24"/>
          <w:szCs w:val="24"/>
        </w:rPr>
        <w:t xml:space="preserve"> being incorporated in the accreditation requirements for graduate nursing, physician assistants</w:t>
      </w:r>
      <w:r>
        <w:rPr>
          <w:rFonts w:ascii="Times New Roman" w:hAnsi="Times New Roman" w:cs="Times New Roman"/>
          <w:sz w:val="24"/>
          <w:szCs w:val="24"/>
        </w:rPr>
        <w:t>,</w:t>
      </w:r>
      <w:r w:rsidRPr="0079337D">
        <w:rPr>
          <w:rFonts w:ascii="Times New Roman" w:hAnsi="Times New Roman" w:cs="Times New Roman"/>
          <w:sz w:val="24"/>
          <w:szCs w:val="24"/>
        </w:rPr>
        <w:t xml:space="preserve"> and pharmacy. (</w:t>
      </w:r>
      <w:r>
        <w:rPr>
          <w:rFonts w:ascii="Times New Roman" w:hAnsi="Times New Roman" w:cs="Times New Roman"/>
          <w:sz w:val="24"/>
          <w:szCs w:val="24"/>
        </w:rPr>
        <w:t>S</w:t>
      </w:r>
      <w:r w:rsidRPr="0079337D">
        <w:rPr>
          <w:rFonts w:ascii="Times New Roman" w:hAnsi="Times New Roman" w:cs="Times New Roman"/>
          <w:sz w:val="24"/>
          <w:szCs w:val="24"/>
        </w:rPr>
        <w:t xml:space="preserve">ee </w:t>
      </w:r>
      <w:hyperlink r:id="rId7" w:history="1">
        <w:r w:rsidRPr="00DA5B96">
          <w:rPr>
            <w:rStyle w:val="Hyperlink"/>
            <w:rFonts w:ascii="Times New Roman" w:hAnsi="Times New Roman" w:cs="Times New Roman"/>
            <w:sz w:val="24"/>
            <w:szCs w:val="24"/>
          </w:rPr>
          <w:t>www.teachpopulationhealth.org/</w:t>
        </w:r>
      </w:hyperlink>
      <w:r w:rsidRPr="0079337D">
        <w:rPr>
          <w:rFonts w:ascii="Times New Roman" w:hAnsi="Times New Roman" w:cs="Times New Roman"/>
          <w:sz w:val="24"/>
          <w:szCs w:val="24"/>
        </w:rPr>
        <w:t>)</w:t>
      </w:r>
    </w:p>
    <w:p w14:paraId="0013A51C" w14:textId="77777777" w:rsidR="00532543" w:rsidRPr="0079337D" w:rsidRDefault="00532543" w:rsidP="00532543">
      <w:pPr>
        <w:pStyle w:val="ListParagraph"/>
        <w:numPr>
          <w:ilvl w:val="0"/>
          <w:numId w:val="1"/>
        </w:numPr>
        <w:tabs>
          <w:tab w:val="left" w:pos="5670"/>
        </w:tabs>
        <w:spacing w:after="0" w:line="276" w:lineRule="auto"/>
        <w:rPr>
          <w:rFonts w:ascii="Times New Roman" w:hAnsi="Times New Roman" w:cs="Times New Roman"/>
          <w:sz w:val="24"/>
          <w:szCs w:val="24"/>
        </w:rPr>
      </w:pPr>
      <w:r w:rsidRPr="0079337D">
        <w:rPr>
          <w:rFonts w:ascii="Times New Roman" w:hAnsi="Times New Roman" w:cs="Times New Roman"/>
          <w:sz w:val="24"/>
          <w:szCs w:val="24"/>
        </w:rPr>
        <w:t>The Association of Schools and Programs of Public Health</w:t>
      </w:r>
      <w:r>
        <w:rPr>
          <w:rFonts w:ascii="Times New Roman" w:hAnsi="Times New Roman" w:cs="Times New Roman"/>
          <w:sz w:val="24"/>
          <w:szCs w:val="24"/>
        </w:rPr>
        <w:t xml:space="preserve"> (ASPPH)</w:t>
      </w:r>
      <w:r w:rsidRPr="0079337D">
        <w:rPr>
          <w:rFonts w:ascii="Times New Roman" w:hAnsi="Times New Roman" w:cs="Times New Roman"/>
          <w:sz w:val="24"/>
          <w:szCs w:val="24"/>
        </w:rPr>
        <w:t xml:space="preserve"> has reinforced the need for integration of population health into clinical and administrative health professions in their publication </w:t>
      </w:r>
      <w:r w:rsidRPr="00B14FAD">
        <w:rPr>
          <w:rFonts w:ascii="Times New Roman" w:hAnsi="Times New Roman" w:cs="Times New Roman"/>
          <w:i/>
          <w:sz w:val="24"/>
          <w:szCs w:val="24"/>
        </w:rPr>
        <w:t>Population Health Across All Professions</w:t>
      </w:r>
      <w:r>
        <w:rPr>
          <w:rFonts w:ascii="Times New Roman" w:hAnsi="Times New Roman" w:cs="Times New Roman"/>
          <w:i/>
          <w:sz w:val="24"/>
          <w:szCs w:val="24"/>
        </w:rPr>
        <w:t>,</w:t>
      </w:r>
      <w:r w:rsidRPr="0079337D">
        <w:rPr>
          <w:rFonts w:ascii="Times New Roman" w:hAnsi="Times New Roman" w:cs="Times New Roman"/>
          <w:sz w:val="24"/>
          <w:szCs w:val="24"/>
        </w:rPr>
        <w:t xml:space="preserve"> which recognizes the need for and approaches to interprofessional collaboration. (</w:t>
      </w:r>
      <w:r>
        <w:rPr>
          <w:rFonts w:ascii="Times New Roman" w:hAnsi="Times New Roman" w:cs="Times New Roman"/>
          <w:sz w:val="24"/>
          <w:szCs w:val="24"/>
        </w:rPr>
        <w:t>S</w:t>
      </w:r>
      <w:r w:rsidRPr="0079337D">
        <w:rPr>
          <w:rFonts w:ascii="Times New Roman" w:hAnsi="Times New Roman" w:cs="Times New Roman"/>
          <w:sz w:val="24"/>
          <w:szCs w:val="24"/>
        </w:rPr>
        <w:t xml:space="preserve">ee </w:t>
      </w:r>
      <w:hyperlink r:id="rId8" w:history="1">
        <w:r w:rsidRPr="00DA5B96">
          <w:rPr>
            <w:rStyle w:val="Hyperlink"/>
            <w:rFonts w:ascii="Times New Roman" w:hAnsi="Times New Roman" w:cs="Times New Roman"/>
            <w:sz w:val="24"/>
            <w:szCs w:val="24"/>
          </w:rPr>
          <w:t>www.aspph.org/ftf-reports/population-health-in-all-professions/</w:t>
        </w:r>
      </w:hyperlink>
      <w:r w:rsidRPr="0079337D">
        <w:rPr>
          <w:rFonts w:ascii="Times New Roman" w:hAnsi="Times New Roman" w:cs="Times New Roman"/>
          <w:sz w:val="24"/>
          <w:szCs w:val="24"/>
        </w:rPr>
        <w:t>)</w:t>
      </w:r>
    </w:p>
    <w:p w14:paraId="0CB1E20A" w14:textId="77777777" w:rsidR="00532543" w:rsidRDefault="00532543" w:rsidP="00532543">
      <w:pPr>
        <w:tabs>
          <w:tab w:val="left" w:pos="5670"/>
        </w:tabs>
        <w:spacing w:after="0" w:line="276" w:lineRule="auto"/>
      </w:pPr>
    </w:p>
    <w:p w14:paraId="1F395C53" w14:textId="77777777" w:rsidR="00532543" w:rsidRPr="00C1286A" w:rsidRDefault="00532543" w:rsidP="00532543">
      <w:pPr>
        <w:pStyle w:val="ListParagraph"/>
        <w:ind w:left="0"/>
        <w:rPr>
          <w:rFonts w:ascii="Times New Roman" w:hAnsi="Times New Roman" w:cs="Times New Roman"/>
          <w:sz w:val="24"/>
          <w:szCs w:val="24"/>
        </w:rPr>
      </w:pPr>
      <w:r w:rsidRPr="0007256F">
        <w:rPr>
          <w:rFonts w:ascii="Times New Roman" w:hAnsi="Times New Roman" w:cs="Times New Roman"/>
          <w:i/>
          <w:sz w:val="24"/>
          <w:szCs w:val="24"/>
        </w:rPr>
        <w:t xml:space="preserve">Population Health: A Primer </w:t>
      </w:r>
      <w:r w:rsidRPr="00C1286A">
        <w:rPr>
          <w:rFonts w:ascii="Times New Roman" w:hAnsi="Times New Roman" w:cs="Times New Roman"/>
          <w:sz w:val="24"/>
          <w:szCs w:val="24"/>
        </w:rPr>
        <w:t>addresses the intent and much of the content of these reports. It provides the basis to integrating population health into the basic degree requirements of a broad range of health professions.</w:t>
      </w:r>
      <w:r>
        <w:rPr>
          <w:rFonts w:ascii="Times New Roman" w:hAnsi="Times New Roman" w:cs="Times New Roman"/>
          <w:sz w:val="24"/>
          <w:szCs w:val="24"/>
        </w:rPr>
        <w:t xml:space="preserve"> The goal is to enable clinical and administrative health professionals to be full participants in improving population health.</w:t>
      </w:r>
    </w:p>
    <w:p w14:paraId="7697903E" w14:textId="77777777" w:rsidR="00532543" w:rsidRDefault="00532543" w:rsidP="00532543">
      <w:pPr>
        <w:rPr>
          <w:rFonts w:ascii="Times New Roman" w:hAnsi="Times New Roman" w:cs="Times New Roman"/>
          <w:b/>
          <w:sz w:val="28"/>
          <w:szCs w:val="28"/>
        </w:rPr>
      </w:pPr>
      <w:r>
        <w:rPr>
          <w:rFonts w:ascii="Times New Roman" w:hAnsi="Times New Roman" w:cs="Times New Roman"/>
          <w:b/>
          <w:sz w:val="28"/>
          <w:szCs w:val="28"/>
        </w:rPr>
        <w:t>How Can You Use</w:t>
      </w:r>
      <w:r w:rsidRPr="0079337D">
        <w:rPr>
          <w:rFonts w:ascii="Times New Roman" w:hAnsi="Times New Roman" w:cs="Times New Roman"/>
          <w:b/>
          <w:sz w:val="28"/>
          <w:szCs w:val="28"/>
        </w:rPr>
        <w:t xml:space="preserve"> Population Health: A Primer</w:t>
      </w:r>
      <w:r>
        <w:rPr>
          <w:rFonts w:ascii="Times New Roman" w:hAnsi="Times New Roman" w:cs="Times New Roman"/>
          <w:b/>
          <w:sz w:val="28"/>
          <w:szCs w:val="28"/>
        </w:rPr>
        <w:t>?</w:t>
      </w:r>
    </w:p>
    <w:p w14:paraId="2F859C13" w14:textId="77777777" w:rsidR="00532543" w:rsidRDefault="00532543" w:rsidP="00532543">
      <w:pPr>
        <w:rPr>
          <w:rFonts w:ascii="Times New Roman" w:hAnsi="Times New Roman" w:cs="Times New Roman"/>
          <w:sz w:val="24"/>
          <w:szCs w:val="24"/>
        </w:rPr>
      </w:pPr>
      <w:r w:rsidRPr="0007256F">
        <w:rPr>
          <w:rFonts w:ascii="Times New Roman" w:hAnsi="Times New Roman" w:cs="Times New Roman"/>
          <w:i/>
          <w:sz w:val="24"/>
          <w:szCs w:val="24"/>
        </w:rPr>
        <w:t xml:space="preserve">Population Health: A Primer </w:t>
      </w:r>
      <w:r>
        <w:rPr>
          <w:rFonts w:ascii="Times New Roman" w:hAnsi="Times New Roman" w:cs="Times New Roman"/>
          <w:sz w:val="24"/>
          <w:szCs w:val="24"/>
        </w:rPr>
        <w:t xml:space="preserve"> is designed as an overview of population health and can be used as standalone material or incorporated into existing courses to introduce students to key population health concepts. It provides a series of frameworks that can be used as the basis for ongoing education at the preclinical and clinical levels. </w:t>
      </w:r>
    </w:p>
    <w:p w14:paraId="33C160FE" w14:textId="77777777" w:rsidR="00532543" w:rsidRDefault="00532543" w:rsidP="00532543">
      <w:pPr>
        <w:rPr>
          <w:rFonts w:ascii="Times New Roman" w:hAnsi="Times New Roman" w:cs="Times New Roman"/>
          <w:sz w:val="24"/>
          <w:szCs w:val="24"/>
        </w:rPr>
      </w:pPr>
      <w:r>
        <w:rPr>
          <w:rFonts w:ascii="Times New Roman" w:hAnsi="Times New Roman" w:cs="Times New Roman"/>
          <w:sz w:val="24"/>
          <w:szCs w:val="24"/>
        </w:rPr>
        <w:t>This primer is designed as an introduction to a set of primers, which together are being designed to provide a comprehensive approach to population health for use as part of basic coursework for clinical and administrative health professionals. Additional population health primers will include such topics as:</w:t>
      </w:r>
    </w:p>
    <w:p w14:paraId="1CB2ACD1" w14:textId="77777777" w:rsidR="00532543" w:rsidRDefault="00532543" w:rsidP="00532543">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Climate Change &amp; Population Health</w:t>
      </w:r>
    </w:p>
    <w:p w14:paraId="0D9C9EC7" w14:textId="77777777" w:rsidR="00532543" w:rsidRDefault="00532543" w:rsidP="00532543">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Opioids &amp; Population Health</w:t>
      </w:r>
    </w:p>
    <w:p w14:paraId="4C83EB65" w14:textId="77777777" w:rsidR="00532543" w:rsidRDefault="00532543" w:rsidP="00532543">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Biostatistics &amp; Population Health</w:t>
      </w:r>
    </w:p>
    <w:p w14:paraId="7BEA56E2" w14:textId="77777777" w:rsidR="00532543" w:rsidRDefault="00532543" w:rsidP="00532543">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Health Information Systems &amp; Population Health</w:t>
      </w:r>
    </w:p>
    <w:p w14:paraId="68140A18" w14:textId="77777777" w:rsidR="00532543" w:rsidRDefault="00532543" w:rsidP="00532543">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Global Population Health</w:t>
      </w:r>
    </w:p>
    <w:p w14:paraId="63D42D6F" w14:textId="77777777" w:rsidR="00532543" w:rsidRDefault="00532543" w:rsidP="00532543">
      <w:pPr>
        <w:rPr>
          <w:rFonts w:ascii="Times New Roman" w:hAnsi="Times New Roman" w:cs="Times New Roman"/>
          <w:sz w:val="24"/>
          <w:szCs w:val="24"/>
        </w:rPr>
      </w:pPr>
      <w:r w:rsidRPr="0007256F">
        <w:rPr>
          <w:rFonts w:ascii="Times New Roman" w:hAnsi="Times New Roman" w:cs="Times New Roman"/>
          <w:i/>
          <w:sz w:val="24"/>
          <w:szCs w:val="24"/>
        </w:rPr>
        <w:t>Population Health: A Primer</w:t>
      </w:r>
      <w:r>
        <w:rPr>
          <w:rFonts w:ascii="Times New Roman" w:hAnsi="Times New Roman" w:cs="Times New Roman"/>
          <w:sz w:val="24"/>
          <w:szCs w:val="24"/>
        </w:rPr>
        <w:t xml:space="preserve"> is divided into three units, each of which includes case studies that illustrate the principles discussed in the unit. The three units can be used together to provide the basis for a mini-course or a module within a larger course. The units may be used in order, but individual modules may be used alone or in an alternative order.</w:t>
      </w:r>
    </w:p>
    <w:p w14:paraId="5DDFD8AF" w14:textId="77777777" w:rsidR="00532543" w:rsidRDefault="00532543" w:rsidP="00532543">
      <w:pPr>
        <w:rPr>
          <w:rFonts w:ascii="Times New Roman" w:hAnsi="Times New Roman" w:cs="Times New Roman"/>
          <w:sz w:val="24"/>
          <w:szCs w:val="24"/>
        </w:rPr>
      </w:pPr>
      <w:r>
        <w:rPr>
          <w:rFonts w:ascii="Times New Roman" w:hAnsi="Times New Roman" w:cs="Times New Roman"/>
          <w:sz w:val="24"/>
          <w:szCs w:val="24"/>
        </w:rPr>
        <w:t xml:space="preserve">Each unit can be used as lecture material followed by small group discussion of the cases. If students read the material in the unit before class, a 1-hour lecture/discussion can highlight key points. </w:t>
      </w:r>
    </w:p>
    <w:p w14:paraId="6F8897D9" w14:textId="77777777" w:rsidR="00532543" w:rsidRDefault="00532543" w:rsidP="00532543">
      <w:pPr>
        <w:rPr>
          <w:rFonts w:ascii="Times New Roman" w:hAnsi="Times New Roman" w:cs="Times New Roman"/>
          <w:sz w:val="24"/>
          <w:szCs w:val="24"/>
        </w:rPr>
      </w:pPr>
      <w:r>
        <w:rPr>
          <w:rFonts w:ascii="Times New Roman" w:hAnsi="Times New Roman" w:cs="Times New Roman"/>
          <w:sz w:val="24"/>
          <w:szCs w:val="24"/>
        </w:rPr>
        <w:t>Case studies could be used in small group format with students reviewing the cases and thinking through responses prior to the discussion classes. Under these conditions each case study can be covered in approximately 30 minutes.</w:t>
      </w:r>
    </w:p>
    <w:p w14:paraId="66365DB6" w14:textId="77777777" w:rsidR="00532543" w:rsidRDefault="00532543" w:rsidP="00532543">
      <w:pPr>
        <w:rPr>
          <w:rFonts w:ascii="Times New Roman" w:hAnsi="Times New Roman" w:cs="Times New Roman"/>
          <w:sz w:val="24"/>
          <w:szCs w:val="24"/>
        </w:rPr>
      </w:pPr>
      <w:r>
        <w:rPr>
          <w:rFonts w:ascii="Times New Roman" w:hAnsi="Times New Roman" w:cs="Times New Roman"/>
          <w:sz w:val="24"/>
          <w:szCs w:val="24"/>
        </w:rPr>
        <w:t>The material is flexible allowing mini-courses or modules from 6 to 12 hours or use of portions of the material for shorter curriculum components. Classroom-tested examination questions are included in the Test Bank for each unit. Case studies and the discussion questions may also be used as examination questions. This Instructor’s Guide should be helpful in grading student answers. The sample answers should also be helpful in conducting small group discussions.</w:t>
      </w:r>
    </w:p>
    <w:p w14:paraId="4EB5EEF3"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349CC655" w14:textId="77777777" w:rsidR="00532543" w:rsidRPr="0079337D" w:rsidRDefault="00532543" w:rsidP="00532543">
      <w:pPr>
        <w:rPr>
          <w:rFonts w:ascii="Times New Roman" w:hAnsi="Times New Roman" w:cs="Times New Roman"/>
          <w:b/>
          <w:sz w:val="28"/>
          <w:szCs w:val="28"/>
        </w:rPr>
      </w:pPr>
      <w:r>
        <w:rPr>
          <w:rFonts w:ascii="Times New Roman" w:hAnsi="Times New Roman" w:cs="Times New Roman"/>
          <w:b/>
          <w:sz w:val="28"/>
          <w:szCs w:val="28"/>
        </w:rPr>
        <w:t>Sample Answers to Selected Case Studies</w:t>
      </w:r>
    </w:p>
    <w:p w14:paraId="7D716D7D" w14:textId="77777777" w:rsidR="00532543" w:rsidRDefault="00532543" w:rsidP="00532543">
      <w:r w:rsidRPr="00C1286A">
        <w:rPr>
          <w:rFonts w:ascii="Times New Roman" w:hAnsi="Times New Roman" w:cs="Times New Roman"/>
          <w:sz w:val="24"/>
          <w:szCs w:val="24"/>
        </w:rPr>
        <w:t xml:space="preserve">The first of the sample answers address the HIV case study that is located in the Introduction. Each of the three </w:t>
      </w:r>
      <w:r>
        <w:rPr>
          <w:rFonts w:ascii="Times New Roman" w:hAnsi="Times New Roman" w:cs="Times New Roman"/>
          <w:sz w:val="24"/>
          <w:szCs w:val="24"/>
        </w:rPr>
        <w:t>u</w:t>
      </w:r>
      <w:r w:rsidRPr="00C1286A">
        <w:rPr>
          <w:rFonts w:ascii="Times New Roman" w:hAnsi="Times New Roman" w:cs="Times New Roman"/>
          <w:sz w:val="24"/>
          <w:szCs w:val="24"/>
        </w:rPr>
        <w:t xml:space="preserve">nits has questions on this case study. These discussion questions appear as the first case study in each of the three </w:t>
      </w:r>
      <w:r>
        <w:rPr>
          <w:rFonts w:ascii="Times New Roman" w:hAnsi="Times New Roman" w:cs="Times New Roman"/>
          <w:sz w:val="24"/>
          <w:szCs w:val="24"/>
        </w:rPr>
        <w:t>u</w:t>
      </w:r>
      <w:r w:rsidRPr="00C1286A">
        <w:rPr>
          <w:rFonts w:ascii="Times New Roman" w:hAnsi="Times New Roman" w:cs="Times New Roman"/>
          <w:sz w:val="24"/>
          <w:szCs w:val="24"/>
        </w:rPr>
        <w:t xml:space="preserve">nits. Sample answers for each of the questions follows organized by the </w:t>
      </w:r>
      <w:r>
        <w:rPr>
          <w:rFonts w:ascii="Times New Roman" w:hAnsi="Times New Roman" w:cs="Times New Roman"/>
          <w:sz w:val="24"/>
          <w:szCs w:val="24"/>
        </w:rPr>
        <w:t>u</w:t>
      </w:r>
      <w:r w:rsidRPr="00C1286A">
        <w:rPr>
          <w:rFonts w:ascii="Times New Roman" w:hAnsi="Times New Roman" w:cs="Times New Roman"/>
          <w:sz w:val="24"/>
          <w:szCs w:val="24"/>
        </w:rPr>
        <w:t>nit in which they appear</w:t>
      </w:r>
      <w:r>
        <w:t>.</w:t>
      </w:r>
    </w:p>
    <w:p w14:paraId="0382409C"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36F55F3D" w14:textId="77777777" w:rsidR="00532543" w:rsidRPr="00C1286A" w:rsidRDefault="00532543" w:rsidP="00532543">
      <w:pPr>
        <w:rPr>
          <w:rFonts w:ascii="Times New Roman" w:hAnsi="Times New Roman" w:cs="Times New Roman"/>
          <w:sz w:val="24"/>
          <w:szCs w:val="24"/>
        </w:rPr>
      </w:pPr>
      <w:r w:rsidRPr="00C1286A">
        <w:rPr>
          <w:rFonts w:ascii="Times New Roman" w:hAnsi="Times New Roman" w:cs="Times New Roman"/>
          <w:b/>
          <w:color w:val="231F20"/>
          <w:sz w:val="24"/>
          <w:szCs w:val="24"/>
        </w:rPr>
        <w:t xml:space="preserve">Unit </w:t>
      </w:r>
      <w:r>
        <w:rPr>
          <w:rFonts w:ascii="Times New Roman" w:hAnsi="Times New Roman" w:cs="Times New Roman"/>
          <w:b/>
          <w:color w:val="231F20"/>
          <w:sz w:val="24"/>
          <w:szCs w:val="24"/>
        </w:rPr>
        <w:t>1 Sample Answers to Selected Case Studies</w:t>
      </w:r>
    </w:p>
    <w:p w14:paraId="7E537455"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62A2E487" w14:textId="77777777" w:rsidR="00532543" w:rsidRPr="00C1286A" w:rsidRDefault="00532543" w:rsidP="00532543">
      <w:pPr>
        <w:autoSpaceDE w:val="0"/>
        <w:autoSpaceDN w:val="0"/>
        <w:adjustRightInd w:val="0"/>
        <w:spacing w:after="0" w:line="240" w:lineRule="auto"/>
        <w:rPr>
          <w:rFonts w:ascii="Times New Roman" w:hAnsi="Times New Roman" w:cs="Times New Roman"/>
          <w:b/>
          <w:bCs/>
          <w:sz w:val="24"/>
          <w:szCs w:val="24"/>
        </w:rPr>
      </w:pPr>
      <w:r w:rsidRPr="00C1286A">
        <w:rPr>
          <w:rFonts w:ascii="Times New Roman" w:hAnsi="Times New Roman" w:cs="Times New Roman"/>
          <w:b/>
          <w:bCs/>
          <w:sz w:val="24"/>
          <w:szCs w:val="24"/>
        </w:rPr>
        <w:t>HIV/AIDS</w:t>
      </w:r>
      <w:r>
        <w:rPr>
          <w:rFonts w:ascii="Times New Roman" w:hAnsi="Times New Roman" w:cs="Times New Roman"/>
          <w:b/>
          <w:bCs/>
          <w:sz w:val="24"/>
          <w:szCs w:val="24"/>
        </w:rPr>
        <w:t xml:space="preserve">: A Population Health History </w:t>
      </w:r>
    </w:p>
    <w:p w14:paraId="1E25EE6E"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3038AE34" w14:textId="77777777" w:rsidR="00532543" w:rsidRPr="00C1286A" w:rsidRDefault="00532543" w:rsidP="00532543">
      <w:pPr>
        <w:spacing w:after="0" w:line="240" w:lineRule="auto"/>
        <w:rPr>
          <w:rFonts w:ascii="Times New Roman" w:hAnsi="Times New Roman" w:cs="Times New Roman"/>
          <w:b/>
          <w:bCs/>
          <w:color w:val="00AEF0"/>
          <w:sz w:val="24"/>
          <w:szCs w:val="24"/>
        </w:rPr>
      </w:pPr>
      <w:r w:rsidRPr="00C1286A">
        <w:rPr>
          <w:rFonts w:ascii="Times New Roman" w:hAnsi="Times New Roman" w:cs="Times New Roman"/>
          <w:b/>
          <w:bCs/>
          <w:sz w:val="24"/>
          <w:szCs w:val="24"/>
        </w:rPr>
        <w:t>Discussion Questions</w:t>
      </w:r>
    </w:p>
    <w:p w14:paraId="097FDC3B"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SAMPLE ANSWERS</w:t>
      </w:r>
    </w:p>
    <w:p w14:paraId="09308706"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25B89E83" w14:textId="77777777" w:rsidR="00532543" w:rsidRPr="0007256F" w:rsidRDefault="00532543" w:rsidP="00532543">
      <w:pPr>
        <w:autoSpaceDE w:val="0"/>
        <w:autoSpaceDN w:val="0"/>
        <w:adjustRightInd w:val="0"/>
        <w:spacing w:after="0" w:line="240" w:lineRule="auto"/>
        <w:rPr>
          <w:rFonts w:ascii="Times New Roman" w:hAnsi="Times New Roman" w:cs="Times New Roman"/>
          <w:b/>
          <w:sz w:val="24"/>
          <w:szCs w:val="24"/>
        </w:rPr>
      </w:pPr>
      <w:r w:rsidRPr="0007256F">
        <w:rPr>
          <w:rFonts w:ascii="Times New Roman" w:hAnsi="Times New Roman" w:cs="Times New Roman"/>
          <w:b/>
          <w:color w:val="231F20"/>
          <w:sz w:val="24"/>
          <w:szCs w:val="24"/>
        </w:rPr>
        <w:t>1. U</w:t>
      </w:r>
      <w:r w:rsidRPr="0007256F">
        <w:rPr>
          <w:rFonts w:ascii="Times New Roman" w:hAnsi="Times New Roman" w:cs="Times New Roman"/>
          <w:b/>
          <w:sz w:val="24"/>
          <w:szCs w:val="24"/>
        </w:rPr>
        <w:t>se the BIG GEMS framework to outline the determinants of health discussed in this case.</w:t>
      </w:r>
    </w:p>
    <w:p w14:paraId="36A5DD4F"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1427F1C0" w14:textId="77777777" w:rsidR="00532543" w:rsidRDefault="00532543" w:rsidP="00532543">
      <w:pPr>
        <w:spacing w:after="120"/>
        <w:rPr>
          <w:rFonts w:ascii="Times New Roman" w:hAnsi="Times New Roman" w:cs="Times New Roman"/>
          <w:sz w:val="24"/>
          <w:szCs w:val="24"/>
        </w:rPr>
      </w:pPr>
      <w:r w:rsidRPr="00C1286A">
        <w:rPr>
          <w:rFonts w:ascii="Times New Roman" w:hAnsi="Times New Roman" w:cs="Times New Roman"/>
          <w:sz w:val="24"/>
          <w:szCs w:val="24"/>
        </w:rPr>
        <w:t>The following table outlines the components of the BIG GEMS framework and their impact on HIV/AIDS:</w:t>
      </w:r>
    </w:p>
    <w:p w14:paraId="5B720241" w14:textId="77777777" w:rsidR="00532543" w:rsidRDefault="00532543" w:rsidP="00532543">
      <w:pPr>
        <w:rPr>
          <w:rFonts w:ascii="Times New Roman" w:hAnsi="Times New Roman" w:cs="Times New Roman"/>
          <w:sz w:val="24"/>
          <w:szCs w:val="24"/>
        </w:rPr>
      </w:pPr>
      <w:r>
        <w:rPr>
          <w:rFonts w:ascii="Times New Roman" w:hAnsi="Times New Roman" w:cs="Times New Roman"/>
          <w:sz w:val="24"/>
          <w:szCs w:val="24"/>
        </w:rPr>
        <w:br w:type="page"/>
      </w:r>
    </w:p>
    <w:p w14:paraId="3FCD5799"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43A65635" w14:textId="77777777" w:rsidR="00532543" w:rsidRPr="00C1286A" w:rsidRDefault="00532543" w:rsidP="00532543">
      <w:pPr>
        <w:spacing w:after="120"/>
        <w:rPr>
          <w:rFonts w:ascii="Times New Roman" w:hAnsi="Times New Roman" w:cs="Times New Roman"/>
          <w:b/>
          <w:sz w:val="24"/>
          <w:szCs w:val="24"/>
        </w:rPr>
      </w:pPr>
      <w:r w:rsidRPr="00C1286A">
        <w:rPr>
          <w:rFonts w:ascii="Times New Roman" w:hAnsi="Times New Roman" w:cs="Times New Roman"/>
          <w:b/>
          <w:sz w:val="24"/>
          <w:szCs w:val="24"/>
        </w:rPr>
        <w:t xml:space="preserve">HIV/AIDS Determinants of </w:t>
      </w:r>
      <w:r>
        <w:rPr>
          <w:rFonts w:ascii="Times New Roman" w:hAnsi="Times New Roman" w:cs="Times New Roman"/>
          <w:b/>
          <w:sz w:val="24"/>
          <w:szCs w:val="24"/>
        </w:rPr>
        <w:t>Health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6030"/>
      </w:tblGrid>
      <w:tr w:rsidR="00532543" w:rsidRPr="00C1286A" w14:paraId="3ABE76A9" w14:textId="77777777" w:rsidTr="003F04A0">
        <w:tc>
          <w:tcPr>
            <w:tcW w:w="2718" w:type="dxa"/>
            <w:shd w:val="clear" w:color="auto" w:fill="auto"/>
          </w:tcPr>
          <w:p w14:paraId="5F460FFC" w14:textId="77777777" w:rsidR="00532543" w:rsidRPr="00C1286A" w:rsidRDefault="00532543" w:rsidP="003F04A0">
            <w:pPr>
              <w:rPr>
                <w:rFonts w:ascii="Times New Roman" w:hAnsi="Times New Roman" w:cs="Times New Roman"/>
                <w:b/>
                <w:sz w:val="24"/>
                <w:szCs w:val="24"/>
              </w:rPr>
            </w:pPr>
            <w:r w:rsidRPr="00C1286A">
              <w:rPr>
                <w:rFonts w:ascii="Times New Roman" w:hAnsi="Times New Roman" w:cs="Times New Roman"/>
                <w:b/>
                <w:sz w:val="24"/>
                <w:szCs w:val="24"/>
              </w:rPr>
              <w:t>Determinant</w:t>
            </w:r>
          </w:p>
        </w:tc>
        <w:tc>
          <w:tcPr>
            <w:tcW w:w="6030" w:type="dxa"/>
            <w:shd w:val="clear" w:color="auto" w:fill="auto"/>
          </w:tcPr>
          <w:p w14:paraId="1DE0237F" w14:textId="77777777" w:rsidR="00532543" w:rsidRPr="00C1286A" w:rsidRDefault="00532543" w:rsidP="003F04A0">
            <w:pPr>
              <w:rPr>
                <w:rFonts w:ascii="Times New Roman" w:hAnsi="Times New Roman" w:cs="Times New Roman"/>
                <w:b/>
                <w:sz w:val="24"/>
                <w:szCs w:val="24"/>
              </w:rPr>
            </w:pPr>
            <w:r w:rsidRPr="00C1286A">
              <w:rPr>
                <w:rFonts w:ascii="Times New Roman" w:hAnsi="Times New Roman" w:cs="Times New Roman"/>
                <w:b/>
                <w:sz w:val="24"/>
                <w:szCs w:val="24"/>
              </w:rPr>
              <w:t>Impact on Disease</w:t>
            </w:r>
          </w:p>
        </w:tc>
      </w:tr>
      <w:tr w:rsidR="00532543" w:rsidRPr="00C1286A" w14:paraId="4AF00B9E" w14:textId="77777777" w:rsidTr="003F04A0">
        <w:tc>
          <w:tcPr>
            <w:tcW w:w="2718" w:type="dxa"/>
            <w:shd w:val="clear" w:color="auto" w:fill="auto"/>
          </w:tcPr>
          <w:p w14:paraId="37DAFBB9"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b/>
                <w:sz w:val="24"/>
                <w:szCs w:val="24"/>
              </w:rPr>
              <w:t>B</w:t>
            </w:r>
            <w:r w:rsidRPr="00C1286A">
              <w:rPr>
                <w:rFonts w:ascii="Times New Roman" w:hAnsi="Times New Roman" w:cs="Times New Roman"/>
                <w:sz w:val="24"/>
                <w:szCs w:val="24"/>
              </w:rPr>
              <w:t>ehavior</w:t>
            </w:r>
          </w:p>
        </w:tc>
        <w:tc>
          <w:tcPr>
            <w:tcW w:w="6030" w:type="dxa"/>
            <w:shd w:val="clear" w:color="auto" w:fill="auto"/>
          </w:tcPr>
          <w:p w14:paraId="66F7C93D" w14:textId="77777777" w:rsidR="00532543" w:rsidRPr="00C1286A" w:rsidRDefault="00532543" w:rsidP="003F04A0">
            <w:pPr>
              <w:spacing w:after="0"/>
              <w:rPr>
                <w:rFonts w:ascii="Times New Roman" w:hAnsi="Times New Roman" w:cs="Times New Roman"/>
                <w:sz w:val="24"/>
                <w:szCs w:val="24"/>
              </w:rPr>
            </w:pPr>
            <w:r w:rsidRPr="00C1286A">
              <w:rPr>
                <w:rFonts w:ascii="Times New Roman" w:hAnsi="Times New Roman" w:cs="Times New Roman"/>
                <w:sz w:val="24"/>
                <w:szCs w:val="24"/>
              </w:rPr>
              <w:t xml:space="preserve">Sexual behaviors with multiple sexual partners and anal intercourse increases probability of transmission. Sharing of needles associated with drug abuse greatly increases transmission. </w:t>
            </w:r>
          </w:p>
        </w:tc>
      </w:tr>
      <w:tr w:rsidR="00532543" w:rsidRPr="00C1286A" w14:paraId="437D51EB" w14:textId="77777777" w:rsidTr="003F04A0">
        <w:tc>
          <w:tcPr>
            <w:tcW w:w="2718" w:type="dxa"/>
            <w:shd w:val="clear" w:color="auto" w:fill="auto"/>
          </w:tcPr>
          <w:p w14:paraId="75FA79CC"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b/>
                <w:sz w:val="24"/>
                <w:szCs w:val="24"/>
              </w:rPr>
              <w:t>I</w:t>
            </w:r>
            <w:r w:rsidRPr="00C1286A">
              <w:rPr>
                <w:rFonts w:ascii="Times New Roman" w:hAnsi="Times New Roman" w:cs="Times New Roman"/>
                <w:sz w:val="24"/>
                <w:szCs w:val="24"/>
              </w:rPr>
              <w:t>nfection</w:t>
            </w:r>
          </w:p>
        </w:tc>
        <w:tc>
          <w:tcPr>
            <w:tcW w:w="6030" w:type="dxa"/>
            <w:shd w:val="clear" w:color="auto" w:fill="auto"/>
          </w:tcPr>
          <w:p w14:paraId="251F794D" w14:textId="77777777" w:rsidR="00532543" w:rsidRPr="00C1286A" w:rsidRDefault="00532543" w:rsidP="003F04A0">
            <w:pPr>
              <w:spacing w:after="0"/>
              <w:rPr>
                <w:rFonts w:ascii="Times New Roman" w:hAnsi="Times New Roman" w:cs="Times New Roman"/>
                <w:sz w:val="24"/>
                <w:szCs w:val="24"/>
              </w:rPr>
            </w:pPr>
            <w:r w:rsidRPr="00C1286A">
              <w:rPr>
                <w:rFonts w:ascii="Times New Roman" w:hAnsi="Times New Roman" w:cs="Times New Roman"/>
                <w:sz w:val="24"/>
                <w:szCs w:val="24"/>
              </w:rPr>
              <w:t>The presence of the organism is a necessary cause of the disease. Other sexually transmitted diseases cause local sores or irritation that may increase risk by increasing potential for exposure to blood during intercourse.</w:t>
            </w:r>
          </w:p>
        </w:tc>
      </w:tr>
      <w:tr w:rsidR="00532543" w:rsidRPr="00C1286A" w14:paraId="5905A502" w14:textId="77777777" w:rsidTr="003F04A0">
        <w:tc>
          <w:tcPr>
            <w:tcW w:w="2718" w:type="dxa"/>
            <w:shd w:val="clear" w:color="auto" w:fill="auto"/>
          </w:tcPr>
          <w:p w14:paraId="39BC8122"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b/>
                <w:sz w:val="24"/>
                <w:szCs w:val="24"/>
              </w:rPr>
              <w:t>G</w:t>
            </w:r>
            <w:r w:rsidRPr="00C1286A">
              <w:rPr>
                <w:rFonts w:ascii="Times New Roman" w:hAnsi="Times New Roman" w:cs="Times New Roman"/>
                <w:sz w:val="24"/>
                <w:szCs w:val="24"/>
              </w:rPr>
              <w:t>enetics</w:t>
            </w:r>
          </w:p>
        </w:tc>
        <w:tc>
          <w:tcPr>
            <w:tcW w:w="6030" w:type="dxa"/>
            <w:shd w:val="clear" w:color="auto" w:fill="auto"/>
          </w:tcPr>
          <w:p w14:paraId="0FB2CA40" w14:textId="77777777" w:rsidR="00532543" w:rsidRPr="00C1286A" w:rsidRDefault="00532543" w:rsidP="003F04A0">
            <w:pPr>
              <w:spacing w:after="0"/>
              <w:rPr>
                <w:rFonts w:ascii="Times New Roman" w:hAnsi="Times New Roman" w:cs="Times New Roman"/>
                <w:sz w:val="24"/>
                <w:szCs w:val="24"/>
              </w:rPr>
            </w:pPr>
            <w:r w:rsidRPr="00C1286A">
              <w:rPr>
                <w:rFonts w:ascii="Times New Roman" w:hAnsi="Times New Roman" w:cs="Times New Roman"/>
                <w:sz w:val="24"/>
                <w:szCs w:val="24"/>
              </w:rPr>
              <w:t>Genetics can provide limited protection with a very small but well</w:t>
            </w:r>
            <w:r>
              <w:rPr>
                <w:rFonts w:ascii="Times New Roman" w:hAnsi="Times New Roman" w:cs="Times New Roman"/>
                <w:sz w:val="24"/>
                <w:szCs w:val="24"/>
              </w:rPr>
              <w:t>-</w:t>
            </w:r>
            <w:r w:rsidRPr="00C1286A">
              <w:rPr>
                <w:rFonts w:ascii="Times New Roman" w:hAnsi="Times New Roman" w:cs="Times New Roman"/>
                <w:sz w:val="24"/>
                <w:szCs w:val="24"/>
              </w:rPr>
              <w:t>documented group having genetic protection against infection.</w:t>
            </w:r>
          </w:p>
        </w:tc>
      </w:tr>
      <w:tr w:rsidR="00532543" w:rsidRPr="00C1286A" w14:paraId="43D4A659" w14:textId="77777777" w:rsidTr="003F04A0">
        <w:tc>
          <w:tcPr>
            <w:tcW w:w="2718" w:type="dxa"/>
            <w:shd w:val="clear" w:color="auto" w:fill="auto"/>
          </w:tcPr>
          <w:p w14:paraId="48981A90" w14:textId="77777777" w:rsidR="00532543" w:rsidRPr="00C1286A" w:rsidRDefault="00532543" w:rsidP="003F04A0">
            <w:pPr>
              <w:rPr>
                <w:rFonts w:ascii="Times New Roman" w:hAnsi="Times New Roman" w:cs="Times New Roman"/>
                <w:sz w:val="24"/>
                <w:szCs w:val="24"/>
              </w:rPr>
            </w:pPr>
          </w:p>
        </w:tc>
        <w:tc>
          <w:tcPr>
            <w:tcW w:w="6030" w:type="dxa"/>
            <w:shd w:val="clear" w:color="auto" w:fill="auto"/>
          </w:tcPr>
          <w:p w14:paraId="0E3FE22E" w14:textId="77777777" w:rsidR="00532543" w:rsidRPr="00C1286A" w:rsidRDefault="00532543" w:rsidP="003F04A0">
            <w:pPr>
              <w:rPr>
                <w:rFonts w:ascii="Times New Roman" w:hAnsi="Times New Roman" w:cs="Times New Roman"/>
                <w:sz w:val="24"/>
                <w:szCs w:val="24"/>
              </w:rPr>
            </w:pPr>
          </w:p>
        </w:tc>
      </w:tr>
      <w:tr w:rsidR="00532543" w:rsidRPr="00C1286A" w14:paraId="6900B680" w14:textId="77777777" w:rsidTr="003F04A0">
        <w:tc>
          <w:tcPr>
            <w:tcW w:w="2718" w:type="dxa"/>
            <w:shd w:val="clear" w:color="auto" w:fill="auto"/>
          </w:tcPr>
          <w:p w14:paraId="4FFE818B"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b/>
                <w:sz w:val="24"/>
                <w:szCs w:val="24"/>
              </w:rPr>
              <w:t>G</w:t>
            </w:r>
            <w:r w:rsidRPr="00C1286A">
              <w:rPr>
                <w:rFonts w:ascii="Times New Roman" w:hAnsi="Times New Roman" w:cs="Times New Roman"/>
                <w:sz w:val="24"/>
                <w:szCs w:val="24"/>
              </w:rPr>
              <w:t>eography</w:t>
            </w:r>
          </w:p>
        </w:tc>
        <w:tc>
          <w:tcPr>
            <w:tcW w:w="6030" w:type="dxa"/>
            <w:shd w:val="clear" w:color="auto" w:fill="auto"/>
          </w:tcPr>
          <w:p w14:paraId="71BC89D5" w14:textId="77777777" w:rsidR="00532543" w:rsidRPr="00C1286A" w:rsidRDefault="00532543" w:rsidP="003F04A0">
            <w:pPr>
              <w:spacing w:after="0"/>
              <w:rPr>
                <w:rFonts w:ascii="Times New Roman" w:hAnsi="Times New Roman" w:cs="Times New Roman"/>
                <w:sz w:val="24"/>
                <w:szCs w:val="24"/>
              </w:rPr>
            </w:pPr>
            <w:r w:rsidRPr="00C1286A">
              <w:rPr>
                <w:rFonts w:ascii="Times New Roman" w:hAnsi="Times New Roman" w:cs="Times New Roman"/>
                <w:sz w:val="24"/>
                <w:szCs w:val="24"/>
              </w:rPr>
              <w:t>Sexual contact or sharing of needles in geographic regions with high prevalence of HIV infection increases the risk of infection.</w:t>
            </w:r>
          </w:p>
        </w:tc>
      </w:tr>
      <w:tr w:rsidR="00532543" w:rsidRPr="00C1286A" w14:paraId="084B81FA" w14:textId="77777777" w:rsidTr="003F04A0">
        <w:tc>
          <w:tcPr>
            <w:tcW w:w="2718" w:type="dxa"/>
            <w:shd w:val="clear" w:color="auto" w:fill="auto"/>
          </w:tcPr>
          <w:p w14:paraId="5B662BBC"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b/>
                <w:sz w:val="24"/>
                <w:szCs w:val="24"/>
              </w:rPr>
              <w:t>E</w:t>
            </w:r>
            <w:r w:rsidRPr="00C1286A">
              <w:rPr>
                <w:rFonts w:ascii="Times New Roman" w:hAnsi="Times New Roman" w:cs="Times New Roman"/>
                <w:sz w:val="24"/>
                <w:szCs w:val="24"/>
              </w:rPr>
              <w:t>nvironment</w:t>
            </w:r>
          </w:p>
        </w:tc>
        <w:tc>
          <w:tcPr>
            <w:tcW w:w="6030" w:type="dxa"/>
            <w:shd w:val="clear" w:color="auto" w:fill="auto"/>
          </w:tcPr>
          <w:p w14:paraId="79A89FF6"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sz w:val="24"/>
                <w:szCs w:val="24"/>
              </w:rPr>
              <w:t>Crowding increases the hazard of tuberculosis</w:t>
            </w:r>
            <w:r>
              <w:rPr>
                <w:rFonts w:ascii="Times New Roman" w:hAnsi="Times New Roman" w:cs="Times New Roman"/>
                <w:sz w:val="24"/>
                <w:szCs w:val="24"/>
              </w:rPr>
              <w:t>,</w:t>
            </w:r>
            <w:r w:rsidRPr="00C1286A">
              <w:rPr>
                <w:rFonts w:ascii="Times New Roman" w:hAnsi="Times New Roman" w:cs="Times New Roman"/>
                <w:sz w:val="24"/>
                <w:szCs w:val="24"/>
              </w:rPr>
              <w:t xml:space="preserve"> which is one of the most serious and common complications of AIDS. </w:t>
            </w:r>
          </w:p>
          <w:p w14:paraId="550DAA4F" w14:textId="77777777" w:rsidR="00532543" w:rsidRPr="00C1286A" w:rsidRDefault="00532543" w:rsidP="003F04A0">
            <w:pPr>
              <w:spacing w:after="0"/>
              <w:rPr>
                <w:rFonts w:ascii="Times New Roman" w:hAnsi="Times New Roman" w:cs="Times New Roman"/>
                <w:sz w:val="24"/>
                <w:szCs w:val="24"/>
              </w:rPr>
            </w:pPr>
            <w:r w:rsidRPr="00C1286A">
              <w:rPr>
                <w:rFonts w:ascii="Times New Roman" w:hAnsi="Times New Roman" w:cs="Times New Roman"/>
                <w:sz w:val="24"/>
                <w:szCs w:val="24"/>
              </w:rPr>
              <w:t>There is a theoretic possibility of mosquito</w:t>
            </w:r>
            <w:r>
              <w:rPr>
                <w:rFonts w:ascii="Times New Roman" w:hAnsi="Times New Roman" w:cs="Times New Roman"/>
                <w:sz w:val="24"/>
                <w:szCs w:val="24"/>
              </w:rPr>
              <w:t>-</w:t>
            </w:r>
            <w:r w:rsidRPr="00C1286A">
              <w:rPr>
                <w:rFonts w:ascii="Times New Roman" w:hAnsi="Times New Roman" w:cs="Times New Roman"/>
                <w:sz w:val="24"/>
                <w:szCs w:val="24"/>
              </w:rPr>
              <w:t>borne transmission but there has been no evidence of this form of environmental transmission.</w:t>
            </w:r>
          </w:p>
        </w:tc>
      </w:tr>
      <w:tr w:rsidR="00532543" w:rsidRPr="00C1286A" w14:paraId="7848D210" w14:textId="77777777" w:rsidTr="003F04A0">
        <w:tc>
          <w:tcPr>
            <w:tcW w:w="2718" w:type="dxa"/>
            <w:shd w:val="clear" w:color="auto" w:fill="auto"/>
          </w:tcPr>
          <w:p w14:paraId="53C60F2A"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b/>
                <w:sz w:val="24"/>
                <w:szCs w:val="24"/>
              </w:rPr>
              <w:t>M</w:t>
            </w:r>
            <w:r w:rsidRPr="00C1286A">
              <w:rPr>
                <w:rFonts w:ascii="Times New Roman" w:hAnsi="Times New Roman" w:cs="Times New Roman"/>
                <w:sz w:val="24"/>
                <w:szCs w:val="24"/>
              </w:rPr>
              <w:t>edical care</w:t>
            </w:r>
          </w:p>
        </w:tc>
        <w:tc>
          <w:tcPr>
            <w:tcW w:w="6030" w:type="dxa"/>
            <w:shd w:val="clear" w:color="auto" w:fill="auto"/>
          </w:tcPr>
          <w:p w14:paraId="704092B3" w14:textId="77777777" w:rsidR="00532543" w:rsidRPr="00C1286A" w:rsidRDefault="00532543" w:rsidP="003F04A0">
            <w:pPr>
              <w:spacing w:after="0"/>
              <w:rPr>
                <w:rFonts w:ascii="Times New Roman" w:hAnsi="Times New Roman" w:cs="Times New Roman"/>
                <w:sz w:val="24"/>
                <w:szCs w:val="24"/>
              </w:rPr>
            </w:pPr>
            <w:r w:rsidRPr="00C1286A">
              <w:rPr>
                <w:rFonts w:ascii="Times New Roman" w:hAnsi="Times New Roman" w:cs="Times New Roman"/>
                <w:sz w:val="24"/>
                <w:szCs w:val="24"/>
              </w:rPr>
              <w:t xml:space="preserve">Current drug interventions are capable of delaying </w:t>
            </w:r>
            <w:r>
              <w:rPr>
                <w:rFonts w:ascii="Times New Roman" w:hAnsi="Times New Roman" w:cs="Times New Roman"/>
                <w:sz w:val="24"/>
                <w:szCs w:val="24"/>
              </w:rPr>
              <w:t xml:space="preserve">the </w:t>
            </w:r>
            <w:r w:rsidRPr="00C1286A">
              <w:rPr>
                <w:rFonts w:ascii="Times New Roman" w:hAnsi="Times New Roman" w:cs="Times New Roman"/>
                <w:sz w:val="24"/>
                <w:szCs w:val="24"/>
              </w:rPr>
              <w:t>onset of AIDS and reducing complication</w:t>
            </w:r>
            <w:r>
              <w:rPr>
                <w:rFonts w:ascii="Times New Roman" w:hAnsi="Times New Roman" w:cs="Times New Roman"/>
                <w:sz w:val="24"/>
                <w:szCs w:val="24"/>
              </w:rPr>
              <w:t>s</w:t>
            </w:r>
            <w:r w:rsidRPr="00C1286A">
              <w:rPr>
                <w:rFonts w:ascii="Times New Roman" w:hAnsi="Times New Roman" w:cs="Times New Roman"/>
                <w:sz w:val="24"/>
                <w:szCs w:val="24"/>
              </w:rPr>
              <w:t xml:space="preserve"> of AIDS. Other precoital, coital, and postcoital drug interventions are being actively investigated.</w:t>
            </w:r>
          </w:p>
        </w:tc>
      </w:tr>
      <w:tr w:rsidR="00532543" w:rsidRPr="00C1286A" w14:paraId="2935AB32" w14:textId="77777777" w:rsidTr="003F04A0">
        <w:tc>
          <w:tcPr>
            <w:tcW w:w="2718" w:type="dxa"/>
            <w:shd w:val="clear" w:color="auto" w:fill="auto"/>
          </w:tcPr>
          <w:p w14:paraId="1CAFA587" w14:textId="77777777" w:rsidR="00532543" w:rsidRPr="00C1286A" w:rsidRDefault="00532543" w:rsidP="003F04A0">
            <w:pPr>
              <w:rPr>
                <w:rFonts w:ascii="Times New Roman" w:hAnsi="Times New Roman" w:cs="Times New Roman"/>
                <w:sz w:val="24"/>
                <w:szCs w:val="24"/>
              </w:rPr>
            </w:pPr>
            <w:r w:rsidRPr="00C1286A">
              <w:rPr>
                <w:rFonts w:ascii="Times New Roman" w:hAnsi="Times New Roman" w:cs="Times New Roman"/>
                <w:b/>
                <w:sz w:val="24"/>
                <w:szCs w:val="24"/>
              </w:rPr>
              <w:t>S</w:t>
            </w:r>
            <w:r w:rsidRPr="00C1286A">
              <w:rPr>
                <w:rFonts w:ascii="Times New Roman" w:hAnsi="Times New Roman" w:cs="Times New Roman"/>
                <w:sz w:val="24"/>
                <w:szCs w:val="24"/>
              </w:rPr>
              <w:t>ocioeconomic</w:t>
            </w:r>
          </w:p>
        </w:tc>
        <w:tc>
          <w:tcPr>
            <w:tcW w:w="6030" w:type="dxa"/>
            <w:shd w:val="clear" w:color="auto" w:fill="auto"/>
          </w:tcPr>
          <w:p w14:paraId="196DED4F" w14:textId="77777777" w:rsidR="00532543" w:rsidRPr="00C1286A" w:rsidRDefault="00532543" w:rsidP="003F04A0">
            <w:pPr>
              <w:spacing w:after="0"/>
              <w:rPr>
                <w:rFonts w:ascii="Times New Roman" w:hAnsi="Times New Roman" w:cs="Times New Roman"/>
                <w:sz w:val="24"/>
                <w:szCs w:val="24"/>
              </w:rPr>
            </w:pPr>
            <w:r w:rsidRPr="00C1286A">
              <w:rPr>
                <w:rFonts w:ascii="Times New Roman" w:hAnsi="Times New Roman" w:cs="Times New Roman"/>
                <w:sz w:val="24"/>
                <w:szCs w:val="24"/>
              </w:rPr>
              <w:t>Social factors including contraceptive practices, premarital and extramarital practices, and circumcision affect probability of infection.</w:t>
            </w:r>
          </w:p>
        </w:tc>
      </w:tr>
    </w:tbl>
    <w:p w14:paraId="0AF5592F" w14:textId="77777777" w:rsidR="00532543" w:rsidRPr="00C1286A" w:rsidRDefault="00532543" w:rsidP="00532543">
      <w:pPr>
        <w:rPr>
          <w:rFonts w:ascii="Times New Roman" w:hAnsi="Times New Roman" w:cs="Times New Roman"/>
          <w:b/>
          <w:color w:val="231F20"/>
          <w:sz w:val="24"/>
          <w:szCs w:val="24"/>
        </w:rPr>
      </w:pPr>
      <w:bookmarkStart w:id="0" w:name="_Hlk515247168"/>
    </w:p>
    <w:p w14:paraId="016B2683" w14:textId="77777777" w:rsidR="00532543" w:rsidRPr="00C1286A" w:rsidRDefault="00532543" w:rsidP="00532543">
      <w:pPr>
        <w:rPr>
          <w:rFonts w:ascii="Times New Roman" w:hAnsi="Times New Roman" w:cs="Times New Roman"/>
          <w:b/>
          <w:color w:val="231F20"/>
          <w:sz w:val="24"/>
          <w:szCs w:val="24"/>
        </w:rPr>
      </w:pPr>
      <w:bookmarkStart w:id="1" w:name="_Hlk517506763"/>
      <w:r w:rsidRPr="00C1286A">
        <w:rPr>
          <w:rFonts w:ascii="Times New Roman" w:hAnsi="Times New Roman" w:cs="Times New Roman"/>
          <w:b/>
          <w:color w:val="231F20"/>
          <w:sz w:val="24"/>
          <w:szCs w:val="24"/>
        </w:rPr>
        <w:t>2. What role has health care played in controlling or failing to control the HIV/AIDS epidemic?</w:t>
      </w:r>
    </w:p>
    <w:bookmarkEnd w:id="0"/>
    <w:bookmarkEnd w:id="1"/>
    <w:p w14:paraId="06B1192E"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 xml:space="preserve">The advances in drug treatment have not only helped individual patients but have helped control the spread of HIV since they reduce the quantity of virus </w:t>
      </w:r>
      <w:r>
        <w:rPr>
          <w:rFonts w:ascii="Times New Roman" w:hAnsi="Times New Roman" w:cs="Times New Roman"/>
          <w:color w:val="231F20"/>
          <w:sz w:val="24"/>
          <w:szCs w:val="24"/>
        </w:rPr>
        <w:t>that</w:t>
      </w:r>
      <w:r w:rsidRPr="00C1286A">
        <w:rPr>
          <w:rFonts w:ascii="Times New Roman" w:hAnsi="Times New Roman" w:cs="Times New Roman"/>
          <w:color w:val="231F20"/>
          <w:sz w:val="24"/>
          <w:szCs w:val="24"/>
        </w:rPr>
        <w:t xml:space="preserve"> is present and therefore the degree of infectivity or the chances of becoming infected after sexual exposure to an HIV</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 xml:space="preserve">positive patient. </w:t>
      </w:r>
    </w:p>
    <w:p w14:paraId="531FA5EB" w14:textId="77777777" w:rsidR="00532543" w:rsidRDefault="00532543" w:rsidP="00532543">
      <w:pPr>
        <w:spacing w:after="0" w:line="240" w:lineRule="auto"/>
        <w:rPr>
          <w:rFonts w:ascii="Times New Roman" w:hAnsi="Times New Roman" w:cs="Times New Roman"/>
          <w:color w:val="231F20"/>
          <w:sz w:val="24"/>
          <w:szCs w:val="24"/>
        </w:rPr>
      </w:pPr>
    </w:p>
    <w:p w14:paraId="002D1429"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lastRenderedPageBreak/>
        <w:t>Unfortunately, antibody testing for HIV misses many early cases of the disease during the period when the disease is most communicable. This has limited the ability of HIV medications to effectively prevent the spread of the disease.</w:t>
      </w:r>
    </w:p>
    <w:p w14:paraId="5C6B145A"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12F8A807"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New drug interventions to prevent transmission to HIV</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negative partners from HIV</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positive individuals, pre-</w:t>
      </w:r>
      <w:r>
        <w:rPr>
          <w:rFonts w:ascii="Times New Roman" w:hAnsi="Times New Roman" w:cs="Times New Roman"/>
          <w:color w:val="231F20"/>
          <w:sz w:val="24"/>
          <w:szCs w:val="24"/>
        </w:rPr>
        <w:t xml:space="preserve"> </w:t>
      </w:r>
      <w:r w:rsidRPr="00C1286A">
        <w:rPr>
          <w:rFonts w:ascii="Times New Roman" w:hAnsi="Times New Roman" w:cs="Times New Roman"/>
          <w:color w:val="231F20"/>
          <w:sz w:val="24"/>
          <w:szCs w:val="24"/>
        </w:rPr>
        <w:t>as well as postcoital interventions, hold promise for increasing the effectiveness of health care in the control of the HIV epidemic.</w:t>
      </w:r>
    </w:p>
    <w:p w14:paraId="6852C28C" w14:textId="77777777" w:rsidR="00532543" w:rsidRDefault="00532543" w:rsidP="00532543">
      <w:pPr>
        <w:pStyle w:val="CSNLF"/>
        <w:widowControl w:val="0"/>
        <w:spacing w:before="0" w:line="240" w:lineRule="auto"/>
        <w:ind w:firstLine="0"/>
        <w:jc w:val="left"/>
        <w:rPr>
          <w:rFonts w:ascii="Times New Roman" w:hAnsi="Times New Roman"/>
          <w:sz w:val="24"/>
          <w:szCs w:val="24"/>
        </w:rPr>
      </w:pPr>
      <w:bookmarkStart w:id="2" w:name="_Hlk517506842"/>
      <w:bookmarkStart w:id="3" w:name="_Hlk515247207"/>
    </w:p>
    <w:p w14:paraId="49FE62EE" w14:textId="77777777" w:rsidR="00532543" w:rsidRPr="00C1286A" w:rsidRDefault="00532543" w:rsidP="00532543">
      <w:pPr>
        <w:autoSpaceDE w:val="0"/>
        <w:autoSpaceDN w:val="0"/>
        <w:adjustRightInd w:val="0"/>
        <w:spacing w:after="0" w:line="240" w:lineRule="auto"/>
        <w:rPr>
          <w:rFonts w:ascii="Times New Roman" w:hAnsi="Times New Roman" w:cs="Times New Roman"/>
          <w:b/>
          <w:color w:val="231F20"/>
          <w:sz w:val="24"/>
          <w:szCs w:val="24"/>
        </w:rPr>
      </w:pPr>
      <w:r w:rsidRPr="00C1286A">
        <w:rPr>
          <w:rFonts w:ascii="Times New Roman" w:hAnsi="Times New Roman" w:cs="Times New Roman"/>
          <w:b/>
          <w:color w:val="231F20"/>
          <w:sz w:val="24"/>
          <w:szCs w:val="24"/>
        </w:rPr>
        <w:t>3. What role has traditional public health played in controlling or failing to control the HIV/AIDS</w:t>
      </w:r>
      <w:r>
        <w:rPr>
          <w:rFonts w:ascii="Times New Roman" w:hAnsi="Times New Roman" w:cs="Times New Roman"/>
          <w:b/>
          <w:color w:val="231F20"/>
          <w:sz w:val="24"/>
          <w:szCs w:val="24"/>
        </w:rPr>
        <w:t xml:space="preserve"> </w:t>
      </w:r>
      <w:r w:rsidRPr="00C1286A">
        <w:rPr>
          <w:rFonts w:ascii="Times New Roman" w:hAnsi="Times New Roman" w:cs="Times New Roman"/>
          <w:b/>
          <w:color w:val="231F20"/>
          <w:sz w:val="24"/>
          <w:szCs w:val="24"/>
        </w:rPr>
        <w:t>epidemic?</w:t>
      </w:r>
    </w:p>
    <w:bookmarkEnd w:id="2"/>
    <w:bookmarkEnd w:id="3"/>
    <w:p w14:paraId="3F2617C8"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336B2CE6" w14:textId="77777777" w:rsidR="00532543" w:rsidRPr="00C1286A" w:rsidRDefault="00532543" w:rsidP="00532543">
      <w:pPr>
        <w:autoSpaceDE w:val="0"/>
        <w:autoSpaceDN w:val="0"/>
        <w:adjustRightInd w:val="0"/>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 xml:space="preserve">Public </w:t>
      </w:r>
      <w:r>
        <w:rPr>
          <w:rFonts w:ascii="Times New Roman" w:hAnsi="Times New Roman" w:cs="Times New Roman"/>
          <w:color w:val="231F20"/>
          <w:sz w:val="24"/>
          <w:szCs w:val="24"/>
        </w:rPr>
        <w:t>h</w:t>
      </w:r>
      <w:r w:rsidRPr="00C1286A">
        <w:rPr>
          <w:rFonts w:ascii="Times New Roman" w:hAnsi="Times New Roman" w:cs="Times New Roman"/>
          <w:color w:val="231F20"/>
          <w:sz w:val="24"/>
          <w:szCs w:val="24"/>
        </w:rPr>
        <w:t xml:space="preserve">ealth interventions are primarily aimed at prevention of disease. Consistent use of condoms has been shown to be highly effective in preventing </w:t>
      </w:r>
      <w:r>
        <w:rPr>
          <w:rFonts w:ascii="Times New Roman" w:hAnsi="Times New Roman" w:cs="Times New Roman"/>
          <w:color w:val="231F20"/>
          <w:sz w:val="24"/>
          <w:szCs w:val="24"/>
        </w:rPr>
        <w:t xml:space="preserve">the </w:t>
      </w:r>
      <w:r w:rsidRPr="00C1286A">
        <w:rPr>
          <w:rFonts w:ascii="Times New Roman" w:hAnsi="Times New Roman" w:cs="Times New Roman"/>
          <w:color w:val="231F20"/>
          <w:sz w:val="24"/>
          <w:szCs w:val="24"/>
        </w:rPr>
        <w:t>spread of HIV. Efforts to increase use of condoms have had only limited success.</w:t>
      </w:r>
    </w:p>
    <w:p w14:paraId="31A633D8"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501FB976"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Other preventive interventions have been highly successful. Interventions to prevent maternal</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child transmission and post</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needle stick transmission have been extremely successful in preventing disease. The use of male circumcision has been shown to reduce, by approximately half, the occurrence of new cases of the disease among circumcised males but there is little evidence of its effectiveness in preventing spread to females.</w:t>
      </w:r>
    </w:p>
    <w:p w14:paraId="6C1AD575" w14:textId="77777777" w:rsidR="00532543" w:rsidRDefault="00532543" w:rsidP="00532543">
      <w:pPr>
        <w:pStyle w:val="CSNLF"/>
        <w:widowControl w:val="0"/>
        <w:spacing w:before="0" w:line="240" w:lineRule="auto"/>
        <w:ind w:firstLine="0"/>
        <w:jc w:val="left"/>
        <w:rPr>
          <w:rFonts w:ascii="Times New Roman" w:hAnsi="Times New Roman"/>
          <w:sz w:val="24"/>
          <w:szCs w:val="24"/>
        </w:rPr>
      </w:pPr>
    </w:p>
    <w:p w14:paraId="5C7BD16E"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Screening for early detection of HIV at the time the disease is most contagious may be an important future public health intervention. Use of antigen rather than antibody testing will be needed to detect disease at an early stage. If case finding to rapidly identify exposed individuals and early treatment is shown to be effective</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 xml:space="preserve"> early screening and case finding may become central to </w:t>
      </w:r>
      <w:r>
        <w:rPr>
          <w:rFonts w:ascii="Times New Roman" w:hAnsi="Times New Roman" w:cs="Times New Roman"/>
          <w:color w:val="231F20"/>
          <w:sz w:val="24"/>
          <w:szCs w:val="24"/>
        </w:rPr>
        <w:t xml:space="preserve">the </w:t>
      </w:r>
      <w:r w:rsidRPr="00C1286A">
        <w:rPr>
          <w:rFonts w:ascii="Times New Roman" w:hAnsi="Times New Roman" w:cs="Times New Roman"/>
          <w:color w:val="231F20"/>
          <w:sz w:val="24"/>
          <w:szCs w:val="24"/>
        </w:rPr>
        <w:t xml:space="preserve">control of the HIV epidemic. </w:t>
      </w:r>
    </w:p>
    <w:p w14:paraId="151E4068" w14:textId="77777777" w:rsidR="00532543" w:rsidRPr="00C1286A" w:rsidRDefault="00532543" w:rsidP="00532543">
      <w:pPr>
        <w:spacing w:after="0" w:line="240" w:lineRule="auto"/>
        <w:rPr>
          <w:rFonts w:ascii="Times New Roman" w:hAnsi="Times New Roman" w:cs="Times New Roman"/>
          <w:color w:val="231F20"/>
          <w:sz w:val="24"/>
          <w:szCs w:val="24"/>
        </w:rPr>
      </w:pPr>
    </w:p>
    <w:p w14:paraId="44998848"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Screening HIV</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 xml:space="preserve">positive patients for the presence of </w:t>
      </w:r>
      <w:r>
        <w:rPr>
          <w:rFonts w:ascii="Times New Roman" w:hAnsi="Times New Roman" w:cs="Times New Roman"/>
          <w:color w:val="231F20"/>
          <w:sz w:val="24"/>
          <w:szCs w:val="24"/>
        </w:rPr>
        <w:t>tuberculosis (</w:t>
      </w:r>
      <w:r w:rsidRPr="00C1286A">
        <w:rPr>
          <w:rFonts w:ascii="Times New Roman" w:hAnsi="Times New Roman" w:cs="Times New Roman"/>
          <w:color w:val="231F20"/>
          <w:sz w:val="24"/>
          <w:szCs w:val="24"/>
        </w:rPr>
        <w:t>TB</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 xml:space="preserve"> infection</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 xml:space="preserve"> as well as ongoing efforts to effectively control TB using public health interventions such as case finding and directly observed therapy</w:t>
      </w:r>
      <w:r>
        <w:rPr>
          <w:rFonts w:ascii="Times New Roman" w:hAnsi="Times New Roman" w:cs="Times New Roman"/>
          <w:color w:val="231F20"/>
          <w:sz w:val="24"/>
          <w:szCs w:val="24"/>
        </w:rPr>
        <w:t>,</w:t>
      </w:r>
      <w:r w:rsidRPr="00C1286A">
        <w:rPr>
          <w:rFonts w:ascii="Times New Roman" w:hAnsi="Times New Roman" w:cs="Times New Roman"/>
          <w:color w:val="231F20"/>
          <w:sz w:val="24"/>
          <w:szCs w:val="24"/>
        </w:rPr>
        <w:t xml:space="preserve"> have helped control the increased frequency of TB </w:t>
      </w:r>
      <w:r>
        <w:rPr>
          <w:rFonts w:ascii="Times New Roman" w:hAnsi="Times New Roman" w:cs="Times New Roman"/>
          <w:color w:val="231F20"/>
          <w:sz w:val="24"/>
          <w:szCs w:val="24"/>
        </w:rPr>
        <w:t>that</w:t>
      </w:r>
      <w:r w:rsidRPr="00C1286A">
        <w:rPr>
          <w:rFonts w:ascii="Times New Roman" w:hAnsi="Times New Roman" w:cs="Times New Roman"/>
          <w:color w:val="231F20"/>
          <w:sz w:val="24"/>
          <w:szCs w:val="24"/>
        </w:rPr>
        <w:t xml:space="preserve"> has been associated with the HIV/AIDS epidemic.</w:t>
      </w:r>
    </w:p>
    <w:p w14:paraId="510E1C54" w14:textId="77777777" w:rsidR="00532543" w:rsidRDefault="00532543" w:rsidP="00532543">
      <w:pPr>
        <w:spacing w:after="0" w:line="240" w:lineRule="auto"/>
        <w:rPr>
          <w:rFonts w:ascii="Times New Roman" w:hAnsi="Times New Roman" w:cs="Times New Roman"/>
          <w:color w:val="231F20"/>
          <w:sz w:val="24"/>
          <w:szCs w:val="24"/>
        </w:rPr>
      </w:pPr>
    </w:p>
    <w:p w14:paraId="2561AB1E" w14:textId="77777777" w:rsidR="00532543" w:rsidRPr="00C1286A" w:rsidRDefault="00532543" w:rsidP="00532543">
      <w:pPr>
        <w:spacing w:after="0" w:line="240" w:lineRule="auto"/>
        <w:rPr>
          <w:rFonts w:ascii="Times New Roman" w:hAnsi="Times New Roman" w:cs="Times New Roman"/>
          <w:color w:val="231F20"/>
          <w:sz w:val="24"/>
          <w:szCs w:val="24"/>
        </w:rPr>
      </w:pPr>
      <w:r w:rsidRPr="00C1286A">
        <w:rPr>
          <w:rFonts w:ascii="Times New Roman" w:hAnsi="Times New Roman" w:cs="Times New Roman"/>
          <w:color w:val="231F20"/>
          <w:sz w:val="24"/>
          <w:szCs w:val="24"/>
        </w:rPr>
        <w:t>Efforts to develop an effective vaccine began early in the HIV/AIDS epidemic. Unfortunately, the success of vaccine development has been very limited. Research on use of vaccines continues but dramatic results are not expected in the foreseeable future.</w:t>
      </w:r>
    </w:p>
    <w:p w14:paraId="2EEE6741" w14:textId="77777777" w:rsidR="00532543" w:rsidRPr="00C1286A" w:rsidRDefault="00532543" w:rsidP="00532543">
      <w:pPr>
        <w:spacing w:after="0" w:line="240" w:lineRule="auto"/>
        <w:rPr>
          <w:rFonts w:ascii="Times New Roman" w:hAnsi="Times New Roman" w:cs="Times New Roman"/>
          <w:color w:val="231F20"/>
          <w:sz w:val="24"/>
          <w:szCs w:val="24"/>
        </w:rPr>
      </w:pPr>
    </w:p>
    <w:p w14:paraId="0AFBFBCA" w14:textId="77777777" w:rsidR="00532543" w:rsidRPr="00C1286A" w:rsidRDefault="00532543" w:rsidP="00532543">
      <w:pPr>
        <w:rPr>
          <w:rFonts w:ascii="Times New Roman" w:hAnsi="Times New Roman" w:cs="Times New Roman"/>
          <w:b/>
          <w:color w:val="231F20"/>
          <w:sz w:val="24"/>
          <w:szCs w:val="24"/>
        </w:rPr>
      </w:pPr>
      <w:bookmarkStart w:id="4" w:name="_Hlk515247292"/>
      <w:r w:rsidRPr="00C1286A">
        <w:rPr>
          <w:rFonts w:ascii="Times New Roman" w:hAnsi="Times New Roman" w:cs="Times New Roman"/>
          <w:b/>
          <w:color w:val="231F20"/>
          <w:sz w:val="24"/>
          <w:szCs w:val="24"/>
        </w:rPr>
        <w:t>4. What roles have social factors (beyond the sphere of health care or public health) played in controlling or failing to control the HIV/AIDS epidemic?</w:t>
      </w:r>
    </w:p>
    <w:bookmarkEnd w:id="4"/>
    <w:p w14:paraId="7FF71952" w14:textId="77777777" w:rsidR="00532543" w:rsidRPr="00C1286A" w:rsidRDefault="00532543" w:rsidP="00532543">
      <w:pPr>
        <w:autoSpaceDE w:val="0"/>
        <w:autoSpaceDN w:val="0"/>
        <w:adjustRightInd w:val="0"/>
        <w:spacing w:after="0" w:line="240" w:lineRule="auto"/>
        <w:rPr>
          <w:rFonts w:ascii="Times New Roman" w:hAnsi="Times New Roman" w:cs="Times New Roman"/>
          <w:b/>
          <w:bCs/>
          <w:color w:val="00AEF0"/>
          <w:sz w:val="24"/>
          <w:szCs w:val="24"/>
        </w:rPr>
      </w:pPr>
      <w:r w:rsidRPr="00C1286A">
        <w:rPr>
          <w:rFonts w:ascii="Times New Roman" w:hAnsi="Times New Roman" w:cs="Times New Roman"/>
          <w:color w:val="231F20"/>
          <w:sz w:val="24"/>
          <w:szCs w:val="24"/>
        </w:rPr>
        <w:t xml:space="preserve">In recent years social factors have played important roles in controlling the epidemic. The social stigma that surrounded HIV/AIDS in the early days of the epidemic has largely subsided if not entirely disappeared. This change has led to more open and more frequent discussions of HIV/AIDS in the media and on the web. New communications technologies have assisted in educating a new generation. </w:t>
      </w:r>
    </w:p>
    <w:p w14:paraId="2CF40617" w14:textId="2D894A6B" w:rsidR="00200B9A" w:rsidRPr="00532543" w:rsidRDefault="00200B9A" w:rsidP="00532543"/>
    <w:sectPr w:rsidR="00200B9A" w:rsidRPr="00532543" w:rsidSect="00915CCB">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E2218" w14:textId="77777777" w:rsidR="006F6090" w:rsidRDefault="006F6090" w:rsidP="00915CCB">
      <w:pPr>
        <w:spacing w:after="0" w:line="240" w:lineRule="auto"/>
      </w:pPr>
      <w:r>
        <w:separator/>
      </w:r>
    </w:p>
  </w:endnote>
  <w:endnote w:type="continuationSeparator" w:id="0">
    <w:p w14:paraId="1CBEAC61" w14:textId="77777777" w:rsidR="006F6090" w:rsidRDefault="006F6090" w:rsidP="00915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Officina Sans Bold">
    <w:altName w:val="Times New Roman"/>
    <w:charset w:val="00"/>
    <w:family w:val="roman"/>
    <w:pitch w:val="variable"/>
  </w:font>
  <w:font w:name="ITC Officina Sans Book">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331CD" w14:textId="7B2E8010" w:rsidR="00915CCB" w:rsidRPr="00915CCB" w:rsidRDefault="00915CCB">
    <w:pPr>
      <w:pStyle w:val="Footer"/>
      <w:rPr>
        <w:rFonts w:ascii="Times New Roman" w:hAnsi="Times New Roman" w:cs="Times New Roman"/>
      </w:rPr>
    </w:pPr>
    <w:bookmarkStart w:id="5" w:name="_Hlk773619"/>
    <w:bookmarkStart w:id="6" w:name="_Hlk773620"/>
    <w:r w:rsidRPr="00915CCB">
      <w:rPr>
        <w:rFonts w:ascii="Times New Roman" w:hAnsi="Times New Roman" w:cs="Times New Roman"/>
      </w:rPr>
      <w:t>Copyright © 2020 by Jones &amp; Bartlett Learning, LLC</w:t>
    </w:r>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22CE3" w14:textId="77777777" w:rsidR="006F6090" w:rsidRDefault="006F6090" w:rsidP="00915CCB">
      <w:pPr>
        <w:spacing w:after="0" w:line="240" w:lineRule="auto"/>
      </w:pPr>
      <w:r>
        <w:separator/>
      </w:r>
    </w:p>
  </w:footnote>
  <w:footnote w:type="continuationSeparator" w:id="0">
    <w:p w14:paraId="2FE27AF0" w14:textId="77777777" w:rsidR="006F6090" w:rsidRDefault="006F6090" w:rsidP="00915C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71DB7" w14:textId="7E206655" w:rsidR="00915CCB" w:rsidRPr="00915CCB" w:rsidRDefault="00915CCB" w:rsidP="00915CCB">
    <w:pPr>
      <w:pStyle w:val="Header"/>
      <w:spacing w:line="276" w:lineRule="auto"/>
      <w:jc w:val="right"/>
      <w:rPr>
        <w:rFonts w:ascii="Times New Roman" w:hAnsi="Times New Roman" w:cs="Times New Roman"/>
        <w:i/>
        <w:szCs w:val="20"/>
      </w:rPr>
    </w:pPr>
    <w:r w:rsidRPr="00915CCB">
      <w:rPr>
        <w:rFonts w:ascii="Times New Roman" w:hAnsi="Times New Roman" w:cs="Times New Roman"/>
        <w:i/>
        <w:szCs w:val="20"/>
      </w:rPr>
      <w:t>Population Health: A Primer</w:t>
    </w:r>
  </w:p>
  <w:p w14:paraId="3C02BF3E" w14:textId="34F5B566" w:rsidR="00915CCB" w:rsidRPr="00915CCB" w:rsidRDefault="00915CCB" w:rsidP="00915CCB">
    <w:pPr>
      <w:pStyle w:val="Header"/>
      <w:spacing w:line="276" w:lineRule="auto"/>
      <w:jc w:val="right"/>
      <w:rPr>
        <w:rFonts w:ascii="Times New Roman" w:hAnsi="Times New Roman" w:cs="Times New Roman"/>
        <w:szCs w:val="20"/>
      </w:rPr>
    </w:pPr>
    <w:r w:rsidRPr="00915CCB">
      <w:rPr>
        <w:rFonts w:ascii="Times New Roman" w:hAnsi="Times New Roman" w:cs="Times New Roman"/>
        <w:szCs w:val="20"/>
      </w:rPr>
      <w:t>Richard Riegelman, MD, MPH, PhD</w:t>
    </w:r>
  </w:p>
  <w:p w14:paraId="065FE6AD" w14:textId="2FFEFBDB" w:rsidR="00915CCB" w:rsidRPr="00915CCB" w:rsidRDefault="00915CCB" w:rsidP="00915CCB">
    <w:pPr>
      <w:pStyle w:val="Header"/>
      <w:spacing w:line="276" w:lineRule="auto"/>
      <w:jc w:val="right"/>
      <w:rPr>
        <w:rFonts w:ascii="Times New Roman" w:hAnsi="Times New Roman" w:cs="Times New Roman"/>
        <w:szCs w:val="20"/>
      </w:rPr>
    </w:pPr>
    <w:r w:rsidRPr="00915CCB">
      <w:rPr>
        <w:rFonts w:ascii="Times New Roman" w:hAnsi="Times New Roman" w:cs="Times New Roman"/>
        <w:szCs w:val="20"/>
      </w:rPr>
      <w:t>Instructor’s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C6B63"/>
    <w:multiLevelType w:val="hybridMultilevel"/>
    <w:tmpl w:val="2164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93228"/>
    <w:multiLevelType w:val="hybridMultilevel"/>
    <w:tmpl w:val="D6561D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8071705"/>
    <w:multiLevelType w:val="hybridMultilevel"/>
    <w:tmpl w:val="AB4E4584"/>
    <w:lvl w:ilvl="0" w:tplc="6500503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D30BC"/>
    <w:multiLevelType w:val="hybridMultilevel"/>
    <w:tmpl w:val="5ACEF3E0"/>
    <w:lvl w:ilvl="0" w:tplc="4202DA4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0760AC"/>
    <w:multiLevelType w:val="hybridMultilevel"/>
    <w:tmpl w:val="EB12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4372B"/>
    <w:multiLevelType w:val="hybridMultilevel"/>
    <w:tmpl w:val="419EB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54381"/>
    <w:multiLevelType w:val="hybridMultilevel"/>
    <w:tmpl w:val="7508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E3BFD"/>
    <w:multiLevelType w:val="hybridMultilevel"/>
    <w:tmpl w:val="97D8BD9E"/>
    <w:lvl w:ilvl="0" w:tplc="0D9097D6">
      <w:start w:val="1"/>
      <w:numFmt w:val="decimal"/>
      <w:pStyle w:val="NumberList1"/>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C1362D"/>
    <w:multiLevelType w:val="hybridMultilevel"/>
    <w:tmpl w:val="5AE810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5855CA"/>
    <w:multiLevelType w:val="hybridMultilevel"/>
    <w:tmpl w:val="AB4E4584"/>
    <w:lvl w:ilvl="0" w:tplc="6500503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67227A"/>
    <w:multiLevelType w:val="hybridMultilevel"/>
    <w:tmpl w:val="D1960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B53DB3"/>
    <w:multiLevelType w:val="hybridMultilevel"/>
    <w:tmpl w:val="2C5C4E74"/>
    <w:lvl w:ilvl="0" w:tplc="63C0169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333B81"/>
    <w:multiLevelType w:val="hybridMultilevel"/>
    <w:tmpl w:val="042A1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FF0E3A"/>
    <w:multiLevelType w:val="hybridMultilevel"/>
    <w:tmpl w:val="FC388C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B61FFF"/>
    <w:multiLevelType w:val="hybridMultilevel"/>
    <w:tmpl w:val="8ADEF5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064E88"/>
    <w:multiLevelType w:val="hybridMultilevel"/>
    <w:tmpl w:val="8ABCE10A"/>
    <w:lvl w:ilvl="0" w:tplc="3746D7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FB1BF8"/>
    <w:multiLevelType w:val="hybridMultilevel"/>
    <w:tmpl w:val="8390A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9C1FA1"/>
    <w:multiLevelType w:val="hybridMultilevel"/>
    <w:tmpl w:val="D1960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6576"/>
    <w:multiLevelType w:val="hybridMultilevel"/>
    <w:tmpl w:val="0478D8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5448F4"/>
    <w:multiLevelType w:val="hybridMultilevel"/>
    <w:tmpl w:val="754A1A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2F5776C"/>
    <w:multiLevelType w:val="hybridMultilevel"/>
    <w:tmpl w:val="E9E8F67C"/>
    <w:lvl w:ilvl="0" w:tplc="C8CCCD2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8FA6806"/>
    <w:multiLevelType w:val="hybridMultilevel"/>
    <w:tmpl w:val="EEA01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2B76E3"/>
    <w:multiLevelType w:val="hybridMultilevel"/>
    <w:tmpl w:val="5720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7707925">
    <w:abstractNumId w:val="12"/>
  </w:num>
  <w:num w:numId="2" w16cid:durableId="1803185108">
    <w:abstractNumId w:val="6"/>
  </w:num>
  <w:num w:numId="3" w16cid:durableId="1416513357">
    <w:abstractNumId w:val="22"/>
  </w:num>
  <w:num w:numId="4" w16cid:durableId="881094101">
    <w:abstractNumId w:val="16"/>
  </w:num>
  <w:num w:numId="5" w16cid:durableId="582569052">
    <w:abstractNumId w:val="4"/>
  </w:num>
  <w:num w:numId="6" w16cid:durableId="481122975">
    <w:abstractNumId w:val="5"/>
  </w:num>
  <w:num w:numId="7" w16cid:durableId="1599287478">
    <w:abstractNumId w:val="8"/>
  </w:num>
  <w:num w:numId="8" w16cid:durableId="51540016">
    <w:abstractNumId w:val="19"/>
  </w:num>
  <w:num w:numId="9" w16cid:durableId="534661836">
    <w:abstractNumId w:val="7"/>
    <w:lvlOverride w:ilvl="0">
      <w:startOverride w:val="1"/>
    </w:lvlOverride>
  </w:num>
  <w:num w:numId="10" w16cid:durableId="540947526">
    <w:abstractNumId w:val="20"/>
  </w:num>
  <w:num w:numId="11" w16cid:durableId="1388144775">
    <w:abstractNumId w:val="7"/>
  </w:num>
  <w:num w:numId="12" w16cid:durableId="1932426520">
    <w:abstractNumId w:val="0"/>
  </w:num>
  <w:num w:numId="13" w16cid:durableId="1286548971">
    <w:abstractNumId w:val="10"/>
  </w:num>
  <w:num w:numId="14" w16cid:durableId="550583176">
    <w:abstractNumId w:val="18"/>
  </w:num>
  <w:num w:numId="15" w16cid:durableId="1810829630">
    <w:abstractNumId w:val="14"/>
  </w:num>
  <w:num w:numId="16" w16cid:durableId="1377848278">
    <w:abstractNumId w:val="17"/>
  </w:num>
  <w:num w:numId="17" w16cid:durableId="1914007979">
    <w:abstractNumId w:val="3"/>
  </w:num>
  <w:num w:numId="18" w16cid:durableId="1864130112">
    <w:abstractNumId w:val="1"/>
  </w:num>
  <w:num w:numId="19" w16cid:durableId="986057105">
    <w:abstractNumId w:val="15"/>
  </w:num>
  <w:num w:numId="20" w16cid:durableId="1902515004">
    <w:abstractNumId w:val="13"/>
  </w:num>
  <w:num w:numId="21" w16cid:durableId="1372614191">
    <w:abstractNumId w:val="2"/>
  </w:num>
  <w:num w:numId="22" w16cid:durableId="218175957">
    <w:abstractNumId w:val="9"/>
  </w:num>
  <w:num w:numId="23" w16cid:durableId="436561330">
    <w:abstractNumId w:val="11"/>
  </w:num>
  <w:num w:numId="24" w16cid:durableId="11335991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930"/>
    <w:rsid w:val="000116ED"/>
    <w:rsid w:val="0007256F"/>
    <w:rsid w:val="0009322F"/>
    <w:rsid w:val="0018641C"/>
    <w:rsid w:val="001B49C2"/>
    <w:rsid w:val="001E20D0"/>
    <w:rsid w:val="001F7620"/>
    <w:rsid w:val="00200B9A"/>
    <w:rsid w:val="00214059"/>
    <w:rsid w:val="00232B58"/>
    <w:rsid w:val="00250CC6"/>
    <w:rsid w:val="0026014F"/>
    <w:rsid w:val="002B32D7"/>
    <w:rsid w:val="002C1593"/>
    <w:rsid w:val="002F6E72"/>
    <w:rsid w:val="00317E80"/>
    <w:rsid w:val="0033553D"/>
    <w:rsid w:val="003447DF"/>
    <w:rsid w:val="0035152D"/>
    <w:rsid w:val="003525F2"/>
    <w:rsid w:val="003628CF"/>
    <w:rsid w:val="003657F2"/>
    <w:rsid w:val="003718DF"/>
    <w:rsid w:val="003756D3"/>
    <w:rsid w:val="003B584B"/>
    <w:rsid w:val="003C7498"/>
    <w:rsid w:val="00426DB8"/>
    <w:rsid w:val="00427C80"/>
    <w:rsid w:val="00436DFE"/>
    <w:rsid w:val="004E3593"/>
    <w:rsid w:val="004F0EBA"/>
    <w:rsid w:val="004F5B1D"/>
    <w:rsid w:val="00516024"/>
    <w:rsid w:val="00532543"/>
    <w:rsid w:val="005B096F"/>
    <w:rsid w:val="005D6262"/>
    <w:rsid w:val="005E49FB"/>
    <w:rsid w:val="00607B7A"/>
    <w:rsid w:val="00616768"/>
    <w:rsid w:val="00655CDF"/>
    <w:rsid w:val="006C50D7"/>
    <w:rsid w:val="006E4857"/>
    <w:rsid w:val="006F6090"/>
    <w:rsid w:val="007051C8"/>
    <w:rsid w:val="00706461"/>
    <w:rsid w:val="00717ABA"/>
    <w:rsid w:val="00746109"/>
    <w:rsid w:val="00772643"/>
    <w:rsid w:val="0079337D"/>
    <w:rsid w:val="00796DDA"/>
    <w:rsid w:val="007F0C1E"/>
    <w:rsid w:val="00802AA0"/>
    <w:rsid w:val="00846DF1"/>
    <w:rsid w:val="00873255"/>
    <w:rsid w:val="00880333"/>
    <w:rsid w:val="008A3FFE"/>
    <w:rsid w:val="008D3491"/>
    <w:rsid w:val="008F0208"/>
    <w:rsid w:val="00915CCB"/>
    <w:rsid w:val="00973F2F"/>
    <w:rsid w:val="009D0987"/>
    <w:rsid w:val="00A03E16"/>
    <w:rsid w:val="00A61162"/>
    <w:rsid w:val="00A72627"/>
    <w:rsid w:val="00AB4C37"/>
    <w:rsid w:val="00B14FAD"/>
    <w:rsid w:val="00B25A5E"/>
    <w:rsid w:val="00B55C5E"/>
    <w:rsid w:val="00BB36AF"/>
    <w:rsid w:val="00BC4D03"/>
    <w:rsid w:val="00BD1EBC"/>
    <w:rsid w:val="00BE5171"/>
    <w:rsid w:val="00BE713F"/>
    <w:rsid w:val="00BF4F85"/>
    <w:rsid w:val="00C016A7"/>
    <w:rsid w:val="00C1286A"/>
    <w:rsid w:val="00C24930"/>
    <w:rsid w:val="00C44915"/>
    <w:rsid w:val="00C93416"/>
    <w:rsid w:val="00C94F33"/>
    <w:rsid w:val="00CD2C42"/>
    <w:rsid w:val="00DA5B96"/>
    <w:rsid w:val="00DB7928"/>
    <w:rsid w:val="00E1596E"/>
    <w:rsid w:val="00E56111"/>
    <w:rsid w:val="00F1169E"/>
    <w:rsid w:val="00F20F12"/>
    <w:rsid w:val="00F234EF"/>
    <w:rsid w:val="00F605A9"/>
    <w:rsid w:val="00F673AB"/>
    <w:rsid w:val="00F85316"/>
    <w:rsid w:val="00FC2E6B"/>
    <w:rsid w:val="00FF78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EDFFCE"/>
  <w15:docId w15:val="{BE2FD8B8-70EE-F64D-A2FA-FFD7C5CB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9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930"/>
    <w:pPr>
      <w:ind w:left="720"/>
      <w:contextualSpacing/>
    </w:pPr>
  </w:style>
  <w:style w:type="table" w:styleId="TableGrid">
    <w:name w:val="Table Grid"/>
    <w:basedOn w:val="TableNormal"/>
    <w:uiPriority w:val="59"/>
    <w:rsid w:val="006C5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50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T">
    <w:name w:val="CST"/>
    <w:rsid w:val="006C50D7"/>
    <w:pPr>
      <w:spacing w:before="100" w:after="0" w:line="280" w:lineRule="exact"/>
    </w:pPr>
    <w:rPr>
      <w:rFonts w:ascii="ITC Officina Sans Bold" w:eastAsia="Times New Roman" w:hAnsi="ITC Officina Sans Bold" w:cs="Times New Roman"/>
      <w:sz w:val="24"/>
      <w:szCs w:val="20"/>
    </w:rPr>
  </w:style>
  <w:style w:type="paragraph" w:customStyle="1" w:styleId="CSNLF">
    <w:name w:val="CSNLF"/>
    <w:rsid w:val="006C50D7"/>
    <w:pPr>
      <w:spacing w:before="130" w:after="0" w:line="260" w:lineRule="exact"/>
      <w:ind w:firstLine="200"/>
      <w:jc w:val="both"/>
    </w:pPr>
    <w:rPr>
      <w:rFonts w:ascii="ITC Officina Sans Book" w:eastAsia="Times New Roman" w:hAnsi="ITC Officina Sans Book" w:cs="Times New Roman"/>
      <w:sz w:val="20"/>
      <w:szCs w:val="20"/>
    </w:rPr>
  </w:style>
  <w:style w:type="character" w:styleId="Hyperlink">
    <w:name w:val="Hyperlink"/>
    <w:basedOn w:val="DefaultParagraphFont"/>
    <w:uiPriority w:val="99"/>
    <w:unhideWhenUsed/>
    <w:rsid w:val="006C50D7"/>
    <w:rPr>
      <w:color w:val="0563C1" w:themeColor="hyperlink"/>
      <w:u w:val="single"/>
    </w:rPr>
  </w:style>
  <w:style w:type="paragraph" w:customStyle="1" w:styleId="NumberList1">
    <w:name w:val="NumberList1"/>
    <w:basedOn w:val="Normal"/>
    <w:uiPriority w:val="14"/>
    <w:qFormat/>
    <w:rsid w:val="006C50D7"/>
    <w:pPr>
      <w:numPr>
        <w:numId w:val="9"/>
      </w:numPr>
      <w:spacing w:after="210" w:line="36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79337D"/>
    <w:rPr>
      <w:color w:val="808080"/>
      <w:shd w:val="clear" w:color="auto" w:fill="E6E6E6"/>
    </w:rPr>
  </w:style>
  <w:style w:type="character" w:styleId="FollowedHyperlink">
    <w:name w:val="FollowedHyperlink"/>
    <w:basedOn w:val="DefaultParagraphFont"/>
    <w:uiPriority w:val="99"/>
    <w:semiHidden/>
    <w:unhideWhenUsed/>
    <w:rsid w:val="0079337D"/>
    <w:rPr>
      <w:color w:val="954F72" w:themeColor="followedHyperlink"/>
      <w:u w:val="single"/>
    </w:rPr>
  </w:style>
  <w:style w:type="paragraph" w:customStyle="1" w:styleId="Para">
    <w:name w:val="Para"/>
    <w:basedOn w:val="Normal"/>
    <w:uiPriority w:val="9"/>
    <w:qFormat/>
    <w:rsid w:val="00846DF1"/>
    <w:pPr>
      <w:spacing w:after="210" w:line="276" w:lineRule="auto"/>
    </w:pPr>
    <w:rPr>
      <w:rFonts w:ascii="Times New Roman" w:eastAsia="Times New Roman" w:hAnsi="Times New Roman" w:cs="Times New Roman"/>
      <w:sz w:val="24"/>
      <w:szCs w:val="24"/>
    </w:rPr>
  </w:style>
  <w:style w:type="paragraph" w:customStyle="1" w:styleId="Head1">
    <w:name w:val="Head1"/>
    <w:basedOn w:val="Normal"/>
    <w:next w:val="Normal"/>
    <w:link w:val="Head1Char"/>
    <w:uiPriority w:val="15"/>
    <w:qFormat/>
    <w:rsid w:val="003C7498"/>
    <w:pPr>
      <w:spacing w:before="480" w:after="120" w:line="360" w:lineRule="auto"/>
      <w:outlineLvl w:val="0"/>
    </w:pPr>
    <w:rPr>
      <w:rFonts w:ascii="Cambria" w:eastAsia="Times New Roman" w:hAnsi="Cambria" w:cs="Times New Roman"/>
      <w:b/>
      <w:color w:val="FF0000"/>
      <w:sz w:val="28"/>
      <w:szCs w:val="24"/>
    </w:rPr>
  </w:style>
  <w:style w:type="character" w:customStyle="1" w:styleId="Head1Char">
    <w:name w:val="Head1 Char"/>
    <w:link w:val="Head1"/>
    <w:uiPriority w:val="15"/>
    <w:rsid w:val="003C7498"/>
    <w:rPr>
      <w:rFonts w:ascii="Cambria" w:eastAsia="Times New Roman" w:hAnsi="Cambria" w:cs="Times New Roman"/>
      <w:b/>
      <w:color w:val="FF0000"/>
      <w:sz w:val="28"/>
      <w:szCs w:val="24"/>
    </w:rPr>
  </w:style>
  <w:style w:type="character" w:styleId="CommentReference">
    <w:name w:val="annotation reference"/>
    <w:basedOn w:val="DefaultParagraphFont"/>
    <w:uiPriority w:val="99"/>
    <w:semiHidden/>
    <w:unhideWhenUsed/>
    <w:rsid w:val="003628CF"/>
    <w:rPr>
      <w:sz w:val="16"/>
      <w:szCs w:val="16"/>
    </w:rPr>
  </w:style>
  <w:style w:type="paragraph" w:styleId="CommentText">
    <w:name w:val="annotation text"/>
    <w:basedOn w:val="Normal"/>
    <w:link w:val="CommentTextChar"/>
    <w:uiPriority w:val="99"/>
    <w:semiHidden/>
    <w:unhideWhenUsed/>
    <w:rsid w:val="003628CF"/>
    <w:pPr>
      <w:spacing w:line="240" w:lineRule="auto"/>
    </w:pPr>
    <w:rPr>
      <w:sz w:val="20"/>
      <w:szCs w:val="20"/>
    </w:rPr>
  </w:style>
  <w:style w:type="character" w:customStyle="1" w:styleId="CommentTextChar">
    <w:name w:val="Comment Text Char"/>
    <w:basedOn w:val="DefaultParagraphFont"/>
    <w:link w:val="CommentText"/>
    <w:uiPriority w:val="99"/>
    <w:semiHidden/>
    <w:rsid w:val="003628CF"/>
    <w:rPr>
      <w:sz w:val="20"/>
      <w:szCs w:val="20"/>
    </w:rPr>
  </w:style>
  <w:style w:type="paragraph" w:styleId="CommentSubject">
    <w:name w:val="annotation subject"/>
    <w:basedOn w:val="CommentText"/>
    <w:next w:val="CommentText"/>
    <w:link w:val="CommentSubjectChar"/>
    <w:uiPriority w:val="99"/>
    <w:semiHidden/>
    <w:unhideWhenUsed/>
    <w:rsid w:val="003628CF"/>
    <w:rPr>
      <w:b/>
      <w:bCs/>
    </w:rPr>
  </w:style>
  <w:style w:type="character" w:customStyle="1" w:styleId="CommentSubjectChar">
    <w:name w:val="Comment Subject Char"/>
    <w:basedOn w:val="CommentTextChar"/>
    <w:link w:val="CommentSubject"/>
    <w:uiPriority w:val="99"/>
    <w:semiHidden/>
    <w:rsid w:val="003628CF"/>
    <w:rPr>
      <w:b/>
      <w:bCs/>
      <w:sz w:val="20"/>
      <w:szCs w:val="20"/>
    </w:rPr>
  </w:style>
  <w:style w:type="paragraph" w:styleId="BalloonText">
    <w:name w:val="Balloon Text"/>
    <w:basedOn w:val="Normal"/>
    <w:link w:val="BalloonTextChar"/>
    <w:uiPriority w:val="99"/>
    <w:semiHidden/>
    <w:unhideWhenUsed/>
    <w:rsid w:val="003628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8CF"/>
    <w:rPr>
      <w:rFonts w:ascii="Segoe UI" w:hAnsi="Segoe UI" w:cs="Segoe UI"/>
      <w:sz w:val="18"/>
      <w:szCs w:val="18"/>
    </w:rPr>
  </w:style>
  <w:style w:type="paragraph" w:styleId="Header">
    <w:name w:val="header"/>
    <w:basedOn w:val="Normal"/>
    <w:link w:val="HeaderChar"/>
    <w:uiPriority w:val="99"/>
    <w:unhideWhenUsed/>
    <w:rsid w:val="00915C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CCB"/>
  </w:style>
  <w:style w:type="paragraph" w:styleId="Footer">
    <w:name w:val="footer"/>
    <w:basedOn w:val="Normal"/>
    <w:link w:val="FooterChar"/>
    <w:uiPriority w:val="99"/>
    <w:unhideWhenUsed/>
    <w:rsid w:val="00915C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ph.org/ftf-reports/population-health-in-all-professions/" TargetMode="External"/><Relationship Id="rId3" Type="http://schemas.openxmlformats.org/officeDocument/2006/relationships/settings" Target="settings.xml"/><Relationship Id="rId7" Type="http://schemas.openxmlformats.org/officeDocument/2006/relationships/hyperlink" Target="http://www.teachpopulationhealth.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1422</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rriegelman@gmail.com</dc:creator>
  <cp:keywords/>
  <dc:description/>
  <cp:lastModifiedBy>Thar Adeleh</cp:lastModifiedBy>
  <cp:revision>4</cp:revision>
  <dcterms:created xsi:type="dcterms:W3CDTF">2019-02-11T15:27:00Z</dcterms:created>
  <dcterms:modified xsi:type="dcterms:W3CDTF">2024-08-25T09:12:00Z</dcterms:modified>
</cp:coreProperties>
</file>