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whether the statement is true or false.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value chain model, fewer resources are needed to achieve performance goals when "information replaces assets."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 interlinking models, managers can objectively make internal decisions that impact external outcomes.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Actionable performance measures should be meaningful to a company's management and should provide the basis for decisions at the strategic level in an organization.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value chain model, when "information replaces assets," the costs increase.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analytics in operations management, it costs three to five times more to keep an existing customer than acquire a new customer.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Quality measures the degree to which the output of a process conforms to the management's expectations and requirements.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Key measures of innovation and learning include__________.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supply-chain 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processing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percentage of new products developed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variance around the average time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Dextron, a privately owned computer technology company, provides a wide range of customized laptops to suit the needs of students, corporate professionals, and small business owners. In this case, Dextron's ability to provide a wide range of customized laptops to suit its customers' needs best describes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 variance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yield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innovation and learning perspective in the balanced scorecard model includes measures such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return on investment, economic value added, and shareholder value.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number of cooperative customer–company design initiatives and percent of sale from new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hours per employee, hiring process effectiveness, and revenue per employee.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service-quality levels, design and demand flexibility, and asset utilization.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time required to ramp up to an increased production output level in response to a surge in the sales of a product is a measure of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 variance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recalls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upset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measures the degree to which the output of a process meets customer requirements.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Innovation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triple bottom line (TBL), which of the following measures includes the number of ethical violations?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Responsiveness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sustainability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retention rate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__________is the willingness to help customers and provide prompt recovery to service upsets.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Responsiveness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Empathy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financial performance measure at an organizational level?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of 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 and 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 variance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 and material costs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performance perspectives in the balanced scorecard model measures the ultimate value that a business provides to its shareholders?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financial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internal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learning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customer perspective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the act of quantifying the performance of organizational units, goods and services, processes, people, and other business activities.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Forecasting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Fulfillment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Litigating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table below shows the data for the number of pair of shoes produced and the cost incurred by Fancy Trends Inc. for the year 2015.?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25"/>
              <w:gridCol w:w="2868"/>
              <w:gridCol w:w="28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Pair of Shoes Produced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Incurred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 Labor Cost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 Cost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$5,800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Raw Material Cost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$42,000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Based on the given data, the productivity of Fancy Trends Inc. for the year 2015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pair/USD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1.39 pairs/USD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pairs/USD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2.46 pairs/USD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assembly line of a factory that makes gears, it takes fifteen minutes to complete a drilling operation using a lathe. The duration of this operation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delay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queue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processing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standard time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performance perspectives in the balanced scorecard model includes the percent of sale from new goods and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financial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innovation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learning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customer perspective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triple bottom line (TBL), which of the following is a performance measure of economic sustainability?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Fines for environmental violations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ethics and governance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 from new goods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Measures of perceived value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types of performance measures, which of the following is a measure of innovation and learning?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Patent applications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retention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recalls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 productivity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The__________is based on a set of cause-and-effect linkages between internal and external performance, and in this fashion, defines the key performance measurements on which service-based firms should focus.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Service-Profit Chain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chain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balanced scorecard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Malcolm Baldrige Performance Excellence program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quality performance measure at an operational level?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ratings of goods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retention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representative courtesy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recalls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the ability to provide goods and services to customers with minimum waste and maximum utilization of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Operational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Measures of__________focus on an organization's people and infrastructure.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goods and service design 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and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innovation and learning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performance perspectives in the balanced scorecard model includes measures such as productivity, flow time, and asset utilization?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financial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customer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innovation and learning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internal perspective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quantitative modeling of cause-and-effect relationships between external and internal performance criteria is called__________.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operational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interlinking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research, which of the following is a key dimension that customers use to assess service quality?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Operational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Empathy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Queue time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paint manufacturing company has three factories located in France, Germany, and Spain. The productivity data of the factories are as follows: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7"/>
              <w:gridCol w:w="3047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Factory Location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Amount of Paint Produced(US Gallons)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Input Cost (USD)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4,600,000,000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$5,250,000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5,500,000,000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$5,250,000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4,000,000,000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$3,500,000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Based on the productivity analysis of all the factories, the productivity of the factory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 is lower than that of the factory in Spain.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 is higher than that of the factory in France.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 is higher than that of the factory in Spain.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 is lower than that of the factory in Germany.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scope of business and operations performance measurement, which of the following measures is an example of an innovation and learning performance measure?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satisfaction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Flow processing or cycle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yield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Product-related litigation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Airline revenue per passenger mile and hotel revenue per full-time employee are examples of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reliability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flexibility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sustainability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productivity measures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include environmental measures such as energy consumption and recycling and other resource conservation activities.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Operation efficiency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Innovation and learning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Sustainability measures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measures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triple bottom line,__________measures include corporate ethics and governance.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sustainability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sustainability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sustainability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sustainability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the ratio of the output of a process to the input.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Flexibility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ability of an organization to respond quickly to changes in the quantity and type of demand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 variability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flexibility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Donald Jacobs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GE2TONZZGAYDGNZS</vt:lpwstr>
  </property>
</Properties>
</file>