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difference between recommendations for nutrient intakes and values set for energy intake is that the value for energy intake is generous.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a tolerable upper intake level (UL) for a nutrient implies that it is safe to consume in any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Reference Daily Values on food labels for cholesterol, total fat, and sodium suggests an intake goal to strive to reach.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nation, Canadians are eating too few servings of the protein food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average, consuming 100 percent of the Dietary Reference Intakes (DRI) for every nutrient ensures adequate intake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Recommendations for vitamins and minerals, carbohydrates, fibre, lipids, proteins, and energy have been published by the Dietary Reference Intakes (DRI)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diet-related health claim on a food label is acceptable for which of the following health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35"/>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allergy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blood pressure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celiac disease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standard establishes population-wide average requirements used by nutrition policymakers?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Values (DV)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Daily Allowances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Requirements (EAR)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speaking to a group of consumers about ways to use food labels to choose healthy foods in the grocery store. Which point would you emphasize during your 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that the %DV are based on a 3,000-Calorie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grams on the labels to calculate percentages for Daily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number of food additives in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descriptor terms used on food labels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Estimated Energy Requirements (EER)?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generous amount of Calories for healthy individuals to consume each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UL for energy is set at 2,000 Calories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amounts of excessive energy consumed daily are of little significance to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is predicted to maintain body weight for healthy adults.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concept of portion control, which of the following common objects is an acceptable way to identify a medium-sized piece of fruit?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07"/>
              <w:gridCol w:w="220"/>
              <w:gridCol w:w="2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regular 60-watt light bulb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typical ice cream scoop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nine-volt battery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deck of cards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is a source of lycopene?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garlic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watermelon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peanuts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 wine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recommended dietary allowances (RDA)?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average nutrient intake goals that meet the needs of nearly all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 new DRI category based on chronic disease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updated annually with new intake values to be followed.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minimum requirements needed daily for each nutrient.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absence of a tolerable upper intake level (UL) for a specific nutrient indicate?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food sources contain acceptable levels of the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Insufficient data exist to establish a value for the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Caution is only required when consuming supplements of the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safe to consume the nutrient in any amount.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dietary reference intakes (DRI)?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for healthy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based on review of available testimonials.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published by a committee composed of dietitians.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maximum requirements, not recommendations.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w:t>
            </w:r>
            <w:r>
              <w:rPr>
                <w:rStyle w:val="DefaultParagraphFont"/>
                <w:rFonts w:ascii="Times New Roman" w:eastAsia="Times New Roman" w:hAnsi="Times New Roman" w:cs="Times New Roman"/>
                <w:b w:val="0"/>
                <w:bCs w:val="0"/>
                <w:i/>
                <w:iCs/>
                <w:smallCaps w:val="0"/>
                <w:color w:val="000000"/>
                <w:sz w:val="22"/>
                <w:szCs w:val="22"/>
                <w:bdr w:val="nil"/>
                <w:rtl w:val="0"/>
              </w:rPr>
              <w:t>the Canadian Physical Activity Guidelines for Adults—18–64 years</w:t>
            </w:r>
            <w:r>
              <w:rPr>
                <w:rStyle w:val="DefaultParagraphFont"/>
                <w:rFonts w:ascii="Times New Roman" w:eastAsia="Times New Roman" w:hAnsi="Times New Roman" w:cs="Times New Roman"/>
                <w:b w:val="0"/>
                <w:bCs w:val="0"/>
                <w:i w:val="0"/>
                <w:iCs w:val="0"/>
                <w:smallCaps w:val="0"/>
                <w:color w:val="000000"/>
                <w:sz w:val="22"/>
                <w:szCs w:val="22"/>
                <w:bdr w:val="nil"/>
                <w:rtl w:val="0"/>
              </w:rPr>
              <w:t>, how much exercise is recommended for adults to maintain a healthy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minutes every day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minutes alternating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minutes a day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minutes weekly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comprehensive summary of Canada’s Food Guide tools and resources, which of the following processed foods may be considered part of a healthy eating pattern?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unpasteurized milk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fruit flavoured soda pop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frozen vegetables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dill pickles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Canada’s Food Guide, which of the following food items should fill half of your plate at meals?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22"/>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 wheat pasta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tofu and 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peas and carrots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wild 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compound contained in flaxseed that is converted into biologically active phytoestrogens by bacteria in the human intestine?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lignans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lycopene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genistein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lutein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for the type of fat in butter, milk, and other dairy products that has shown some healthful biological activity in animal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6"/>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omega12 fatty acid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conjugated linoleic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miso fatty acid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essential fatty acid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should be limited to 5 percent or less of the %DV on a food label?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6"/>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%DV for calcium on food labels in Canada is 1,100 mg. One cup (250 mL) of 2% milk contains about 300 mg of calcium. What is the %DV for this one cup of milk?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recommended that Canadians should choose less of which of the following food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65"/>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banana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 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lower-fat milk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bread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source of phytochemicals is the best and safest for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herbal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 foods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 foods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the phytochemical contained in black-eyed peas, grapes, lentils, and wine that may inhibit carcinogen activation and cancer promotion?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4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organosulphur compounds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tannins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phytic acid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phytochemical is contained in whole grains, fruits, vegetables, herbs, spices, teas, and red wine?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36"/>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lignans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flavonoids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lutein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carotenoids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class of lipids must be listed on food labels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2"/>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monounsaturated fat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omega-3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 fat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polyunsaturated fat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phytochemical has been attributed to lower rates of osteoporosis and heart disease in Asian people living in Asia?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6"/>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phytoestrogen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carotenoid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flavonoid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lycopene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would you suggest that an adult athlete become familiar with tolerable upper intake levels (UL) prior to taking nutritional supplements?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using supplements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illness from nutrient toxicity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maximize athletic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deficiencies in specific nutrients important for athletes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the basic assumptions made by the Dietary Reference Intakes (DRI) committee, the DRI recommendations would apply to which of the following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a 20-year-old with cystic fibrosis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Harry, a 35-year-old businessman with type 1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Cindy, a 21-year-old university student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Joanne, a 35-year-old woman who smokes and is a vegetarian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study measures the body’s intake and excretion of a nutrient to find out how much intake is required to balance excretion?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03"/>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intake study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excretion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study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Daily Values (DV)?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based on nutrient recommendations for a 3,000-Calorie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best way to compare the nutritional content of packaged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required on Canadian food labels and restaurant menus.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useful as nutrient intake goals for all adults.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Canada’s Food Guide?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intended for Canadians 18 years of age and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total of four food groups along with water, as the beverage of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food intake pattern is consistent with the latest scientific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based on feedback from nutrition educators only.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grams of fibre must a food contain for it to be considered a “very high” source of fibre?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grams or more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grams or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grams or more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grams or more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Canada’s Food Guide, which recommendation is considered part of healthy eating?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mindful of your eating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meals quietly on your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foods containing unsaturated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to select packaged foods that do not require cooking.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drill down into Canada’s Food Guide, which recommendation is made regarding fats and oils?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45–60 mL added fat in the diet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 consumption of butter, lard, and shortening.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hard margarines over soft margarines.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vegetable oils such as coconut and palm kernel.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discretionary Calorie allowance?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Added fat absorbed by the batter in fried chicken contributes to discretionary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must be spent on nutrient-dense foods composed primarily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physical activity completed the fewer discretionary Calories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consumed even if the person is trying to lose weight.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appropriate Daily Values for fat, saturated, and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fatty acids, carbohydrates, fibre, sodium, and potassium are based on the Health and Medicine Division of the National Academies of Science Dietary Reference Intakes (DRI) report for a diet of how many kilocalories?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1,500–1,800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2,200–2,800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2,800–3,000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diet planning tool sorts foods into groups based on their nutrient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41"/>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group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Calorie allowance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discretionary allowance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Dietary Reference Intakes (DRI) committee, a diet should contain what percentage of its Calories from carbohydrate?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5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45–65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65–70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core food components must be listed on the Nutrition Facts panel on a food label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key nutrient is found in the vegetables and fruits group of the Canadian food guide?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6"/>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 carbohydrates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quality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calcium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B</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 fermented liquid yogurt beverage?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keratin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kelphate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kefir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nutrient content claims and diet-related health claims allowed on food labels in Canada.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Estimated Energy Requirements (EER) are established.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 the statement that foods, not supplements, are the best and safest source of phytochemicals.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Canada’s Food Guide recommendations to be mindful of your eating habits and to cook more often.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the discretionary Calorie allowance and describe ways this allowance may be “spent.”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characteristics of the Daily Values listed on food labels and how they should be used for healthy eating.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the Dietary Reference Intakes (DRI) committee establishes DRI values.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content claims are allowable on labels if the foods meet certain criteria compared with a reference amount and serving of stated size. For example, a food claiming to be “high fibre” would have to contain 4 g or more of fibre per reference amount and serving of stated size (new reference amounts are being proposed).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2002, Health Canada introduced, for the first time, new disease risk reduction claims on foods. Acceptable disease risk reduction claims exist for hypertension, osteoporosis, cancer, dental caries, heart disease, and more.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Requirements (EER) are set at the average energy intake level predicted to maintain body weight for an individual of a particular age, gender, height, weight, and physical activity level consistent with good health. The values are not generous; they reflect a balancing act to consume enough food to support health and life but not too much energy to cause unhealthy weight gain that can lead to associated diseases.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body is clearly accustomed to handling phytochemicals in foods, the reasoning goes, so it follows that supplements of these phytochemicals must be safe for the body as well. Such thinking raises concerns among scientists. They point out that although the body is equipped to handle phytochemicals when diluted among all the other constituents of natural foods, it is not adapted to receiving concentrated doses of phytochemicals in supplement form. When considering concentrated supplements of phytochemicals, be aware that any normally beneficial substance, even water, can be toxic when taken in too high a dose. The bottom line, researchers who study phytochemicals conclude that the best-known, most effective, and safest sources for phytochemicals are in foods, not supplements.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benefits of mindful eating habits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(e.g., noticing when we are hungry and when we are full, making healthier food choices more often), aims to explain how to pay more attention to our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eating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 at home and elsewhere.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Cooking more often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(e.g., taking control over the healthy ingredients we include and relying less on highly processed foods) aims to identify the benefits of cooking including preparing foods using healthier ingredients and healthy eating on a budget.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discretionary Calorie allowance is the balance of Calories remaining in a person’s daily energy needs after accounting for the number of Calories needed to meet nutrient intakes through consumption of nutrient-dense foods. A person with a discretionary Calorie allowance to spend may choose to consume the following, within the limits of the allowance: 1. Extra servings of the same nutrient-dense foods that make up the base of the diet. 2. Fats from two sources. 3. Added sugars, such as jams, colas, and honey. 4. Alcohol, within limits. 5. Omit the discretionary Calories from the diet. This is a safe strategy because discretionary Calories are not essential for delivering needed nutrients to the diet.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 Daily Values (%DV) reflect the needs of an average person—someone eating 2,000 to 2,500 Calories daily. The purpose of having a %DV is to show whether the food has a lot or a little of a nutrient in a stated amount of food. The Daily Values are ideal for allowing comparisons among packaged foods; they are much less useful as nutrient intake goals for individuals.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Find out how much of each identified nutrient is required for various healthy individuals. Different individuals will have different requirements even though they may be of the same age or gender. The most valid research data are selected to support the DRI values. To set the value, the committee must decide what intake to recommend for all healthy people.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decision: Set the value high enough so that 97 to 98 percent of the population will be covered, but not so high as to be excessive. DRI values are updated periodically in light of new knowledge.</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chaoter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chaoter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