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80pt;width:180pt">
                  <v:imagedata r:id="rId4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Consider the noncollinear points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By using two points at a time, find the total number of lines that they determine.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027" type="#_x0000_t75" style="height:10.5pt;width:79.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you can prove that: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2"/>
              <w:gridCol w:w="220"/>
              <w:gridCol w:w="16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16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28" type="#_x0000_t75" style="height:180pt;width:180pt">
                  <v:imagedata r:id="rId6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029" type="#_x0000_t75" style="height:10.5pt;width:89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while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030" type="#_x0000_t75" style="height:10.5pt;width:93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it follows that: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90"/>
              <w:gridCol w:w="220"/>
              <w:gridCol w:w="16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2"/>
                    </w:rPr>
                    <w:pict>
                      <v:shape id="_x0000_i1031" type="#_x0000_t75" style="height:10.5pt;width:56.25pt">
                        <v:imagedata r:id="rId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2"/>
                    </w:rPr>
                    <w:pict>
                      <v:shape id="_x0000_i1032" type="#_x0000_t75" style="height:10.5pt;width:62.2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2"/>
                    </w:rPr>
                    <w:pict>
                      <v:shape id="_x0000_i1033" type="#_x0000_t75" style="height:10.5pt;width:109.5pt">
                        <v:imagedata r:id="rId1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midpoint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2"/>
                <w:szCs w:val="22"/>
                <w:bdr w:val="nil"/>
                <w:rtl w:val="0"/>
              </w:rPr>
              <w:pict>
                <v:shape id="_x0000_i1034" type="#_x0000_t75" style="height:11.25pt;width:14.2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then it can be proved that: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964"/>
              <w:gridCol w:w="220"/>
              <w:gridCol w:w="16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also the midpoint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2"/>
                      <w:szCs w:val="22"/>
                      <w:bdr w:val="nil"/>
                      <w:rtl w:val="0"/>
                    </w:rPr>
                    <w:pict>
                      <v:shape id="_x0000_i1035" type="#_x0000_t75" style="height:11.25pt;width:14.25pt">
                        <v:imagedata r:id="rId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6" type="#_x0000_t75" style="height:17.25pt;width:61.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7" type="#_x0000_t75" style="height:17.25pt;width:62.25pt">
                        <v:imagedata r:id="rId1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two rays are opposite rays, then their union is a straight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ray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bisects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8" type="#_x0000_t75" style="height:8.25pt;width:28.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9" type="#_x0000_t75" style="height:8.25pt;width:75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Because it has rained the past 4 days, a person’s intuition can be used to conclude that it will definitely rain again tomorrow.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7"/>
      <w:footerReference w:type="default" r:id="rId18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1.3: Introduction to Geometric Proof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header" Target="header1.xml" /><Relationship Id="rId18" Type="http://schemas.openxmlformats.org/officeDocument/2006/relationships/footer" Target="footer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1.3: Introduction to Geometric Proof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Sergey Dyadura</vt:lpwstr>
  </property>
</Properties>
</file>