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4.3.0.0 -->
  <w:background w:color="ffffff">
    <v:background id="_x0000_s1025" filled="t" fillcolor="white"/>
  </w:background>
  <w:body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Indicate the answer choice that best completes the statement or answers the question.</w:t>
            </w:r>
          </w:p>
        </w:tc>
      </w:tr>
    </w:tbl>
    <w:p>
      <w:pPr>
        <w:bidi w:val="0"/>
        <w:spacing w:after="90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Since 1981, the VIN has been made up of ____ characters.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64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17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VIN stands for ______.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27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Vehicle information number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Vehicle ignition number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Vehicle identification number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None of the above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Technician A says vehicle information numbers (VINs) are unique identifiers for each vehicle produced. Technician B says VINs are made up of 19 characters and are usually located on the engine. Who is correct?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95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Technician 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Technician 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Both A and 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Neither A nor B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In a North American VIN, the _______ character is the country of origin.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1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First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Second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Third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Fourth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______ character tells you the assembly plant or factory where the vehicle was put together.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2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10th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11th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12th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13th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Where might you find a VIN?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72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Engine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Left front corner of the windshield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Trunk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All of the above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Automotive service manuals come in two types: ________ and ________.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44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After-market; shop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Shop; factory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Factory; after-market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Paper; electronic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Manufacturers offer information online through ______ subscriptions.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95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Daily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Monthly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Yearly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All of the above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Shop manuals are organized according to ________ and have indexes for quick referencing.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16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VINs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Engine parts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Vehicle systems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None of the above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Technician A says that to use a service information program, you may be required to log in to the computer and the service information program. Technician B says make sure you have the username and login available before you start. Who is correct?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95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Technician 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Technician 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Both A and 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Neither A nor B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Technician A says computer databases are used to input and retrieve customer information for billing, warranty work, and other information. Technician B says that dealerships have access to manufacturer databases for the purpose of accessing warranty information. Who is correct?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95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Technician 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Technician 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Both A and 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Neither A nor B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Technician A says that computer databases provide information on procedures, parts, and service problems. Technician B says usernames and passwords may be required to log into the computer and the service information program. Who is correct?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95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Technician 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Technician 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Both A and 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Neither A nor B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Indicate whether the statement is true or false.</w:t>
            </w:r>
          </w:p>
        </w:tc>
      </w:tr>
    </w:tbl>
    <w:p>
      <w:pPr>
        <w:bidi w:val="0"/>
        <w:spacing w:after="90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final six numbers make up the sequential number of the vehicle as it comes off the assembly line.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bidi w:val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Indicate the answer choice that best completes the statement or answers the question.</w:t>
            </w:r>
          </w:p>
        </w:tc>
      </w:tr>
    </w:tbl>
    <w:p>
      <w:pPr>
        <w:bidi w:val="0"/>
        <w:spacing w:after="90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VIN contains all of the following information, EXCEPT: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89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tire size.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engine type.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seat restraints.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assembly plant.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information found in shop manuals provides a systematic procedure and identifies ________, safety precautions, and specifications relevant to the task.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33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SDS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Computer databases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VINs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Special tools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At the time of vehicle ________, manufacturers prepare service and technical information and attempt to anticipate the information the technicians need to perform service and repairs.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45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Service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Invoicing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Repair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Production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Technician A says manufacturers provide technical service bulletins (TSBs) as updates to shop manuals when new problems or maintenance concerns arise for certain vehicle makes or models. Technician B says a TSB can be issued for an updated part or a change in the service procedure on a certain make of vehicle. Who is correct?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95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Technician 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Technician 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Both A and 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Neither A nor B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Technician A says manufacturers provide technical service bulletins (TSBs) to technicians on unexpected problems, updated parts, or changes to repair procedures for certain vehicle makes or models. Technician B says that if a safety issue is discovered on a certain make of vehicle, the manufacturer may issue a service campaign or recall. Who is correct?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95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Technician 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Technician 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Both A and 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Neither A nor B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All of the following are TSB guidelines EXCEPT: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165"/>
              <w:gridCol w:w="807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Technicians must be able to locate where the TSBs are kept in your shop or look them up in the electronic service information system.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Prior to performing repairs, technicians must look through the TSBs and get to know the type of information contained in them.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After working on a vehicle, it is good practice to check whether a TSB has been issued for that vehicle and type of fault or repair.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Perform repairs to the vehicle following the TSB where appropriate while also referring to the shop manual.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Usually, all costs associated with the recall are paid for by the: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73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owner.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seller.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manufacturer.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dealer.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Technician A says that service information programs are extremely helpful, as the technician can use a laptop at the vehicle for quick access to repair procedures. Technician B says that a fault from the factory within the airbag system would likely trigger a recall. Who is correct?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82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Technician 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Technician 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Both A and 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Neither A nor B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A critical change in the procedure that bleeds air from the cooling system is needed to resolve overheating concerns. Technician A states that in this situation, the manufacturer would issue a service bulletin explaining the problem. Technician B states that this can be done by the shop itself. Who is correct?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95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Technician 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Technician 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Both A and 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Neither A nor B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A technical service bulletin may provide information on all of the following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except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: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3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unexpected problems.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updated parts.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changes to repair procedures.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scheduled maintenance chart.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Which of the following is an example of a mandatory recall?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443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 vehicle’s radio malfunctioning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 vehicle’s airbag not deploying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 vehicle’s dashboard prematurely fading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None of the answers listed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There is a fault within the airbag system of a vehicle that results in the airbag not deploying or deploying when it should not. In this case, the manufacturer would need to do all of the following EXCEPT: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426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identify the problem.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identify the cause.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note the vehicles that are affected.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calculate the cost and decide on a recall.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To identify the correct part, the technician will need to know _______.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435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Where on the vehicle the part is installed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What system or subsystem it comes from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Vehicle identification information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All of the above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Technician A says that aftermarket transmission manuals can save a technician valuable time when servicing a transmission. Technician B says that it is recommended a technician start a binder for each transmission model to collect valuable service information, service bulletins, and articles. Who is correct?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01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Technician 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Technician 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Both technicians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Neither technician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are available to supplement the manufacturer’s service information to repair automatic transmission repairs?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91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Technician’s personal library of binders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ATSG repair manuals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ATRA online database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All of the above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publish manuals on the repair of automatic transmissions?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61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ATRA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ATSG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Both A and B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Manuals from the Automatic Transmission Service Group are written for a specific transmission.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Technician A says that ATSG manuals cover the operation, diagnosis, and repair of a specific transmission. Technician B says that these manuals also include a “known problem” section with procedures to correct those problems. Who is correct?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01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Technician 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Technician 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Both technicians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Neither technician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An ATSG manual is available in print or download.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Technician A says that the ATSG provides online and in-person training. Technician B says that ATRA provides inline and in-person training. Who is correct?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01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Technician 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Technician 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Both technicians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Neither technician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ATGS manuals can help a technician identify all of the thrust bearings and valve springs by providing scaled down images.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An online database such as ATRA can include which of the following information?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94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Known problems and repairs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Service bulletins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Transmission tips and tricks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All of the above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is needed to look up the correct repair parts for a vehicle?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13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Vehicle year, make, and model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Engine size and code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VIN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All of the choices listed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Technician A says that an experienced technician can complete a repair task more quickly than the labor guide specifies. Technician B says that the labor time guide indicates the time taken by an average technician to complete a task. Who is correct?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78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Technician 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Technician 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Both technicians A and 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Neither technician A nor B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length of time for service or repair work is usually listed in tenths of an hour; 0.6 tenths of an hour would be how many minutes?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46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6 minutes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36 minutes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18 minutes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42 minutes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Technician A states that flat rate servicing costs are usually derived from a labor guide. Technician B states that labor guides list how much time will be involved in performing a standard repair. Who is correct?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95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Technician 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Technician 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Both A and 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Neither A nor B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_______ is extra time needed to deal with situations that occur on a relatively common basis, such as vehicle-installed options that are not common to all vehicles, like wheel locks.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14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Warranty time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Total time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Additional time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Combination time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p>
      <w:pPr>
        <w:pageBreakBefore/>
        <w:bidi w:val="0"/>
        <w:spacing w:before="0" w:beforeAutospacing="0" w:after="0" w:afterAutospacing="0"/>
        <w:jc w:val="left"/>
      </w:pPr>
      <w:r>
        <w:rPr>
          <w:rStyle w:val="DefaultParagraphFont"/>
          <w:rFonts w:ascii="Times New Roman" w:eastAsia="Times New Roman" w:hAnsi="Times New Roman" w:cs="Times New Roman"/>
          <w:b/>
          <w:bCs/>
          <w:strike w:val="0"/>
          <w:color w:val="000000"/>
          <w:sz w:val="22"/>
          <w:szCs w:val="22"/>
          <w:u w:val="single"/>
          <w:bdr w:val="nil"/>
          <w:rtl w:val="0"/>
        </w:rPr>
        <w:t>Answer Key</w:t>
      </w:r>
      <w:r>
        <w:br/>
      </w: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1. </w:t>
            </w:r>
            <w:r>
              <w:rPr>
                <w:rStyle w:val="DefaultParagraphFont"/>
                <w:b w:val="0"/>
                <w:bCs w:val="0"/>
                <w:i w:val="0"/>
                <w:iCs w:val="0"/>
                <w:smallCaps w:val="0"/>
                <w:sz w:val="20"/>
                <w:szCs w:val="20"/>
                <w:bdr w:val="nil"/>
                <w:rtl w:val="0"/>
              </w:rPr>
              <w:t>d</w:t>
            </w:r>
          </w:p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2. </w:t>
            </w:r>
            <w:r>
              <w:rPr>
                <w:rStyle w:val="DefaultParagraphFont"/>
                <w:b w:val="0"/>
                <w:bCs w:val="0"/>
                <w:i w:val="0"/>
                <w:iCs w:val="0"/>
                <w:smallCaps w:val="0"/>
                <w:sz w:val="20"/>
                <w:szCs w:val="20"/>
                <w:bdr w:val="nil"/>
                <w:rtl w:val="0"/>
              </w:rPr>
              <w:t>c</w:t>
            </w:r>
          </w:p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3. </w:t>
            </w:r>
            <w:r>
              <w:rPr>
                <w:rStyle w:val="DefaultParagraphFont"/>
                <w:b w:val="0"/>
                <w:bCs w:val="0"/>
                <w:i w:val="0"/>
                <w:iCs w:val="0"/>
                <w:smallCaps w:val="0"/>
                <w:sz w:val="20"/>
                <w:szCs w:val="20"/>
                <w:bdr w:val="nil"/>
                <w:rtl w:val="0"/>
              </w:rPr>
              <w:t>a</w:t>
            </w:r>
          </w:p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4. </w:t>
            </w:r>
            <w:r>
              <w:rPr>
                <w:rStyle w:val="DefaultParagraphFont"/>
                <w:b w:val="0"/>
                <w:bCs w:val="0"/>
                <w:i w:val="0"/>
                <w:iCs w:val="0"/>
                <w:smallCaps w:val="0"/>
                <w:sz w:val="20"/>
                <w:szCs w:val="20"/>
                <w:bdr w:val="nil"/>
                <w:rtl w:val="0"/>
              </w:rPr>
              <w:t>a</w:t>
            </w:r>
          </w:p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5. </w:t>
            </w:r>
            <w:r>
              <w:rPr>
                <w:rStyle w:val="DefaultParagraphFont"/>
                <w:b w:val="0"/>
                <w:bCs w:val="0"/>
                <w:i w:val="0"/>
                <w:iCs w:val="0"/>
                <w:smallCaps w:val="0"/>
                <w:sz w:val="20"/>
                <w:szCs w:val="20"/>
                <w:bdr w:val="nil"/>
                <w:rtl w:val="0"/>
              </w:rPr>
              <w:t>b</w:t>
            </w:r>
          </w:p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6. </w:t>
            </w:r>
            <w:r>
              <w:rPr>
                <w:rStyle w:val="DefaultParagraphFont"/>
                <w:b w:val="0"/>
                <w:bCs w:val="0"/>
                <w:i w:val="0"/>
                <w:iCs w:val="0"/>
                <w:smallCaps w:val="0"/>
                <w:sz w:val="20"/>
                <w:szCs w:val="20"/>
                <w:bdr w:val="nil"/>
                <w:rtl w:val="0"/>
              </w:rPr>
              <w:t>d</w:t>
            </w:r>
          </w:p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7. </w:t>
            </w:r>
            <w:r>
              <w:rPr>
                <w:rStyle w:val="DefaultParagraphFont"/>
                <w:b w:val="0"/>
                <w:bCs w:val="0"/>
                <w:i w:val="0"/>
                <w:iCs w:val="0"/>
                <w:smallCaps w:val="0"/>
                <w:sz w:val="20"/>
                <w:szCs w:val="20"/>
                <w:bdr w:val="nil"/>
                <w:rtl w:val="0"/>
              </w:rPr>
              <w:t>c</w:t>
            </w:r>
          </w:p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8. </w:t>
            </w:r>
            <w:r>
              <w:rPr>
                <w:rStyle w:val="DefaultParagraphFont"/>
                <w:b w:val="0"/>
                <w:bCs w:val="0"/>
                <w:i w:val="0"/>
                <w:iCs w:val="0"/>
                <w:smallCaps w:val="0"/>
                <w:sz w:val="20"/>
                <w:szCs w:val="20"/>
                <w:bdr w:val="nil"/>
                <w:rtl w:val="0"/>
              </w:rPr>
              <w:t>d</w:t>
            </w:r>
          </w:p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9. </w:t>
            </w:r>
            <w:r>
              <w:rPr>
                <w:rStyle w:val="DefaultParagraphFont"/>
                <w:b w:val="0"/>
                <w:bCs w:val="0"/>
                <w:i w:val="0"/>
                <w:iCs w:val="0"/>
                <w:smallCaps w:val="0"/>
                <w:sz w:val="20"/>
                <w:szCs w:val="20"/>
                <w:bdr w:val="nil"/>
                <w:rtl w:val="0"/>
              </w:rPr>
              <w:t>c</w:t>
            </w:r>
          </w:p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10. </w:t>
            </w:r>
            <w:r>
              <w:rPr>
                <w:rStyle w:val="DefaultParagraphFont"/>
                <w:b w:val="0"/>
                <w:bCs w:val="0"/>
                <w:i w:val="0"/>
                <w:iCs w:val="0"/>
                <w:smallCaps w:val="0"/>
                <w:sz w:val="20"/>
                <w:szCs w:val="20"/>
                <w:bdr w:val="nil"/>
                <w:rtl w:val="0"/>
              </w:rPr>
              <w:t>c</w:t>
            </w:r>
          </w:p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11. </w:t>
            </w:r>
            <w:r>
              <w:rPr>
                <w:rStyle w:val="DefaultParagraphFont"/>
                <w:b w:val="0"/>
                <w:bCs w:val="0"/>
                <w:i w:val="0"/>
                <w:iCs w:val="0"/>
                <w:smallCaps w:val="0"/>
                <w:sz w:val="20"/>
                <w:szCs w:val="20"/>
                <w:bdr w:val="nil"/>
                <w:rtl w:val="0"/>
              </w:rPr>
              <w:t>c</w:t>
            </w:r>
          </w:p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12. </w:t>
            </w:r>
            <w:r>
              <w:rPr>
                <w:rStyle w:val="DefaultParagraphFont"/>
                <w:b w:val="0"/>
                <w:bCs w:val="0"/>
                <w:i w:val="0"/>
                <w:iCs w:val="0"/>
                <w:smallCaps w:val="0"/>
                <w:sz w:val="20"/>
                <w:szCs w:val="20"/>
                <w:bdr w:val="nil"/>
                <w:rtl w:val="0"/>
              </w:rPr>
              <w:t>c</w:t>
            </w:r>
          </w:p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13. </w:t>
            </w:r>
            <w:r>
              <w:rPr>
                <w:rStyle w:val="DefaultParagraphFont"/>
                <w:b w:val="0"/>
                <w:bCs w:val="0"/>
                <w:i w:val="0"/>
                <w:iCs w:val="0"/>
                <w:smallCaps w:val="0"/>
                <w:sz w:val="20"/>
                <w:szCs w:val="20"/>
                <w:bdr w:val="nil"/>
                <w:rtl w:val="0"/>
              </w:rPr>
              <w:t>True</w:t>
            </w:r>
          </w:p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14. </w:t>
            </w:r>
            <w:r>
              <w:rPr>
                <w:rStyle w:val="DefaultParagraphFont"/>
                <w:b w:val="0"/>
                <w:bCs w:val="0"/>
                <w:i w:val="0"/>
                <w:iCs w:val="0"/>
                <w:smallCaps w:val="0"/>
                <w:sz w:val="20"/>
                <w:szCs w:val="20"/>
                <w:bdr w:val="nil"/>
                <w:rtl w:val="0"/>
              </w:rPr>
              <w:t>a</w:t>
            </w:r>
          </w:p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15. </w:t>
            </w:r>
            <w:r>
              <w:rPr>
                <w:rStyle w:val="DefaultParagraphFont"/>
                <w:b w:val="0"/>
                <w:bCs w:val="0"/>
                <w:i w:val="0"/>
                <w:iCs w:val="0"/>
                <w:smallCaps w:val="0"/>
                <w:sz w:val="20"/>
                <w:szCs w:val="20"/>
                <w:bdr w:val="nil"/>
                <w:rtl w:val="0"/>
              </w:rPr>
              <w:t>d</w:t>
            </w:r>
          </w:p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16. </w:t>
            </w:r>
            <w:r>
              <w:rPr>
                <w:rStyle w:val="DefaultParagraphFont"/>
                <w:b w:val="0"/>
                <w:bCs w:val="0"/>
                <w:i w:val="0"/>
                <w:iCs w:val="0"/>
                <w:smallCaps w:val="0"/>
                <w:sz w:val="20"/>
                <w:szCs w:val="20"/>
                <w:bdr w:val="nil"/>
                <w:rtl w:val="0"/>
              </w:rPr>
              <w:t>d</w:t>
            </w:r>
          </w:p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17. </w:t>
            </w:r>
            <w:r>
              <w:rPr>
                <w:rStyle w:val="DefaultParagraphFont"/>
                <w:b w:val="0"/>
                <w:bCs w:val="0"/>
                <w:i w:val="0"/>
                <w:iCs w:val="0"/>
                <w:smallCaps w:val="0"/>
                <w:sz w:val="20"/>
                <w:szCs w:val="20"/>
                <w:bdr w:val="nil"/>
                <w:rtl w:val="0"/>
              </w:rPr>
              <w:t>c</w:t>
            </w:r>
          </w:p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18. </w:t>
            </w:r>
            <w:r>
              <w:rPr>
                <w:rStyle w:val="DefaultParagraphFont"/>
                <w:b w:val="0"/>
                <w:bCs w:val="0"/>
                <w:i w:val="0"/>
                <w:iCs w:val="0"/>
                <w:smallCaps w:val="0"/>
                <w:sz w:val="20"/>
                <w:szCs w:val="20"/>
                <w:bdr w:val="nil"/>
                <w:rtl w:val="0"/>
              </w:rPr>
              <w:t>c</w:t>
            </w:r>
          </w:p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19. </w:t>
            </w:r>
            <w:r>
              <w:rPr>
                <w:rStyle w:val="DefaultParagraphFont"/>
                <w:b w:val="0"/>
                <w:bCs w:val="0"/>
                <w:i w:val="0"/>
                <w:iCs w:val="0"/>
                <w:smallCaps w:val="0"/>
                <w:sz w:val="20"/>
                <w:szCs w:val="20"/>
                <w:bdr w:val="nil"/>
                <w:rtl w:val="0"/>
              </w:rPr>
              <w:t>c</w:t>
            </w:r>
          </w:p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20. </w:t>
            </w:r>
            <w:r>
              <w:rPr>
                <w:rStyle w:val="DefaultParagraphFont"/>
                <w:b w:val="0"/>
                <w:bCs w:val="0"/>
                <w:i w:val="0"/>
                <w:iCs w:val="0"/>
                <w:smallCaps w:val="0"/>
                <w:sz w:val="20"/>
                <w:szCs w:val="20"/>
                <w:bdr w:val="nil"/>
                <w:rtl w:val="0"/>
              </w:rPr>
              <w:t>c</w:t>
            </w:r>
          </w:p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21. </w:t>
            </w:r>
            <w:r>
              <w:rPr>
                <w:rStyle w:val="DefaultParagraphFont"/>
                <w:b w:val="0"/>
                <w:bCs w:val="0"/>
                <w:i w:val="0"/>
                <w:iCs w:val="0"/>
                <w:smallCaps w:val="0"/>
                <w:sz w:val="20"/>
                <w:szCs w:val="20"/>
                <w:bdr w:val="nil"/>
                <w:rtl w:val="0"/>
              </w:rPr>
              <w:t>c</w:t>
            </w:r>
          </w:p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22. </w:t>
            </w:r>
            <w:r>
              <w:rPr>
                <w:rStyle w:val="DefaultParagraphFont"/>
                <w:b w:val="0"/>
                <w:bCs w:val="0"/>
                <w:i w:val="0"/>
                <w:iCs w:val="0"/>
                <w:smallCaps w:val="0"/>
                <w:sz w:val="20"/>
                <w:szCs w:val="20"/>
                <w:bdr w:val="nil"/>
                <w:rtl w:val="0"/>
              </w:rPr>
              <w:t>a</w:t>
            </w:r>
          </w:p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23. </w:t>
            </w:r>
            <w:r>
              <w:rPr>
                <w:rStyle w:val="DefaultParagraphFont"/>
                <w:b w:val="0"/>
                <w:bCs w:val="0"/>
                <w:i w:val="0"/>
                <w:iCs w:val="0"/>
                <w:smallCaps w:val="0"/>
                <w:sz w:val="20"/>
                <w:szCs w:val="20"/>
                <w:bdr w:val="nil"/>
                <w:rtl w:val="0"/>
              </w:rPr>
              <w:t>d</w:t>
            </w:r>
          </w:p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24. </w:t>
            </w:r>
            <w:r>
              <w:rPr>
                <w:rStyle w:val="DefaultParagraphFont"/>
                <w:b w:val="0"/>
                <w:bCs w:val="0"/>
                <w:i w:val="0"/>
                <w:iCs w:val="0"/>
                <w:smallCaps w:val="0"/>
                <w:sz w:val="20"/>
                <w:szCs w:val="20"/>
                <w:bdr w:val="nil"/>
                <w:rtl w:val="0"/>
              </w:rPr>
              <w:t>b</w:t>
            </w:r>
          </w:p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25. </w:t>
            </w:r>
            <w:r>
              <w:rPr>
                <w:rStyle w:val="DefaultParagraphFont"/>
                <w:b w:val="0"/>
                <w:bCs w:val="0"/>
                <w:i w:val="0"/>
                <w:iCs w:val="0"/>
                <w:smallCaps w:val="0"/>
                <w:sz w:val="20"/>
                <w:szCs w:val="20"/>
                <w:bdr w:val="nil"/>
                <w:rtl w:val="0"/>
              </w:rPr>
              <w:t>d</w:t>
            </w:r>
          </w:p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26. </w:t>
            </w:r>
            <w:r>
              <w:rPr>
                <w:rStyle w:val="DefaultParagraphFont"/>
                <w:b w:val="0"/>
                <w:bCs w:val="0"/>
                <w:i w:val="0"/>
                <w:iCs w:val="0"/>
                <w:smallCaps w:val="0"/>
                <w:sz w:val="20"/>
                <w:szCs w:val="20"/>
                <w:bdr w:val="nil"/>
                <w:rtl w:val="0"/>
              </w:rPr>
              <w:t>d</w:t>
            </w:r>
          </w:p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27. </w:t>
            </w:r>
            <w:r>
              <w:rPr>
                <w:rStyle w:val="DefaultParagraphFont"/>
                <w:b w:val="0"/>
                <w:bCs w:val="0"/>
                <w:i w:val="0"/>
                <w:iCs w:val="0"/>
                <w:smallCaps w:val="0"/>
                <w:sz w:val="20"/>
                <w:szCs w:val="20"/>
                <w:bdr w:val="nil"/>
                <w:rtl w:val="0"/>
              </w:rPr>
              <w:t>c</w:t>
            </w:r>
          </w:p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28. </w:t>
            </w:r>
            <w:r>
              <w:rPr>
                <w:rStyle w:val="DefaultParagraphFont"/>
                <w:b w:val="0"/>
                <w:bCs w:val="0"/>
                <w:i w:val="0"/>
                <w:iCs w:val="0"/>
                <w:smallCaps w:val="0"/>
                <w:sz w:val="20"/>
                <w:szCs w:val="20"/>
                <w:bdr w:val="nil"/>
                <w:rtl w:val="0"/>
              </w:rPr>
              <w:t>d</w:t>
            </w:r>
          </w:p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29. </w:t>
            </w:r>
            <w:r>
              <w:rPr>
                <w:rStyle w:val="DefaultParagraphFont"/>
                <w:b w:val="0"/>
                <w:bCs w:val="0"/>
                <w:i w:val="0"/>
                <w:iCs w:val="0"/>
                <w:smallCaps w:val="0"/>
                <w:sz w:val="20"/>
                <w:szCs w:val="20"/>
                <w:bdr w:val="nil"/>
                <w:rtl w:val="0"/>
              </w:rPr>
              <w:t>d</w:t>
            </w:r>
          </w:p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30. </w:t>
            </w:r>
            <w:r>
              <w:rPr>
                <w:rStyle w:val="DefaultParagraphFont"/>
                <w:b w:val="0"/>
                <w:bCs w:val="0"/>
                <w:i w:val="0"/>
                <w:iCs w:val="0"/>
                <w:smallCaps w:val="0"/>
                <w:sz w:val="20"/>
                <w:szCs w:val="20"/>
                <w:bdr w:val="nil"/>
                <w:rtl w:val="0"/>
              </w:rPr>
              <w:t>a</w:t>
            </w:r>
          </w:p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31. </w:t>
            </w:r>
            <w:r>
              <w:rPr>
                <w:rStyle w:val="DefaultParagraphFont"/>
                <w:b w:val="0"/>
                <w:bCs w:val="0"/>
                <w:i w:val="0"/>
                <w:iCs w:val="0"/>
                <w:smallCaps w:val="0"/>
                <w:sz w:val="20"/>
                <w:szCs w:val="20"/>
                <w:bdr w:val="nil"/>
                <w:rtl w:val="0"/>
              </w:rPr>
              <w:t>c</w:t>
            </w:r>
          </w:p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32. </w:t>
            </w:r>
            <w:r>
              <w:rPr>
                <w:rStyle w:val="DefaultParagraphFont"/>
                <w:b w:val="0"/>
                <w:bCs w:val="0"/>
                <w:i w:val="0"/>
                <w:iCs w:val="0"/>
                <w:smallCaps w:val="0"/>
                <w:sz w:val="20"/>
                <w:szCs w:val="20"/>
                <w:bdr w:val="nil"/>
                <w:rtl w:val="0"/>
              </w:rPr>
              <w:t>a</w:t>
            </w:r>
          </w:p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33. </w:t>
            </w:r>
            <w:r>
              <w:rPr>
                <w:rStyle w:val="DefaultParagraphFont"/>
                <w:b w:val="0"/>
                <w:bCs w:val="0"/>
                <w:i w:val="0"/>
                <w:iCs w:val="0"/>
                <w:smallCaps w:val="0"/>
                <w:sz w:val="20"/>
                <w:szCs w:val="20"/>
                <w:bdr w:val="nil"/>
                <w:rtl w:val="0"/>
              </w:rPr>
              <w:t>b</w:t>
            </w:r>
          </w:p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34. </w:t>
            </w:r>
            <w:r>
              <w:rPr>
                <w:rStyle w:val="DefaultParagraphFont"/>
                <w:b w:val="0"/>
                <w:bCs w:val="0"/>
                <w:i w:val="0"/>
                <w:iCs w:val="0"/>
                <w:smallCaps w:val="0"/>
                <w:sz w:val="20"/>
                <w:szCs w:val="20"/>
                <w:bdr w:val="nil"/>
                <w:rtl w:val="0"/>
              </w:rPr>
              <w:t>a</w:t>
            </w:r>
          </w:p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35. </w:t>
            </w:r>
            <w:r>
              <w:rPr>
                <w:rStyle w:val="DefaultParagraphFont"/>
                <w:b w:val="0"/>
                <w:bCs w:val="0"/>
                <w:i w:val="0"/>
                <w:iCs w:val="0"/>
                <w:smallCaps w:val="0"/>
                <w:sz w:val="20"/>
                <w:szCs w:val="20"/>
                <w:bdr w:val="nil"/>
                <w:rtl w:val="0"/>
              </w:rPr>
              <w:t>d</w:t>
            </w:r>
          </w:p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36. </w:t>
            </w:r>
            <w:r>
              <w:rPr>
                <w:rStyle w:val="DefaultParagraphFont"/>
                <w:b w:val="0"/>
                <w:bCs w:val="0"/>
                <w:i w:val="0"/>
                <w:iCs w:val="0"/>
                <w:smallCaps w:val="0"/>
                <w:sz w:val="20"/>
                <w:szCs w:val="20"/>
                <w:bdr w:val="nil"/>
                <w:rtl w:val="0"/>
              </w:rPr>
              <w:t>d</w:t>
            </w:r>
          </w:p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37. </w:t>
            </w:r>
            <w:r>
              <w:rPr>
                <w:rStyle w:val="DefaultParagraphFont"/>
                <w:b w:val="0"/>
                <w:bCs w:val="0"/>
                <w:i w:val="0"/>
                <w:iCs w:val="0"/>
                <w:smallCaps w:val="0"/>
                <w:sz w:val="20"/>
                <w:szCs w:val="20"/>
                <w:bdr w:val="nil"/>
                <w:rtl w:val="0"/>
              </w:rPr>
              <w:t>c</w:t>
            </w:r>
          </w:p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38. </w:t>
            </w:r>
            <w:r>
              <w:rPr>
                <w:rStyle w:val="DefaultParagraphFont"/>
                <w:b w:val="0"/>
                <w:bCs w:val="0"/>
                <w:i w:val="0"/>
                <w:iCs w:val="0"/>
                <w:smallCaps w:val="0"/>
                <w:sz w:val="20"/>
                <w:szCs w:val="20"/>
                <w:bdr w:val="nil"/>
                <w:rtl w:val="0"/>
              </w:rPr>
              <w:t>b</w:t>
            </w:r>
          </w:p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39. </w:t>
            </w:r>
            <w:r>
              <w:rPr>
                <w:rStyle w:val="DefaultParagraphFont"/>
                <w:b w:val="0"/>
                <w:bCs w:val="0"/>
                <w:i w:val="0"/>
                <w:iCs w:val="0"/>
                <w:smallCaps w:val="0"/>
                <w:sz w:val="20"/>
                <w:szCs w:val="20"/>
                <w:bdr w:val="nil"/>
                <w:rtl w:val="0"/>
              </w:rPr>
              <w:t>c</w:t>
            </w:r>
          </w:p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40. </w:t>
            </w:r>
            <w:r>
              <w:rPr>
                <w:rStyle w:val="DefaultParagraphFont"/>
                <w:b w:val="0"/>
                <w:bCs w:val="0"/>
                <w:i w:val="0"/>
                <w:iCs w:val="0"/>
                <w:smallCaps w:val="0"/>
                <w:sz w:val="20"/>
                <w:szCs w:val="20"/>
                <w:bdr w:val="nil"/>
                <w:rtl w:val="0"/>
              </w:rPr>
              <w:t>c</w:t>
            </w:r>
          </w:p>
        </w:tc>
      </w:tr>
    </w:tbl>
    <w:p>
      <w:pPr>
        <w:bidi w:val="0"/>
        <w:spacing w:after="75"/>
        <w:jc w:val="left"/>
      </w:pPr>
    </w:p>
    <w:p>
      <w:pPr>
        <w:bidi w:val="0"/>
        <w:spacing w:after="75"/>
        <w:jc w:val="left"/>
      </w:pPr>
    </w:p>
    <w:sectPr>
      <w:headerReference w:type="default" r:id="rId4"/>
      <w:footerReference w:type="default" r:id="rId5"/>
      <w:pgMar w:top="720" w:right="720" w:bottom="720" w:left="720"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8" w:type="dxa"/>
        <w:right w:w="108" w:type="dxa"/>
      </w:tblCellMar>
    </w:tblPr>
    <w:tblGrid>
      <w:gridCol w:w="5452"/>
      <w:gridCol w:w="5328"/>
    </w:tblGrid>
    <w:tr>
      <w:tblPrEx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Ex>
      <w:tc>
        <w:tcPr>
          <w:tcW w:w="4500" w:type="pct"/>
          <w:tcBorders>
            <w:top w:val="nil"/>
            <w:left w:val="nil"/>
            <w:bottom w:val="nil"/>
            <w:right w:val="nil"/>
          </w:tcBorders>
        </w:tcPr>
        <w:p>
          <w:pPr>
            <w:bidi w:val="0"/>
          </w:pPr>
          <w:r>
            <w:rPr>
              <w:rStyle w:val="DefaultParagraphFont"/>
              <w:b w:val="0"/>
              <w:bCs w:val="0"/>
              <w:i/>
              <w:iCs/>
              <w:sz w:val="16"/>
              <w:szCs w:val="16"/>
              <w:bdr w:val="nil"/>
              <w:rtl w:val="0"/>
            </w:rPr>
            <w:t>Powered by Cognero</w:t>
          </w:r>
        </w:p>
      </w:tc>
      <w:tc>
        <w:tcPr>
          <w:tcW w:w="4500" w:type="pct"/>
          <w:tcBorders>
            <w:top w:val="nil"/>
            <w:left w:val="nil"/>
            <w:bottom w:val="nil"/>
            <w:right w:val="nil"/>
          </w:tcBorders>
        </w:tcPr>
        <w:p>
          <w:pPr>
            <w:bidi w:val="0"/>
            <w:jc w:val="right"/>
          </w:pPr>
          <w:r>
            <w:rPr>
              <w:rStyle w:val="DefaultParagraphFont"/>
              <w:b w:val="0"/>
              <w:bCs w:val="0"/>
              <w:sz w:val="16"/>
              <w:szCs w:val="16"/>
              <w:bdr w:val="nil"/>
              <w:rtl w:val="0"/>
            </w:rPr>
            <w:t>Page </w:t>
          </w:r>
          <w:r>
            <w:fldChar w:fldCharType="begin"/>
          </w:r>
          <w:r>
            <w:instrText>PAGE</w:instrText>
          </w:r>
          <w:r>
            <w:fldChar w:fldCharType="separate"/>
          </w:r>
          <w:r>
            <w:fldChar w:fldCharType="end"/>
          </w:r>
        </w:p>
      </w:tc>
    </w:tr>
  </w:tbl>
  <w:p/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800" w:type="dxa"/>
      <w:tblBorders>
        <w:top w:val="nil"/>
        <w:left w:val="nil"/>
        <w:bottom w:val="nil"/>
        <w:right w:val="nil"/>
        <w:insideH w:val="nil"/>
        <w:insideV w:val="nil"/>
      </w:tblBorders>
      <w:tblCellMar>
        <w:top w:w="0" w:type="dxa"/>
        <w:left w:w="0" w:type="dxa"/>
        <w:bottom w:w="0" w:type="dxa"/>
        <w:right w:w="0" w:type="dxa"/>
      </w:tblCellMar>
    </w:tblPr>
    <w:tblGrid>
      <w:gridCol w:w="5226"/>
      <w:gridCol w:w="3484"/>
      <w:gridCol w:w="2090"/>
    </w:tblGrid>
    <w:tr>
      <w:tblPrEx>
        <w:tblW w:w="1080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2250" w:type="pct"/>
          <w:noWrap w:val="0"/>
          <w:tcMar>
            <w:top w:w="0" w:type="dxa"/>
            <w:left w:w="0" w:type="dxa"/>
            <w:bottom w:w="0" w:type="dxa"/>
            <w:right w:w="0" w:type="dxa"/>
          </w:tcMar>
          <w:vAlign w:val="top"/>
        </w:tcPr>
        <w:tbl>
          <w:tblPr>
            <w:tblW w:w="5000" w:type="pct"/>
            <w:jc w:val="left"/>
            <w:tblBorders>
              <w:top w:val="nil"/>
              <w:left w:val="nil"/>
              <w:bottom w:val="nil"/>
              <w:right w:val="nil"/>
              <w:insideH w:val="nil"/>
              <w:insideV w:val="nil"/>
            </w:tblBorders>
            <w:tblCellMar>
              <w:top w:w="0" w:type="dxa"/>
              <w:left w:w="0" w:type="dxa"/>
              <w:bottom w:w="0" w:type="dxa"/>
              <w:right w:w="0" w:type="dxa"/>
            </w:tblCellMar>
          </w:tblPr>
          <w:tblGrid>
            <w:gridCol w:w="589"/>
            <w:gridCol w:w="4637"/>
          </w:tblGrid>
          <w:tr>
            <w:tblPrEx>
              <w:tblW w:w="5000" w:type="pct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  <w:trPr>
              <w:jc w:val="left"/>
            </w:trPr>
            <w:tc>
              <w:tcPr>
                <w:tcW w:w="15" w:type="dxa"/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Name:</w:t>
                </w:r>
              </w:p>
            </w:tc>
            <w:tc>
              <w:tcPr>
                <w:tcBorders>
                  <w:bottom w:val="single" w:sz="6" w:space="0" w:color="000000"/>
                </w:tcBorders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</w:t>
                </w:r>
              </w:p>
            </w:tc>
          </w:tr>
        </w:tbl>
        <w:p/>
      </w:tc>
      <w:tc>
        <w:tcPr>
          <w:tcW w:w="1500" w:type="pct"/>
          <w:noWrap w:val="0"/>
          <w:tcMar>
            <w:top w:w="0" w:type="dxa"/>
            <w:left w:w="0" w:type="dxa"/>
            <w:bottom w:w="0" w:type="dxa"/>
            <w:right w:w="0" w:type="dxa"/>
          </w:tcMar>
          <w:vAlign w:val="top"/>
        </w:tcPr>
        <w:tbl>
          <w:tblPr>
            <w:tblW w:w="5000" w:type="pct"/>
            <w:jc w:val="left"/>
            <w:tblBorders>
              <w:top w:val="nil"/>
              <w:left w:val="nil"/>
              <w:bottom w:val="nil"/>
              <w:right w:val="nil"/>
              <w:insideH w:val="nil"/>
              <w:insideV w:val="nil"/>
            </w:tblBorders>
            <w:tblCellMar>
              <w:top w:w="0" w:type="dxa"/>
              <w:left w:w="0" w:type="dxa"/>
              <w:bottom w:w="0" w:type="dxa"/>
              <w:right w:w="0" w:type="dxa"/>
            </w:tblCellMar>
          </w:tblPr>
          <w:tblGrid>
            <w:gridCol w:w="556"/>
            <w:gridCol w:w="2928"/>
          </w:tblGrid>
          <w:tr>
            <w:tblPrEx>
              <w:tblW w:w="5000" w:type="pct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  <w:trPr>
              <w:jc w:val="left"/>
            </w:trPr>
            <w:tc>
              <w:tcPr>
                <w:tcW w:w="15" w:type="dxa"/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Class:</w:t>
                </w:r>
              </w:p>
            </w:tc>
            <w:tc>
              <w:tcPr>
                <w:tcBorders>
                  <w:bottom w:val="single" w:sz="6" w:space="0" w:color="000000"/>
                </w:tcBorders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</w:t>
                </w:r>
              </w:p>
            </w:tc>
          </w:tr>
        </w:tbl>
        <w:p/>
      </w:tc>
      <w:tc>
        <w:tcPr>
          <w:tcW w:w="900" w:type="pct"/>
          <w:noWrap w:val="0"/>
          <w:tcMar>
            <w:top w:w="0" w:type="dxa"/>
            <w:left w:w="0" w:type="dxa"/>
            <w:bottom w:w="0" w:type="dxa"/>
            <w:right w:w="0" w:type="dxa"/>
          </w:tcMar>
          <w:vAlign w:val="top"/>
        </w:tcPr>
        <w:tbl>
          <w:tblPr>
            <w:tblW w:w="5000" w:type="pct"/>
            <w:jc w:val="left"/>
            <w:tblBorders>
              <w:top w:val="nil"/>
              <w:left w:val="nil"/>
              <w:bottom w:val="nil"/>
              <w:right w:val="nil"/>
              <w:insideH w:val="nil"/>
              <w:insideV w:val="nil"/>
            </w:tblBorders>
            <w:tblCellMar>
              <w:top w:w="0" w:type="dxa"/>
              <w:left w:w="0" w:type="dxa"/>
              <w:bottom w:w="0" w:type="dxa"/>
              <w:right w:w="0" w:type="dxa"/>
            </w:tblCellMar>
          </w:tblPr>
          <w:tblGrid>
            <w:gridCol w:w="478"/>
            <w:gridCol w:w="1612"/>
          </w:tblGrid>
          <w:tr>
            <w:tblPrEx>
              <w:tblW w:w="5000" w:type="pct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  <w:trPr>
              <w:jc w:val="left"/>
            </w:trPr>
            <w:tc>
              <w:tcPr>
                <w:tcW w:w="15" w:type="dxa"/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Date:</w:t>
                </w:r>
              </w:p>
            </w:tc>
            <w:tc>
              <w:tcPr>
                <w:tcBorders>
                  <w:bottom w:val="single" w:sz="6" w:space="0" w:color="000000"/>
                </w:tcBorders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</w:t>
                </w:r>
              </w:p>
            </w:tc>
          </w:tr>
        </w:tbl>
        <w:p/>
      </w:tc>
    </w:tr>
  </w:tbl>
  <w:p>
    <w:pPr>
      <w:bidi w:val="0"/>
    </w:pPr>
    <w:r>
      <w:br/>
    </w:r>
    <w:r>
      <w:rPr>
        <w:rStyle w:val="DefaultParagraphFont"/>
        <w:rFonts w:ascii="Times New Roman" w:eastAsia="Times New Roman" w:hAnsi="Times New Roman" w:cs="Times New Roman"/>
        <w:b/>
        <w:bCs/>
        <w:strike w:val="0"/>
        <w:color w:val="000000"/>
        <w:sz w:val="22"/>
        <w:szCs w:val="22"/>
        <w:u w:val="single"/>
        <w:bdr w:val="nil"/>
        <w:rtl w:val="0"/>
      </w:rPr>
      <w:t>Chapter 02 Test</w:t>
    </w:r>
  </w:p>
  <w:p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isplayBackgroundShape/>
  <w:defaultTabStop w:val="720"/>
  <w:noPunctuationKerning/>
  <w:characterSpacingControl w:val="doNotCompress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pPr>
      <w:spacing w:before="0" w:beforeAutospacing="0" w:after="0" w:afterAutospacing="0"/>
    </w:pPr>
    <w:rPr>
      <w:rFonts w:ascii="Arial" w:eastAsia="Arial" w:hAnsi="Arial" w:cs="Arial"/>
      <w:sz w:val="16"/>
      <w:szCs w:val="24"/>
      <w:bdr w:val="nil"/>
    </w:rPr>
  </w:style>
  <w:style w:type="paragraph" w:styleId="Heading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Times New Roman" w:eastAsia="Times New Roman" w:hAnsi="Times New Roman" w:cs="Times New Roman"/>
      <w:b/>
      <w:bCs/>
      <w:i w:val="0"/>
      <w:kern w:val="32"/>
      <w:sz w:val="48"/>
      <w:szCs w:val="48"/>
      <w:bdr w:val="nil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Times New Roman" w:eastAsia="Times New Roman" w:hAnsi="Times New Roman" w:cs="Times New Roman"/>
      <w:b/>
      <w:bCs/>
      <w:i w:val="0"/>
      <w:iCs/>
      <w:sz w:val="36"/>
      <w:szCs w:val="36"/>
      <w:bdr w:val="nil"/>
    </w:rPr>
  </w:style>
  <w:style w:type="paragraph" w:styleId="Heading3">
    <w:name w:val="heading 3"/>
    <w:basedOn w:val="Normal"/>
    <w:next w:val="Normal"/>
    <w:qFormat/>
    <w:rsid w:val="00EF7B96"/>
    <w:pPr>
      <w:keepNext/>
      <w:spacing w:before="240" w:after="60"/>
      <w:outlineLvl w:val="2"/>
    </w:pPr>
    <w:rPr>
      <w:rFonts w:ascii="Times New Roman" w:eastAsia="Times New Roman" w:hAnsi="Times New Roman" w:cs="Times New Roman"/>
      <w:b/>
      <w:bCs/>
      <w:i w:val="0"/>
      <w:sz w:val="28"/>
      <w:szCs w:val="28"/>
      <w:bdr w:val="nil"/>
    </w:rPr>
  </w:style>
  <w:style w:type="paragraph" w:styleId="Heading4">
    <w:name w:val="heading 4"/>
    <w:basedOn w:val="Normal"/>
    <w:next w:val="Normal"/>
    <w:qFormat/>
    <w:rsid w:val="00EF7B96"/>
    <w:pPr>
      <w:keepNext/>
      <w:spacing w:before="240" w:after="60"/>
      <w:outlineLvl w:val="3"/>
    </w:pPr>
    <w:rPr>
      <w:rFonts w:ascii="Times New Roman" w:eastAsia="Times New Roman" w:hAnsi="Times New Roman" w:cs="Times New Roman"/>
      <w:b/>
      <w:bCs/>
      <w:i w:val="0"/>
      <w:sz w:val="24"/>
      <w:szCs w:val="24"/>
      <w:bdr w:val="nil"/>
    </w:rPr>
  </w:style>
  <w:style w:type="paragraph" w:styleId="Heading5">
    <w:name w:val="heading 5"/>
    <w:basedOn w:val="Normal"/>
    <w:next w:val="Normal"/>
    <w:qFormat/>
    <w:rsid w:val="00EF7B96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 w:val="0"/>
      <w:iCs/>
      <w:sz w:val="20"/>
      <w:szCs w:val="20"/>
      <w:bdr w:val="nil"/>
    </w:rPr>
  </w:style>
  <w:style w:type="paragraph" w:styleId="Heading6">
    <w:name w:val="heading 6"/>
    <w:basedOn w:val="Normal"/>
    <w:next w:val="Normal"/>
    <w:qFormat/>
    <w:rsid w:val="00EF7B96"/>
    <w:pPr>
      <w:spacing w:before="240" w:after="60"/>
      <w:outlineLvl w:val="5"/>
    </w:pPr>
    <w:rPr>
      <w:rFonts w:ascii="Times New Roman" w:eastAsia="Times New Roman" w:hAnsi="Times New Roman" w:cs="Times New Roman"/>
      <w:b/>
      <w:bCs/>
      <w:i w:val="0"/>
      <w:sz w:val="16"/>
      <w:szCs w:val="16"/>
      <w:bdr w:val="nil"/>
    </w:rPr>
  </w:style>
  <w:style w:type="character" w:default="1" w:styleId="DefaultParagraphFont">
    <w:name w:val="Default Paragraph Font"/>
    <w:semiHidden/>
  </w:style>
  <w:style w:type="paragraph" w:customStyle="1" w:styleId="questionContentItem">
    <w:name w:val="questionContentItem"/>
    <w:basedOn w:val="Normal"/>
    <w:pPr/>
    <w:rPr>
      <w:bdr w:val="nil"/>
    </w:rPr>
  </w:style>
  <w:style w:type="paragraph" w:customStyle="1" w:styleId="p">
    <w:name w:val="p"/>
    <w:basedOn w:val="Normal"/>
    <w:pPr>
      <w:spacing w:before="0" w:beforeAutospacing="0" w:after="0" w:afterAutospacing="0"/>
    </w:pPr>
    <w:rPr>
      <w:bdr w:val="nil"/>
    </w:rPr>
  </w:style>
  <w:style w:type="table" w:customStyle="1" w:styleId="questionMetaData">
    <w:name w:val="questionMetaData"/>
    <w:tblPr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footer" Target="footer1.xml" /><Relationship Id="rId6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>Cognero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02 Test</dc:title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ublisher User">
    <vt:lpwstr>CDX Super User</vt:lpwstr>
  </property>
</Properties>
</file>