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Baker Company owns 15% of the common stock of Charlie Corporation and used the fair-value method to account for this investment. Charlie reported net income of $120,000 for 2021 and paid dividends of $70,000 on October 1, 2021. How much income should Baker recognize on this investment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Loeffler Company owns 35% of the common stock of Tetter Co. and uses the equity method to account for the investment. During 2021, Tetter reported income of $260,000 and paid dividends of $90,000. There is no amortization associated with the investment. During 2021, how much income should Loeffler recognize related to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$59,500.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On January 1, 2021, Lee Company paid $1,870,000 for 80,000 shares of Thomas Co.’s voting common stock which represents a 45% investment. No allocation to goodwill or other specific account was necessary. Significant influence over Thomas was achieved by this acquisition. Thomas distributed a dividend of $2.00 per share during 2021 and reported net income of $720,000. What was the balance in the </w:t>
      </w:r>
      <w:r>
        <w:rPr>
          <w:rFonts w:ascii="Times New Roman"/>
          <w:b w:val="false"/>
          <w:i/>
          <w:color w:val="000000"/>
          <w:sz w:val="24"/>
        </w:rPr>
        <w:t>Investment in Thomas Co.</w:t>
      </w:r>
      <w:r>
        <w:rPr>
          <w:rFonts w:ascii="Times New Roman"/>
          <w:b w:val="false"/>
          <w:i w:val="false"/>
          <w:color w:val="000000"/>
          <w:sz w:val="24"/>
        </w:rPr>
        <w:t xml:space="preserve"> account found in the financial records of Lee as of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$2,114,000.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$2,194,000.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$2,354,000.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$2,158,000.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$2,034,000.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An investor should </w:t>
      </w:r>
      <w:r>
        <w:rPr>
          <w:rFonts w:ascii="Times New Roman"/>
          <w:b w:val="false"/>
          <w:i w:val="false"/>
          <w:color w:val="000000"/>
          <w:sz w:val="24"/>
          <w:u w:val="single"/>
        </w:rPr>
        <w:t xml:space="preserve">always </w:t>
      </w:r>
      <w:r>
        <w:rPr>
          <w:rFonts w:ascii="Times New Roman"/>
          <w:b w:val="false"/>
          <w:i w:val="false"/>
          <w:color w:val="000000"/>
          <w:sz w:val="24"/>
        </w:rPr>
        <w:t>use the equity method to account for an investment if: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has the ability to exercise significant influence over the operating policies of the investee.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owns 30% of an investee’s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has a controlling interest (more than 50%) of an investee’s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investment was made primarily to earn a return on excess cash.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does not have the ability to exercise significant influence over the operating policies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On January 1, 2019, Dermot Company purchased 15% of the voting common stock of Horne Corp. On January 1, 2021, Dermot purchased 28% of Horne’s voting common stock. If Dermot achieves significant influence with this new investment, how must Dermot account for the change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must use the equity method for 2021 but should make no changes in its financial statements for 2020 and 2019.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should prepare consolidated financial statements for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must restate the financial statements for 2020 and 2019 as if the equity method had been used for those two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should record a prior period adjustment at the beginning of 2021 but should not restate the financial statements for 2020 and 2019.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must restate the financial statements for 2020 as if the equity method had been used then.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During January 2020, Nelson, Inc. acquired 30% of the outstanding common stock of Fuel Co. for $1,600,000. This investment gave Nelson the ability to exercise significant influence over Fuel. Fuel’s assets on that date were recorded at $7,200,000 with liabilities of $3,400,000. Any excess of cost over book value of Nelson’s investment was attributed to unrecorded patents having a remaining useful life of ten years.</w:t>
      </w:r>
      <w:r>
        <w:rPr>
          <w:rFonts w:ascii="Times New Roman"/>
          <w:b w:val="false"/>
          <w:i w:val="false"/>
          <w:color w:val="000000"/>
          <w:sz w:val="24"/>
        </w:rPr>
        <w:t xml:space="preserve">In 2020, Fuel reported net income of $650,000. For 2021, Fuel reported net income of $800,000. Dividends of $250,000 were paid in each of these two years. What was the reported balance of Nelson’s </w:t>
      </w:r>
      <w:r>
        <w:rPr>
          <w:rFonts w:ascii="Times New Roman"/>
          <w:b w:val="false"/>
          <w:i/>
          <w:color w:val="000000"/>
          <w:sz w:val="24"/>
        </w:rPr>
        <w:t>Investment in Fuel Co.</w:t>
      </w:r>
      <w:r>
        <w:rPr>
          <w:rFonts w:ascii="Times New Roman"/>
          <w:b w:val="false"/>
          <w:i w:val="false"/>
          <w:color w:val="000000"/>
          <w:sz w:val="24"/>
        </w:rPr>
        <w:t xml:space="preserve">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$1,793,000.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$1,885,000.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$1,977,000.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$1,054,300.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On January 1, 2021, Bangle Company purchased 30% of the voting common stock of Sleat Corp. for $1,000,000. Any excess of cost over book value was assigned to goodwill. During 2021, Sleat paid dividends of $24,000 and reported a net loss of $140,000. 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$950,800.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$958,000.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$990,100.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$956,400.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On January 1, 2021, Halpert Inc. acquired 30% of Schrute Corp. Halpert used the equity method to account for the investment. On January 1, 2022, Halpert sold two-thirds of its investment in Schrute. It no longer had the ability to exercise significant influence over the operations of Schrute. How should Halpert account for this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Halpert should continue to use the equity method to maintain consistency in its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Halpert should restate the prior years’ financial statements and change the balance in the investment account as if the fair-value method had been used since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Halpert has the option of using either the equity method or the fair-value method for 2021 and future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Halpert should report the effect of the change from the equity to the fair-value method as a retrospective change in accounting principle.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Halpert should use the fair-value method for 2022 and future years, but should not make a retrospective adjustment to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Kane Inc. owns 30% of Woodhouse Co. and applies the equity method. During the current year, Kane bought inventory costing $71,500 and then sold it to Woodhouse for $130,000. At year-end, only $30,000 of merchandise was still being held by Woodhouse. What amount of intra-entity gross profit must be deferred by Kane?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$17,550.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On January 4, 2021, Snow Co. purchased 40,000 shares (40%) of the common stock of Walker Corp., paying $900,000. There was no goodwill or other cost allocation associated with the investment. Snow has significant influence over Walker. During 2021, Walker reported income of $240,000 and paid dividends of $75,000. On January 2, 2022, Snow sold 5,000 shares for $125,000. What was the balance in the investment account after the shares had been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$871,500.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$845,250.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$761,250.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$897,250.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$950,250.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What is the amount of goodwill associated with the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$264,000.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For 2021, what is the total amount of excess amortization for Madison’s 30% investment in Huntsville?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Town Co. appropriately uses the equity method to account for its investment in Country Corp. As of the end of 2021, Country’s common stock had suffered a significant decline in fair value, which is expected to recover over the next several months. How should Town account for the decline in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Town should switch to the fair-value method.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accounting because the decline in fair value is temporary.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Town should decrease the balance in the investment account to the current value and recognize a loss on the income statement.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Town should not record its share of Country’s 2021 earnings until the decline in the fair value of the stock has been recovered.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Town should decrease the balance in the investment account to the current value and recognize an unrealized loss on the balance sheet.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An </w:t>
      </w:r>
      <w:r>
        <w:rPr>
          <w:rFonts w:ascii="Times New Roman"/>
          <w:b w:val="false"/>
          <w:i/>
          <w:color w:val="000000"/>
          <w:sz w:val="24"/>
        </w:rPr>
        <w:t>upstream</w:t>
      </w:r>
      <w:r>
        <w:rPr>
          <w:rFonts w:ascii="Times New Roman"/>
          <w:b w:val="false"/>
          <w:i w:val="false"/>
          <w:color w:val="000000"/>
          <w:sz w:val="24"/>
        </w:rPr>
        <w:t xml:space="preserve"> sale of inventory is a sale: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Between subsidiaries owned by a common parent.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With the transfer of goods scheduled by contract to occur on a specified future date.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which the goods are physically transported by boat from a subsidiary to its parent.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Made by the investor to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Made by the investee to the investor.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would Borgin have recognized in 2021 from its ownership interest in Burkes?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$27,640.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$22,672.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$21,748.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was the balance in the </w:t>
      </w:r>
      <w:r>
        <w:rPr>
          <w:rFonts w:ascii="Times New Roman"/>
          <w:b w:val="false"/>
          <w:i/>
          <w:color w:val="000000"/>
          <w:sz w:val="24"/>
        </w:rPr>
        <w:t>Investment in Burkes Co.</w:t>
      </w:r>
      <w:r>
        <w:rPr>
          <w:rFonts w:ascii="Times New Roman"/>
          <w:b w:val="false"/>
          <w:i w:val="false"/>
          <w:color w:val="000000"/>
          <w:sz w:val="24"/>
        </w:rPr>
        <w:t xml:space="preserve"> account at the end of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$401,136.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$413,872.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$418,840.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$412,432.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$410,148.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On Corzine’s December 31, 2022 balance sheet, what balance was reported for the </w:t>
      </w:r>
      <w:r>
        <w:rPr>
          <w:rFonts w:ascii="Times New Roman"/>
          <w:b w:val="false"/>
          <w:i/>
          <w:color w:val="000000"/>
          <w:sz w:val="24"/>
        </w:rPr>
        <w:t>Investment in Hammon Co.</w:t>
      </w:r>
      <w:r>
        <w:rPr>
          <w:rFonts w:ascii="Times New Roman"/>
          <w:b w:val="false"/>
          <w:i w:val="false"/>
          <w:color w:val="000000"/>
          <w:sz w:val="24"/>
        </w:rPr>
        <w:t xml:space="preserve"> account?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$143,400.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$141,200.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should Corzine have reported for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$16,420.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$38,340.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$32,840.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In a situation where the investor exercises significant influence over the investee, which of the following entries is </w:t>
      </w:r>
      <w:r>
        <w:rPr>
          <w:rFonts w:ascii="Times New Roman"/>
          <w:b w:val="false"/>
          <w:i/>
          <w:color w:val="000000"/>
          <w:sz w:val="24"/>
        </w:rPr>
        <w:t>not</w:t>
      </w:r>
      <w:r>
        <w:rPr>
          <w:rFonts w:ascii="Times New Roman"/>
          <w:b w:val="false"/>
          <w:i w:val="false"/>
          <w:color w:val="000000"/>
          <w:sz w:val="24"/>
        </w:rPr>
        <w:t xml:space="preserve"> actually posted to the books of the investor?</w:t>
      </w:r>
      <w:r>
        <w:rPr>
          <w:rFonts w:ascii="Times New Roman"/>
          <w:b w:val="false"/>
          <w:i w:val="false"/>
          <w:color w:val="000000"/>
          <w:sz w:val="24"/>
        </w:rPr>
        <w:t>(I) Debit to the Investment account, and a Credit to the Equity in Investee Income account.</w:t>
      </w:r>
      <w:r>
        <w:rPr>
          <w:rFonts w:ascii="Times New Roman"/>
          <w:b w:val="false"/>
          <w:i w:val="false"/>
          <w:color w:val="000000"/>
          <w:sz w:val="24"/>
        </w:rPr>
        <w:t>(II) Debit to Cash (for dividends received from the investee), and a Credit to Investment Income account.</w:t>
      </w:r>
      <w:r>
        <w:rPr>
          <w:rFonts w:ascii="Times New Roman"/>
          <w:b w:val="false"/>
          <w:i w:val="false"/>
          <w:color w:val="000000"/>
          <w:sz w:val="24"/>
        </w:rPr>
        <w:t>(III) Debit to Cash (for dividends received from the investee), and a Credit to the Dividend Receivable.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Entries I and II.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Entries II and III.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II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Entry III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All of the following would require use of the equity method for investments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Material intra-entity transactions.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 participation in the policy-making process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Valuation at fair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Technological dependency.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Interchange of managerial personnel.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All of the following statements regarding the investment account using the equity method are true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investment is recorded at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Dividends received are reported as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investee increases the investment account.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received reduce the investment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Amortization of fair value over cost reduces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company has been using the fair-value method to account for its investment. The company now has the ability to significantly influence the investee and the equity method has been deemed appropriate.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be recorded as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company has been using the equity method to account for its investment. The company sells shares and does not continue to have significant influence.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reduce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When an investor appropriately applies the equity method, how should it account for any investee Other Comprehensive Income (OCI)?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Under the equity method, the investor only recognizes its share of investee’s income from continuing operations.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OCI would reduce the investment.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OCI would increase the investment.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OCI would not appear on the investor’s income statement but would be a component of comprehensive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OCI would be ignored but shown in the investor’s notes to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How should a permanent loss in value of an investment using the equity method be treated?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equity in investee income is reduced.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loss is reported in the same manner as a loss in value of other long-term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investor’s stockholders’ equity is reduced.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 is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Record an offset to 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Under the equity method, when the company’s share of cumulative losses equals its investment and the company has no obligation or intention to fund such additional losses,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should change to the fair-value method to account for its investment.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investor should suspend applying the equity method until the investee reports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should suspend applying the equity method and not record any equity in income of investee until its share of future profits is sufficient to recover losses that have not previously been recorded.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cumulative losses should be reported as a prior period adjustment.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should report these as equity method losses in its income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When an investor sells shares of its investee company,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recognized gain or loss is reported as the difference between selling price and original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recognized gain or loss is reported as the difference between carrying value and original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recognized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unrealized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Any gain or loss is reported as part of comprehensive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When applying the equity method, how is the excess of cost over book value calculated and accounted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excess is allocated to the difference between fair value and book value multiplied by the percent ownership of current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excess is allocated to the difference between fair value and book value multiplied by the percent ownership of total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excess is allocated to the difference between fair value and book value multiplied by the percent ownership of net 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excess is allocated to 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excess is ignored.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After allocating cost in excess of book value, which asset or liability would not be amortized over a useful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goods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Property, plant, &amp; equipment.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Patents.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Bonds payable.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investee must defer upstream ending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investee must defer upstream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must defer downstream ending inventory profits.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must defer downstream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must defer upstream beginning inventory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and investee make reciprocal entries to defer and recognize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same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Different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adjustments are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Adjustments will be made only when profits are known upon sale to outsiders.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amount allocated to goodwill at January 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$119,500.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$125,500.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$116,500.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2020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2021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Which of the following is true regarding the change from the fair-value method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Jones must record a debit to additional paid-in capital for $200,000.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Jones must record a debit to additional paid-in capital for $15,000.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Jones must retrospectively apply the equity method to interests reported under the fair-value method.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Jones must record a debit of $200,000 to the Investment in Anderson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Jones must record a credit of $15,000 to the Investment in Anderson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balance in the investment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$335,000.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at the end of 2021 to defer the recognition of the investor’s share of the intra-entity gross profits?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64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in 2022 to recognize its share of the intra-entity gross profit that was deferred in 2021?</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63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is the balance in the investment account for the 15% ownership interest, at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$172,500.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$170,000.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$78,750.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$517,500.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$537,500.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$211,250.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April 1, 2022 just before the sale of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$447,500.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$468,750.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$535,875.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$624,375.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of Cook’s net income did Mehan report for the year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$61,750.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$81,250.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$59,250.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$3,180,000.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$2,028,000.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amount of equity income would Anderson recognize in 2021 from its ownership interest in Barney?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Luffman Inc. owns 30% of Bruce Inc. and appropriately applies the equity method. During the current year, Bruce bought inventory costing $52,000 and then sold it to Luffman for $80,000. At year-end, all of the merchandise had been sold by Luffman to other customers. What amount of gross profit on intra-entity sales must be deferred by Luffman?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$1,560,000.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$1,860,000.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gain/loss on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 gain.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balance in the investment account after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appropriate journal entry to record the sale of the 15,000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812,000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790,000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815,000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$544,000.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gain/loss on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 gain.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 gain.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balance in the investment account after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$454,000.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$465,000.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appropriate journal entry to record the sale of the 10,000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149,000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excess amortization expense for Barley’s investment in Wheat for the first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excess amortization expense for Jackie Corp’s investment in Rob Co. for year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balance in Jackie Corp’s</w:t>
      </w:r>
      <w:r>
        <w:rPr>
          <w:rFonts w:ascii="Times New Roman"/>
          <w:b w:val="false"/>
          <w:i/>
          <w:color w:val="000000"/>
          <w:sz w:val="24"/>
        </w:rPr>
        <w:t xml:space="preserve"> Investment in Rob Co.</w:t>
      </w:r>
      <w:r>
        <w:rPr>
          <w:rFonts w:ascii="Times New Roman"/>
          <w:b w:val="false"/>
          <w:i w:val="false"/>
          <w:color w:val="000000"/>
          <w:sz w:val="24"/>
        </w:rPr>
        <w:t xml:space="preserve">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$2,200,000.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$576,000.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$598,400.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$614,400.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$616,000.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$32,000.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$49,600.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$624,000.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$636,000.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$646,000.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$656,000.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$666,000.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$29,100.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$30,900.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$463,500.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$467,100.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$468,000.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$468,900.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$34,200.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$34,800.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$37,800.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$488,700.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$489,600.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$492,000.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$514,500.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Which of the following results in a decrease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 of gross profit on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Purchase of additional common stock by the investor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Which of the following results in an increase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Dividends paid by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paid by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of the following results in a decrease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Other Comprehensive Income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Which of the following results in an increase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Amortizations of purchase price over book value on date of purchase.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Amortizations, since date of purchase, of purchase price over book value on date of purchase.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 of a portion of the investment at a gain to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at a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How much is the adjustment to the Investment in Stanley Corporation for the change from the fair-value method to the equity method on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debit of $16,500.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debit of $21,500.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debit of $90,000.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debit of $165,000.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adjustment.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What is the balance in the Investment in Stanley Corporation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$415,000.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$512,500.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$539,500.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How are dividends received from Inkblot reflected in Trycker’s accounting records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investment in Inkblot by $280,000.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Investment in Inkblot by $280,000.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Reduce Investment in Inkblot by $120,000.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Investment in Inkblot by $120,000.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Increase Dividend Income by $120,000.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At what amount will Inkblot be reflected in Trycker’s December 31, 2020 balance 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91)</w:t>
        <w:tab/>
      </w:r>
      <w:r>
        <w:rPr>
          <w:rFonts w:ascii="Times New Roman"/>
          <w:b w:val="false"/>
          <w:i w:val="false"/>
          <w:color w:val="000000"/>
          <w:sz w:val="24"/>
        </w:rPr>
        <w:t>Franklin Co. owns 40% of the voting common stock of Academic Services Inc. Franklin uses the equity method to account for its investment. On January 1, 2021, the balance in the investment account was $726,000. During 2021, Academic Services reported net income of $150,000 and paid dividends of $40,000. Any excess of fair value over book value is attributable to goodwill with an indefinite life.</w:t>
      </w:r>
      <w:r>
        <w:rPr>
          <w:rFonts w:ascii="Times New Roman"/>
          <w:b w:val="false"/>
          <w:i w:val="false"/>
          <w:color w:val="000000"/>
          <w:sz w:val="24"/>
        </w:rPr>
        <w:t>What is the balance in the investment account as of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Tinker Co. owns 25% of the common stock of Harbor Co. and uses the equity method to account for the investment. During 2021, Harbor reported income of $120,000 and paid dividends of $40,000. Harbor owns a building with a useful life of twenty years, which was undervalued by $80,000 at the time that Tinker bought its shares of Harbor’s common stock.</w:t>
      </w:r>
      <w:r>
        <w:rPr>
          <w:rFonts w:ascii="Times New Roman"/>
          <w:b/>
          <w:i w:val="false"/>
          <w:color w:val="000000"/>
          <w:sz w:val="24"/>
        </w:rPr>
        <w:t>Required:</w:t>
      </w:r>
      <w:r>
        <w:rPr>
          <w:rFonts w:ascii="Times New Roman"/>
          <w:b w:val="false"/>
          <w:i w:val="false"/>
          <w:color w:val="000000"/>
          <w:sz w:val="24"/>
        </w:rPr>
        <w:t>Prepare a schedule to show the equity income Tinker should recognize for 2021 related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Farah Corp. purchased 35% of the common stock of Dastan Co. by paying $625,000. Of this amount, $45,000 is associated with goodwill.</w:t>
      </w:r>
      <w:r>
        <w:rPr>
          <w:rFonts w:ascii="Times New Roman"/>
          <w:b/>
          <w:i w:val="false"/>
          <w:color w:val="000000"/>
          <w:sz w:val="24"/>
        </w:rPr>
        <w:t xml:space="preserve">Required: </w:t>
      </w:r>
      <w:r>
        <w:rPr>
          <w:rFonts w:ascii="Times New Roman"/>
          <w:b w:val="false"/>
          <w:i w:val="false"/>
          <w:color w:val="000000"/>
          <w:sz w:val="24"/>
        </w:rPr>
        <w:t>Prepare the journal entry to record Farah’s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On January 3, 2021, Heinreich Co. paid $500,000 for 25% of the voting common stock of Jones Corp. At the time of the investment, Jones had net assets with a book value and fair value of $1,800,000. During 2021, Jones incurred a net loss of $60,000 and paid dividends of $100,000. Any excess cost over book value is attributable to goodwill with an indefinite life.</w:t>
      </w:r>
      <w:r>
        <w:rPr>
          <w:rFonts w:ascii="Times New Roman"/>
          <w:b/>
          <w:i w:val="false"/>
          <w:color w:val="000000"/>
          <w:sz w:val="24"/>
        </w:rPr>
        <w:t>Required:</w:t>
      </w:r>
      <w:r>
        <w:rPr>
          <w:rFonts w:ascii="Times New Roman"/>
          <w:b w:val="false"/>
          <w:i w:val="false"/>
          <w:color w:val="000000"/>
          <w:sz w:val="24"/>
        </w:rPr>
        <w:t>1) Prepare a schedule to show the amount of goodwill from Heinrich’s investment in Jones.</w:t>
      </w:r>
      <w:r>
        <w:rPr>
          <w:rFonts w:ascii="Times New Roman"/>
          <w:b w:val="false"/>
          <w:i w:val="false"/>
          <w:color w:val="000000"/>
          <w:sz w:val="24"/>
        </w:rPr>
        <w:t>2) Prepare a schedule to show the balance in Heinreich’s investment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On January 4, 2021, Colton Corp. acquired 30% of the outstanding common stock of Hicks Co. for $1,300,000. This acquisition gave Colton the ability to exercise significant influence over the investee. The book value of the acquired shares was $1,175,000. Any excess cost over the underlying book value was assigned to a copyright that was undervalued on Hicks’s balance sheet. This copyright has a remaining useful life of ten years. For the year ended December 31, 2021, Hicks reported net income of $368,000 and paid cash dividends of $107,000.</w:t>
      </w:r>
      <w:r>
        <w:rPr>
          <w:rFonts w:ascii="Times New Roman"/>
          <w:b/>
          <w:i w:val="false"/>
          <w:color w:val="000000"/>
          <w:sz w:val="24"/>
        </w:rPr>
        <w:t>Required:</w:t>
      </w:r>
      <w:r>
        <w:rPr>
          <w:rFonts w:ascii="Times New Roman"/>
          <w:b w:val="false"/>
          <w:i w:val="false"/>
          <w:color w:val="000000"/>
          <w:sz w:val="24"/>
        </w:rPr>
        <w:t>Prepare a schedule to show the balance Colton should report as its Investment in Hicks Co.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On January 1, 2021, Spark Corp. acquired a 40% interest in Cranston Inc. for $250,000. On that date, Cranston’s balance sheet disclosed net assets of $430,000. During 2021, Cranston reported net income of $100,000 and paid cash dividends of $30,000. Spark sold inventory costing $40,000 to Cranston during 2021 for $50,000. Cranston used all of this merchandise in its operations during 2021. Any excess cost over fair value is attributable to an unamortized trademark with a 20-year remaining life.</w:t>
      </w:r>
      <w:r>
        <w:rPr>
          <w:rFonts w:ascii="Times New Roman"/>
          <w:b/>
          <w:i w:val="false"/>
          <w:color w:val="000000"/>
          <w:sz w:val="24"/>
        </w:rPr>
        <w:t>Required:</w:t>
      </w:r>
      <w:r>
        <w:rPr>
          <w:rFonts w:ascii="Times New Roman"/>
          <w:b w:val="false"/>
          <w:i w:val="false"/>
          <w:color w:val="000000"/>
          <w:sz w:val="24"/>
        </w:rPr>
        <w:t>Prepare all of Spark’s journal entries for 2021 to apply the equity method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Wathan Inc. sold $180,000 in inventory to Miller Co. during 2020, for $270,000. Miller resold $108,000 of this merchandise in 2020 with the remainder to be disposed of during 2021.</w:t>
      </w:r>
      <w:r>
        <w:rPr>
          <w:rFonts w:ascii="Times New Roman"/>
          <w:b/>
          <w:i w:val="false"/>
          <w:color w:val="000000"/>
          <w:sz w:val="24"/>
        </w:rPr>
        <w:t>Required:</w:t>
      </w:r>
      <w:r>
        <w:rPr>
          <w:rFonts w:ascii="Times New Roman"/>
          <w:b w:val="false"/>
          <w:i w:val="false"/>
          <w:color w:val="000000"/>
          <w:sz w:val="24"/>
        </w:rPr>
        <w:t>Assuming Wathan owns 25% of Miller and applies the equity method, prepare the journal entry Wathan should have recorded at the end of 2020 to defer gross profit on intra-entity inventory sales.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Jager Inc. holds 30% of the outstanding voting shares of Kinson Co. and appropriately applies the equity method of accounting. Amortization associated with this investment equals $11,000 per year. For 2021, Kinson reported earnings of $100,000 and paid cash dividends of $40,000. During 2021, Kinson acquired inventory for $62,400, which was then sold to Jager for $96,000. At the end of 2021, Jager still held some of this inventory at its intra-entity selling price of $50,000.</w:t>
      </w:r>
      <w:r>
        <w:rPr>
          <w:rFonts w:ascii="Times New Roman"/>
          <w:b/>
          <w:i w:val="false"/>
          <w:color w:val="000000"/>
          <w:sz w:val="24"/>
        </w:rPr>
        <w:t>Required:</w:t>
      </w:r>
      <w:r>
        <w:rPr>
          <w:rFonts w:ascii="Times New Roman"/>
          <w:b w:val="false"/>
          <w:i w:val="false"/>
          <w:color w:val="000000"/>
          <w:sz w:val="24"/>
        </w:rPr>
        <w:t>Determine the amount of Equity in Investee Income that Jager should have reported for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On January 4, 2020, Hull Corp. paid $516,000 for 24% (48,000 shares) of the outstanding common stock of Oliver Co. Hull used the equity method to account for the investment. At the end of 2020, the balance in the investment account was $620,000. On January 3, 2021, Hull sold 12,000 shares of Oliver stock for $12 per share. For 2021, Oliver reported net income of $118,000 and paid dividends of $30,000.</w:t>
      </w:r>
      <w:r>
        <w:rPr>
          <w:rFonts w:ascii="Times New Roman"/>
          <w:b/>
          <w:i w:val="false"/>
          <w:color w:val="000000"/>
          <w:sz w:val="24"/>
        </w:rPr>
        <w:t>Required:</w:t>
      </w:r>
      <w:r>
        <w:rPr>
          <w:rFonts w:ascii="Times New Roman"/>
          <w:b w:val="false"/>
          <w:i w:val="false"/>
          <w:color w:val="000000"/>
          <w:sz w:val="24"/>
        </w:rPr>
        <w:t>(A) Prepare the journal entry to record the sale of the 12,000 shares.</w:t>
      </w:r>
      <w:r>
        <w:rPr>
          <w:rFonts w:ascii="Times New Roman"/>
          <w:b w:val="false"/>
          <w:i w:val="false"/>
          <w:color w:val="000000"/>
          <w:sz w:val="24"/>
        </w:rPr>
        <w:t>(B) After the sale has been recorded, what is the balance in the investment account?</w:t>
      </w:r>
      <w:r>
        <w:rPr>
          <w:rFonts w:ascii="Times New Roman"/>
          <w:b w:val="false"/>
          <w:i w:val="false"/>
          <w:color w:val="000000"/>
          <w:sz w:val="24"/>
        </w:rPr>
        <w:t>(C) What percentage of Oliver Co. stock does Hull own after selling the 12,000 shares?</w:t>
      </w:r>
      <w:r>
        <w:rPr>
          <w:rFonts w:ascii="Times New Roman"/>
          <w:b w:val="false"/>
          <w:i w:val="false"/>
          <w:color w:val="000000"/>
          <w:sz w:val="24"/>
        </w:rPr>
        <w:t>(D) Because of the sale of stock, Hull can no longer exercise significant influence over the operations of Oliver. What effect will this have on Hull’s accounting for the investment?</w:t>
      </w:r>
      <w:r>
        <w:rPr>
          <w:rFonts w:ascii="Times New Roman"/>
          <w:b w:val="false"/>
          <w:i w:val="false"/>
          <w:color w:val="000000"/>
          <w:sz w:val="24"/>
        </w:rPr>
        <w:t>(E) Prepare Hull’s journal entries related to the investment for the rest of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On January 2, 2021, Jolley Corp. paid $250,000 for 25% of the voting common stock of Wonder Co. On that date, the book value of Wonder was $850,000. A building with a carrying value of $160,000 was actually worth $220,000. The building had a remaining life of twenty years. Wonder owned a trademark valued at $90,000 over cost that was to be amortized over 20 years.</w:t>
      </w:r>
      <w:r>
        <w:rPr>
          <w:rFonts w:ascii="Times New Roman"/>
          <w:b w:val="false"/>
          <w:i w:val="false"/>
          <w:color w:val="000000"/>
          <w:sz w:val="24"/>
        </w:rPr>
        <w:t>During 2021, Wonder sold to Jolley inventory costing $60,000, at a markup of 50% on cost. At the end of the year, Jolley still owned some of these goods with an intra-entity selling price of $33,000. Jolly uses a perpetual inventory system.</w:t>
      </w:r>
      <w:r>
        <w:rPr>
          <w:rFonts w:ascii="Times New Roman"/>
          <w:b w:val="false"/>
          <w:i w:val="false"/>
          <w:color w:val="000000"/>
          <w:sz w:val="24"/>
        </w:rPr>
        <w:t>Wonder reported net income of $200,000 during 2021. This amount included a gain of $35,000. Wonder paid dividends totaling $40,000.</w:t>
      </w:r>
      <w:r>
        <w:rPr>
          <w:rFonts w:ascii="Times New Roman"/>
          <w:b/>
          <w:i w:val="false"/>
          <w:color w:val="000000"/>
          <w:sz w:val="24"/>
        </w:rPr>
        <w:t>Required:</w:t>
      </w:r>
      <w:r>
        <w:rPr>
          <w:rFonts w:ascii="Times New Roman"/>
          <w:b w:val="false"/>
          <w:i w:val="false"/>
          <w:color w:val="000000"/>
          <w:sz w:val="24"/>
        </w:rPr>
        <w:t>Prepare all of Jolley’s journal entries for 2021 in relation to Wonder Co. Assume the equity method is appropriate for 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On January 2, 2020, Pond Co. acquired 40% of the outstanding voting common shares of Ramp Co. for $700,000. On that date, Ramp reported assets and liabilities with book values of $2.2 million and $700,000, respectively. A building owned by Ramp had an appraised value of $300,000, although it had a book value of only $120,000. This building had a 12-year remaining life and no salvage value. It was being depreciated on the straight-line basis.</w:t>
      </w:r>
      <w:r>
        <w:rPr>
          <w:rFonts w:ascii="Times New Roman"/>
          <w:b w:val="false"/>
          <w:i w:val="false"/>
          <w:color w:val="000000"/>
          <w:sz w:val="24"/>
        </w:rPr>
        <w:t>Ramp generated net income of $300,000 in 2020 and a loss of $120,000 in 2021. In each of these two years, Ramp paid a cash dividend of $70,000 to its stockholders.</w:t>
      </w:r>
      <w:r>
        <w:rPr>
          <w:rFonts w:ascii="Times New Roman"/>
          <w:b w:val="false"/>
          <w:i w:val="false"/>
          <w:color w:val="000000"/>
          <w:sz w:val="24"/>
        </w:rPr>
        <w:t>During 2020, Ramp sold inventory to Pond that had an original cost of $60,000. The merchandise was sold to Pond for $96,000. Of this balance, $72,000 was resold to outsiders during 2020 and the remainder was sold during 2021. In 2021, Ramp sold inventory to Pond for $180,000. This inventory had cost only $108,000. Pond resold $120,000 of the inventory during 2021 and the rest during 2022.</w:t>
      </w:r>
      <w:r>
        <w:rPr>
          <w:rFonts w:ascii="Times New Roman"/>
          <w:b/>
          <w:i w:val="false"/>
          <w:color w:val="000000"/>
          <w:sz w:val="24"/>
        </w:rPr>
        <w:t>Required:</w:t>
      </w:r>
      <w:r>
        <w:rPr>
          <w:rFonts w:ascii="Times New Roman"/>
          <w:b w:val="false"/>
          <w:i/>
          <w:color w:val="000000"/>
          <w:sz w:val="24"/>
        </w:rPr>
        <w:t xml:space="preserve"> </w:t>
      </w:r>
      <w:r>
        <w:rPr>
          <w:rFonts w:ascii="Times New Roman"/>
          <w:b w:val="false"/>
          <w:i w:val="false"/>
          <w:color w:val="000000"/>
          <w:sz w:val="24"/>
        </w:rPr>
        <w:t>For 2020 and then for 2021, calculate the equity income to be reported by Pond for external reporting purposes.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Pursley, Inc. acquires 10% of Ritz Corporation on January 2, 2020, for $80,000 when the book value of Ritz was $800,000. Pursley adjusted the investment to its fair value of $162,500 at December 31, 2020. During 2020 Ritz reported net income of $125,000 and paid dividends of $30,000. On January 7, 2021, Pursley purchased an additional 20% of Ritz for $325,000, giving Pursley the ability to significantly influence the operating policies of Ritz. Any excess of cost over book value is attributable to goodwill with an indefinite life. What journal entry(ies) is(are) required on January 7,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2020 intra-entity sales should Steven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2021 intra-entity sales should Steven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equity income would Steven have recognized in 2021 from its ownership interest in Nicholas?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 xml:space="preserve">What was the balance in the </w:t>
      </w:r>
      <w:r>
        <w:rPr>
          <w:rFonts w:ascii="Times New Roman"/>
          <w:b w:val="false"/>
          <w:i/>
          <w:color w:val="000000"/>
          <w:sz w:val="24"/>
        </w:rPr>
        <w:t>Investment in Nicholas Corp</w:t>
      </w:r>
      <w:r>
        <w:rPr>
          <w:rFonts w:ascii="Times New Roman"/>
          <w:b w:val="false"/>
          <w:i w:val="false"/>
          <w:color w:val="000000"/>
          <w:sz w:val="24"/>
        </w:rPr>
        <w: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2020 intra-entity sales should Nelson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2021 intra-entity sales should Nelson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2020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2021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How does the equity method of accounting for investments under International Accounting Standard (IAS) 28 differ from those prescribed by the FASB ASC?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112)</w:t>
        <w:tab/>
      </w:r>
      <w:r>
        <w:rPr>
          <w:rFonts w:ascii="Times New Roman"/>
          <w:b w:val="false"/>
          <w:i w:val="false"/>
          <w:color w:val="000000"/>
          <w:sz w:val="24"/>
        </w:rPr>
        <w:t>For each of the following numbered situations below, select the best letter answer concerning accounting for investments:</w:t>
      </w:r>
      <w:r>
        <w:rPr>
          <w:rFonts w:ascii="Times New Roman"/>
          <w:b w:val="false"/>
          <w:i w:val="false"/>
          <w:color w:val="000000"/>
          <w:sz w:val="24"/>
        </w:rPr>
        <w:t>(A) Increase the investment account.</w:t>
      </w:r>
      <w:r>
        <w:rPr>
          <w:rFonts w:ascii="Times New Roman"/>
          <w:b w:val="false"/>
          <w:i w:val="false"/>
          <w:color w:val="000000"/>
          <w:sz w:val="24"/>
        </w:rPr>
        <w:t>(B) Decrease the investment account.</w:t>
      </w:r>
      <w:r>
        <w:rPr>
          <w:rFonts w:ascii="Times New Roman"/>
          <w:b w:val="false"/>
          <w:i w:val="false"/>
          <w:color w:val="000000"/>
          <w:sz w:val="24"/>
        </w:rPr>
        <w:t>(C) Increase dividend revenue.</w:t>
      </w:r>
      <w:r>
        <w:rPr>
          <w:rFonts w:ascii="Times New Roman"/>
          <w:b w:val="false"/>
          <w:i w:val="false"/>
          <w:color w:val="000000"/>
          <w:sz w:val="24"/>
        </w:rPr>
        <w:t>(D) No adjustment necessary.</w:t>
      </w:r>
      <w:r>
        <w:rPr>
          <w:rFonts w:ascii="Times New Roman"/>
          <w:b w:val="false"/>
          <w:i w:val="false"/>
          <w:color w:val="000000"/>
          <w:sz w:val="24"/>
        </w:rPr>
        <w:t>(1.) Income reported by 40% owned investee.</w:t>
      </w:r>
      <w:r>
        <w:rPr>
          <w:rFonts w:ascii="Times New Roman"/>
          <w:b w:val="false"/>
          <w:i w:val="false"/>
          <w:color w:val="000000"/>
          <w:sz w:val="24"/>
        </w:rPr>
        <w:t>(2.) Income reported by 10% owned investee.</w:t>
      </w:r>
      <w:r>
        <w:rPr>
          <w:rFonts w:ascii="Times New Roman"/>
          <w:b w:val="false"/>
          <w:i w:val="false"/>
          <w:color w:val="000000"/>
          <w:sz w:val="24"/>
        </w:rPr>
        <w:t>(3.) Loss reported by 40% owned investee.</w:t>
      </w:r>
      <w:r>
        <w:rPr>
          <w:rFonts w:ascii="Times New Roman"/>
          <w:b w:val="false"/>
          <w:i w:val="false"/>
          <w:color w:val="000000"/>
          <w:sz w:val="24"/>
        </w:rPr>
        <w:t>(4.) Loss reported by 10% investee.</w:t>
      </w:r>
      <w:r>
        <w:rPr>
          <w:rFonts w:ascii="Times New Roman"/>
          <w:b w:val="false"/>
          <w:i w:val="false"/>
          <w:color w:val="000000"/>
          <w:sz w:val="24"/>
        </w:rPr>
        <w:t>(5.) Change from fair-value method to equity method. Prior income exceeded dividends.</w:t>
      </w:r>
      <w:r>
        <w:rPr>
          <w:rFonts w:ascii="Times New Roman"/>
          <w:b w:val="false"/>
          <w:i w:val="false"/>
          <w:color w:val="000000"/>
          <w:sz w:val="24"/>
        </w:rPr>
        <w:t>(6.) Change from fair-value method to equity method. Prior income was less than dividends.</w:t>
      </w:r>
      <w:r>
        <w:rPr>
          <w:rFonts w:ascii="Times New Roman"/>
          <w:b w:val="false"/>
          <w:i w:val="false"/>
          <w:color w:val="000000"/>
          <w:sz w:val="24"/>
        </w:rPr>
        <w:t>(7.) Change from equity method to fair-value method. Prior income exceeded dividends.</w:t>
      </w:r>
      <w:r>
        <w:rPr>
          <w:rFonts w:ascii="Times New Roman"/>
          <w:b w:val="false"/>
          <w:i w:val="false"/>
          <w:color w:val="000000"/>
          <w:sz w:val="24"/>
        </w:rPr>
        <w:t>(8.) Change from equity method to fair-value method. Prior income was less than dividends.</w:t>
      </w:r>
      <w:r>
        <w:rPr>
          <w:rFonts w:ascii="Times New Roman"/>
          <w:b w:val="false"/>
          <w:i w:val="false"/>
          <w:color w:val="000000"/>
          <w:sz w:val="24"/>
        </w:rPr>
        <w:t>(9.) Dividends received from 40% investee.</w:t>
      </w:r>
      <w:r>
        <w:rPr>
          <w:rFonts w:ascii="Times New Roman"/>
          <w:b w:val="false"/>
          <w:i w:val="false"/>
          <w:color w:val="000000"/>
          <w:sz w:val="24"/>
        </w:rPr>
        <w:t>(10.) Dividends received from 10% investee.</w:t>
      </w:r>
      <w:r>
        <w:rPr>
          <w:rFonts w:ascii="Times New Roman"/>
          <w:b w:val="false"/>
          <w:i w:val="false"/>
          <w:color w:val="000000"/>
          <w:sz w:val="24"/>
        </w:rPr>
        <w:t>(11.) Purchase of additional shares of investee.</w:t>
      </w:r>
      <w:r>
        <w:rPr>
          <w:rFonts w:ascii="Times New Roman"/>
          <w:b w:val="false"/>
          <w:i w:val="false"/>
          <w:color w:val="000000"/>
          <w:sz w:val="24"/>
        </w:rPr>
        <w:t>(12.) Investor’s share of gross profit from intra-entity inventory sales when using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Jarmon Company owns twenty-three percent (23%) of the voting common stock of Kaleski Corp. Jarmon does not have the ability to exercise significant influence over the operations of Kaleski. What method should Jarmon use to account for its investment in Kaleski?</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Idler Co. has an investment in Cowl Corp. for which it uses the equity method. Cowl has suffered large losses for several years, and the balance in the investment account has been reduced to zero. How should Idler account for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Which types of transactions, exchanges, or events would indicate that an investor has the ability to exercise significant influence over the operations of an investee?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You are auditing a company that owns twenty percent of the voting common stock of another corporation and uses the equity method to account for the investment. How would you verify that the equity method is appropriate in this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How does the use of the equity method affect the investor’s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What is the primary objective of the equity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What is the justification for the timing of recognition of income under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What argument could be made against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How would a change be made from the equity method to the fair value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How should an investor account for, and report, an investee’s other comprehensive income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When should an investor not use the equity method for an investment of 21% in another corporation?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What is the primary objective of the fair value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How would a change be made from the fair value method to the equity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When the fair value option is elected for application to an investment in which the investor has significant influence over the investee, how would the investor reflect the use of the fair value option in its balance sheet and in its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w:t>
        <w:br/>
      </w:r>
    </w:p>
    <w:tbl>
      <w:tblPr>
        <w:tblLayout w:type="autofit"/>
      </w:tblPr>
      <w:tr>
        <w:trPr/>
        <w:tc>
          <w:tcPr>
            <w:tcW w:w="842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Academic Services Inc.:</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January 1, 2021</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726,000</w:t>
            </w: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equity income accrual ($150,000 × 40%)</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tcMar>
              <w:top w:w="15" w:type="dxa"/>
              <w:left w:w="15" w:type="dxa"/>
              <w:bottom w:w="15" w:type="dxa"/>
              <w:right w:w="15" w:type="dxa"/>
            </w:tcMar>
            <w:vAlign w:val="top"/>
          </w:tcPr>
          <w:p/>
        </w:tc>
      </w:tr>
      <w:tr>
        <w:trPr>
          <w:trHeight w:val="15"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dividends ($40,000 × 40%)</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770,000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w:t>
        <w:br/>
      </w:r>
    </w:p>
    <w:tbl>
      <w:tblPr>
        <w:tblLayout w:type="autofit"/>
      </w:tblPr>
      <w:tr>
        <w:trPr/>
        <w:tc>
          <w:tcPr>
            <w:tcW w:w="9431" w:type="dxa"/>
            <w:tcBorders/>
            <w:tcMar>
              <w:top w:w="15" w:type="dxa"/>
              <w:left w:w="15" w:type="dxa"/>
              <w:bottom w:w="15" w:type="dxa"/>
              <w:right w:w="15" w:type="dxa"/>
            </w:tcMar>
            <w:vAlign w:val="top"/>
          </w:tcPr>
          <w:p/>
        </w:tc>
        <w:tc>
          <w:tcPr>
            <w:tcW w:w="391" w:type="dxa"/>
            <w:tcBorders/>
            <w:tcMar>
              <w:top w:w="15" w:type="dxa"/>
              <w:left w:w="15" w:type="dxa"/>
              <w:bottom w:w="15" w:type="dxa"/>
              <w:right w:w="15" w:type="dxa"/>
            </w:tcMar>
            <w:vAlign w:val="top"/>
          </w:tcPr>
          <w:p/>
        </w:tc>
        <w:tc>
          <w:tcPr>
            <w:tcW w:w="101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 accrual ($120,000 × 25%)</w:t>
            </w:r>
          </w:p>
        </w:tc>
        <w:tc>
          <w:tcPr>
            <w:tcW w:w="3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rHeight w:val="15"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amortization on purchase ($80,000 ÷ 20 × 25%)</w:t>
            </w:r>
          </w:p>
        </w:tc>
        <w:tc>
          <w:tcPr>
            <w:tcW w:w="391" w:type="dxa"/>
            <w:tcBorders>
              <w:bottom w:val="single" w:color="000000" w:sz="8"/>
            </w:tcBorders>
            <w:tcMar>
              <w:top w:w="15" w:type="dxa"/>
              <w:left w:w="15" w:type="dxa"/>
              <w:bottom w:w="15" w:type="dxa"/>
              <w:right w:w="15" w:type="dxa"/>
            </w:tcMar>
            <w:vAlign w:val="top"/>
          </w:tcPr>
          <w:p/>
        </w:tc>
        <w:tc>
          <w:tcPr>
            <w:tcW w:w="101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w:t>
            </w:r>
          </w:p>
        </w:tc>
        <w:tc>
          <w:tcPr>
            <w:tcW w:w="391"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29,000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The journal entry is:</w:t>
      </w:r>
      <w:r>
        <w:rPr>
          <w:rFonts w:ascii="Times New Roman"/>
          <w:sz w:val="32"/>
        </w:rPr>
        <w:br/>
      </w:r>
    </w:p>
    <w:tbl>
      <w:tblPr>
        <w:tblLayout w:type="autofit"/>
      </w:tblPr>
      <w:tr>
        <w:trPr/>
        <w:tc>
          <w:tcPr>
            <w:tcW w:w="5303" w:type="dxa"/>
            <w:tcBorders/>
            <w:tcMar>
              <w:top w:w="15" w:type="dxa"/>
              <w:left w:w="15" w:type="dxa"/>
              <w:bottom w:w="15" w:type="dxa"/>
              <w:right w:w="15" w:type="dxa"/>
            </w:tcMar>
            <w:vAlign w:val="top"/>
          </w:tcP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53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Dastan Co</w:t>
            </w:r>
          </w:p>
        </w:tc>
        <w:tc>
          <w:tcPr>
            <w:tcW w:w="14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c>
          <w:tcPr>
            <w:tcW w:w="1632" w:type="dxa"/>
            <w:tcBorders/>
            <w:tcMar>
              <w:top w:w="15" w:type="dxa"/>
              <w:left w:w="15" w:type="dxa"/>
              <w:bottom w:w="15" w:type="dxa"/>
              <w:right w:w="15" w:type="dxa"/>
            </w:tcMar>
            <w:vAlign w:val="top"/>
          </w:tcPr>
          <w:p/>
        </w:tc>
      </w:tr>
      <w:tr>
        <w:trPr/>
        <w:tc>
          <w:tcPr>
            <w:tcW w:w="53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amount of goodwill does not affect the journal entry used to record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1)</w:t>
      </w:r>
      <w:r>
        <w:rPr>
          <w:rFonts w:ascii="Times New Roman"/>
          <w:sz w:val="32"/>
        </w:rPr>
        <w:br/>
      </w:r>
    </w:p>
    <w:tbl>
      <w:tblPr>
        <w:tblLayout w:type="autofit"/>
      </w:tblPr>
      <w:tr>
        <w:trPr/>
        <w:tc>
          <w:tcPr>
            <w:tcW w:w="6390" w:type="dxa"/>
            <w:tcBorders/>
            <w:tcMar>
              <w:top w:w="15" w:type="dxa"/>
              <w:left w:w="15" w:type="dxa"/>
              <w:bottom w:w="15" w:type="dxa"/>
              <w:right w:w="15" w:type="dxa"/>
            </w:tcMar>
            <w:vAlign w:val="top"/>
          </w:tcPr>
          <w:p/>
        </w:tc>
        <w:tc>
          <w:tcPr>
            <w:tcW w:w="38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w:t>
            </w:r>
          </w:p>
        </w:tc>
        <w:tc>
          <w:tcPr>
            <w:tcW w:w="3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rHeight w:val="15"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book value ($1,800,000 × 25%)</w:t>
            </w:r>
          </w:p>
        </w:tc>
        <w:tc>
          <w:tcPr>
            <w:tcW w:w="384"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(450,000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Goodwill</w:t>
            </w:r>
          </w:p>
        </w:tc>
        <w:tc>
          <w:tcPr>
            <w:tcW w:w="38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w:t>
      </w:r>
      <w:r>
        <w:rPr>
          <w:rFonts w:ascii="Times New Roman"/>
          <w:sz w:val="32"/>
        </w:rPr>
        <w:br/>
      </w:r>
    </w:p>
    <w:tbl>
      <w:tblPr>
        <w:tblLayout w:type="autofit"/>
      </w:tblP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Jones Corp.:</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loss accrual ($60,000 × 25%)</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w:t>
            </w:r>
          </w:p>
        </w:tc>
        <w:tc>
          <w:tcPr>
            <w:tcW w:w="1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dividends ($100,000 × 25%)</w:t>
            </w:r>
          </w:p>
        </w:tc>
        <w:tc>
          <w:tcPr>
            <w:tcW w:w="389" w:type="dxa"/>
            <w:tcBorders>
              <w:bottom w:val="single" w:color="000000" w:sz="8"/>
            </w:tcBorders>
            <w:tcMar>
              <w:top w:w="15" w:type="dxa"/>
              <w:left w:w="15" w:type="dxa"/>
              <w:bottom w:w="15" w:type="dxa"/>
              <w:right w:w="15" w:type="dxa"/>
            </w:tcMar>
            <w:vAlign w:val="top"/>
          </w:tcPr>
          <w:p/>
        </w:tc>
        <w:tc>
          <w:tcPr>
            <w:tcW w:w="115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460,000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w:t>
        <w:br/>
      </w:r>
    </w:p>
    <w:tbl>
      <w:tblPr>
        <w:tblLayout w:type="autofit"/>
      </w:tblP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Hicks Co.:</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1,300,000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w:t>
            </w:r>
            <w:r>
              <w:rPr>
                <w:rFonts w:ascii="Courier New" w:hAnsi="Courier New"/>
                <w:b w:val="false"/>
                <w:i w:val="false"/>
                <w:color w:val="000000"/>
                <w:sz w:val="22"/>
              </w:rPr>
              <w:t>quity income ($368,000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110,400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Dividends ($107,000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(32,100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copyright amortization (($1,300,000 − $1,175,000) ÷ 10)</w:t>
            </w:r>
          </w:p>
        </w:tc>
        <w:tc>
          <w:tcPr>
            <w:tcW w:w="393" w:type="dxa"/>
            <w:tcBorders>
              <w:bottom w:val="single" w:color="000000" w:sz="8"/>
            </w:tcBorders>
            <w:tcMar>
              <w:top w:w="15" w:type="dxa"/>
              <w:left w:w="15" w:type="dxa"/>
              <w:bottom w:w="15" w:type="dxa"/>
              <w:right w:w="15" w:type="dxa"/>
            </w:tcMar>
            <w:vAlign w:val="top"/>
          </w:tcPr>
          <w:p/>
        </w:tc>
        <w:tc>
          <w:tcPr>
            <w:tcW w:w="14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(12,500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1,365,800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w:t>
        <w:br/>
      </w:r>
    </w:p>
    <w:tbl>
      <w:tblPr>
        <w:tblLayout w:type="autofit"/>
      </w:tblPr>
      <w:tr>
        <w:trPr/>
        <w:tc>
          <w:tcPr>
            <w:tcW w:w="11548" w:type="dxa"/>
            <w:tcBorders/>
            <w:tcMar>
              <w:top w:w="15" w:type="dxa"/>
              <w:left w:w="15" w:type="dxa"/>
              <w:bottom w:w="15" w:type="dxa"/>
              <w:right w:w="15" w:type="dxa"/>
            </w:tcMar>
            <w:vAlign w:val="top"/>
          </w:tcP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 of Cranston Inc. stock</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Equivalent book value of Cranston Inc. stock ($430,000 × 40%)</w:t>
            </w:r>
          </w:p>
        </w:tc>
        <w:tc>
          <w:tcPr>
            <w:tcW w:w="393" w:type="dxa"/>
            <w:tcBorders>
              <w:bottom w:val="single" w:color="000000" w:sz="8"/>
            </w:tcBorders>
            <w:tcMar>
              <w:top w:w="15" w:type="dxa"/>
              <w:left w:w="15" w:type="dxa"/>
              <w:bottom w:w="15" w:type="dxa"/>
              <w:right w:w="15" w:type="dxa"/>
            </w:tcMar>
            <w:vAlign w:val="top"/>
          </w:tcP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(172,000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Trademark</w:t>
            </w: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78,000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Life in years</w:t>
            </w:r>
          </w:p>
        </w:tc>
        <w:tc>
          <w:tcPr>
            <w:tcW w:w="393"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w:t>
            </w:r>
          </w:p>
        </w:tc>
        <w:tc>
          <w:tcPr>
            <w:tcW w:w="199" w:type="dxa"/>
            <w:tcBorders>
              <w:bottom w:val="single" w:color="000000" w:sz="8"/>
            </w:tcBorders>
            <w:tcMar>
              <w:top w:w="15" w:type="dxa"/>
              <w:left w:w="15" w:type="dxa"/>
              <w:bottom w:w="15" w:type="dxa"/>
              <w:right w:w="15" w:type="dxa"/>
            </w:tcMar>
            <w:vAlign w:val="top"/>
          </w:tcPr>
          <w:p/>
        </w:tc>
      </w:tr>
      <w:tr>
        <w:trPr>
          <w:trHeight w:val="120"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3,900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81" w:type="dxa"/>
            <w:tcBorders/>
            <w:tcMar>
              <w:top w:w="15" w:type="dxa"/>
              <w:left w:w="15" w:type="dxa"/>
              <w:bottom w:w="15" w:type="dxa"/>
              <w:right w:w="15" w:type="dxa"/>
            </w:tcMar>
            <w:vAlign w:val="top"/>
          </w:tcP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acquisition of a 40% interest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forty percent of income earned during the period by Cranston Inc., an investment recorded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dividend from investee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reflect amortization of trademark excess over book value acquired.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**Note: All merchandise was used, so no deferral entry is needed.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w:t>
        <w:br/>
      </w:r>
    </w:p>
    <w:tbl>
      <w:tblPr>
        <w:tblLayout w:type="autofit"/>
      </w:tblPr>
      <w:tr>
        <w:trPr/>
        <w:tc>
          <w:tcPr>
            <w:tcW w:w="8613"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15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Ending inventory ($270,000 − $108,000)</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162,000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markup ($90,000 ÷ $270,000)</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9" w:type="dxa"/>
            <w:tcBorders>
              <w:bottom w:val="single" w:color="000000" w:sz="8"/>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54,000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61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Wathan’s share intra-entity inventory gross profit to defer to subsequent year</w:t>
            </w:r>
          </w:p>
        </w:tc>
        <w:tc>
          <w:tcPr>
            <w:tcW w:w="39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13,500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7912" w:type="dxa"/>
            <w:tcBorders/>
            <w:tcMar>
              <w:top w:w="15" w:type="dxa"/>
              <w:left w:w="15" w:type="dxa"/>
              <w:bottom w:w="15" w:type="dxa"/>
              <w:right w:w="15" w:type="dxa"/>
            </w:tcMar>
            <w:vAlign w:val="top"/>
          </w:tcP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Income—Investment in Miller Co.</w:t>
            </w:r>
          </w:p>
        </w:tc>
        <w:tc>
          <w:tcPr>
            <w:tcW w:w="14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c>
          <w:tcPr>
            <w:tcW w:w="1632" w:type="dxa"/>
            <w:tcBorders/>
            <w:tcMar>
              <w:top w:w="15" w:type="dxa"/>
              <w:left w:w="15" w:type="dxa"/>
              <w:bottom w:w="15" w:type="dxa"/>
              <w:right w:w="15" w:type="dxa"/>
            </w:tcMar>
            <w:vAlign w:val="top"/>
          </w:tcP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Miller Co.</w:t>
            </w: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w:t>
        <w:br/>
      </w:r>
    </w:p>
    <w:tbl>
      <w:tblPr>
        <w:tblLayout w:type="autofit"/>
      </w:tblPr>
      <w:tr>
        <w:trPr/>
        <w:tc>
          <w:tcPr>
            <w:tcW w:w="10012"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 accrual ($100,000 × 30%)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Deferral of share of intra-entity gross profit (below)</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(given)</w:t>
            </w:r>
          </w:p>
        </w:tc>
        <w:tc>
          <w:tcPr>
            <w:tcW w:w="392" w:type="dxa"/>
            <w:tcBorders>
              <w:bottom w:val="single" w:color="000000" w:sz="8"/>
            </w:tcBorders>
            <w:tcMar>
              <w:top w:w="15" w:type="dxa"/>
              <w:left w:w="15" w:type="dxa"/>
              <w:bottom w:w="15" w:type="dxa"/>
              <w:right w:w="15" w:type="dxa"/>
            </w:tcMar>
            <w:vAlign w:val="top"/>
          </w:tcPr>
          <w:p/>
        </w:tc>
        <w:tc>
          <w:tcPr>
            <w:tcW w:w="119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13,750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61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Deferral of its share of intra-entity gross profit:</w:t>
            </w:r>
          </w:p>
        </w:tc>
        <w:tc>
          <w:tcPr>
            <w:tcW w:w="392" w:type="dxa"/>
            <w:tcBorders/>
            <w:tcMar>
              <w:top w:w="15" w:type="dxa"/>
              <w:left w:w="15" w:type="dxa"/>
              <w:bottom w:w="15" w:type="dxa"/>
              <w:right w:w="15" w:type="dxa"/>
            </w:tcMar>
            <w:vAlign w:val="top"/>
          </w:tcPr>
          <w:p/>
        </w:tc>
        <w:tc>
          <w:tcPr>
            <w:tcW w:w="1152"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inventory — end of year</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($33,600 ÷ $96,000)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35</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Profit within remaining inventory</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17,500</w:t>
            </w:r>
          </w:p>
        </w:tc>
        <w:tc>
          <w:tcPr>
            <w:tcW w:w="199" w:type="dxa"/>
            <w:tcBorders/>
            <w:tcMar>
              <w:top w:w="15" w:type="dxa"/>
              <w:left w:w="15" w:type="dxa"/>
              <w:bottom w:w="15" w:type="dxa"/>
              <w:right w:w="15" w:type="dxa"/>
            </w:tcMar>
            <w:vAlign w:val="top"/>
          </w:tcPr>
          <w:p/>
        </w:tc>
      </w:tr>
      <w:tr>
        <w:trPr>
          <w:trHeight w:val="15"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Share of intra-entity gross profit</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A)</w:t>
      </w:r>
      <w:r>
        <w:rPr>
          <w:rFonts w:ascii="Times New Roman"/>
          <w:sz w:val="32"/>
        </w:rPr>
        <w:br/>
      </w:r>
    </w:p>
    <w:tbl>
      <w:tblPr>
        <w:tblLayout w:type="autofit"/>
      </w:tblPr>
      <w:tr>
        <w:trPr/>
        <w:tc>
          <w:tcPr>
            <w:tcW w:w="7088" w:type="dxa"/>
            <w:tcBorders/>
            <w:tcMar>
              <w:top w:w="15" w:type="dxa"/>
              <w:left w:w="225" w:type="dxa"/>
              <w:bottom w:w="15" w:type="dxa"/>
              <w:right w:w="15" w:type="dxa"/>
            </w:tcMar>
            <w:vAlign w:val="top"/>
          </w:tcPr>
          <w:p/>
        </w:tc>
        <w:tc>
          <w:tcPr>
            <w:tcW w:w="1656" w:type="dxa"/>
            <w:tcBorders/>
            <w:tcMar>
              <w:top w:w="15" w:type="dxa"/>
              <w:left w:w="15" w:type="dxa"/>
              <w:bottom w:w="15" w:type="dxa"/>
              <w:right w:w="15" w:type="dxa"/>
            </w:tcMar>
            <w:vAlign w:val="top"/>
          </w:tcP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144,000</w:t>
            </w: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c>
          <w:tcPr>
            <w:tcW w:w="1656" w:type="dxa"/>
            <w:tcBorders/>
            <w:tcMar>
              <w:top w:w="15" w:type="dxa"/>
              <w:left w:w="15" w:type="dxa"/>
              <w:bottom w:w="15" w:type="dxa"/>
              <w:right w:w="150" w:type="dxa"/>
            </w:tcMar>
            <w:vAlign w:val="top"/>
          </w:tcPr>
          <w:p/>
        </w:tc>
      </w:tr>
      <w:tr>
        <w:trPr/>
        <w:tc>
          <w:tcPr>
            <w:tcW w:w="708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Oliver Co.</w:t>
            </w:r>
          </w:p>
        </w:tc>
        <w:tc>
          <w:tcPr>
            <w:tcW w:w="1656" w:type="dxa"/>
            <w:tcBorders/>
            <w:tcMar>
              <w:top w:w="15" w:type="dxa"/>
              <w:left w:w="15" w:type="dxa"/>
              <w:bottom w:w="15" w:type="dxa"/>
              <w:right w:w="150" w:type="dxa"/>
            </w:tcMar>
            <w:vAlign w:val="top"/>
          </w:tcP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07" w:type="dxa"/>
            <w:tcBorders/>
            <w:tcMar>
              <w:top w:w="15" w:type="dxa"/>
              <w:left w:w="225" w:type="dxa"/>
              <w:bottom w:w="15" w:type="dxa"/>
              <w:right w:w="15" w:type="dxa"/>
            </w:tcMar>
            <w:vAlign w:val="top"/>
          </w:tcPr>
          <w:p/>
        </w:tc>
        <w:tc>
          <w:tcPr>
            <w:tcW w:w="1393" w:type="dxa"/>
            <w:tcBorders/>
            <w:tcMar>
              <w:top w:w="15" w:type="dxa"/>
              <w:left w:w="15" w:type="dxa"/>
              <w:bottom w:w="15" w:type="dxa"/>
              <w:right w:w="15" w:type="dxa"/>
            </w:tcMar>
            <w:vAlign w:val="top"/>
          </w:tcPr>
          <w:p/>
        </w:tc>
      </w:tr>
      <w:tr>
        <w:trPr/>
        <w:tc>
          <w:tcPr>
            <w:tcW w:w="920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loss:</w:t>
            </w:r>
          </w:p>
        </w:tc>
        <w:tc>
          <w:tcPr>
            <w:tcW w:w="1393" w:type="dxa"/>
            <w:tcBorders/>
            <w:tcMar>
              <w:top w:w="15" w:type="dxa"/>
              <w:left w:w="15" w:type="dxa"/>
              <w:bottom w:w="15" w:type="dxa"/>
              <w:right w:w="150" w:type="dxa"/>
            </w:tcMar>
            <w:vAlign w:val="top"/>
          </w:tcPr>
          <w:p/>
        </w:tc>
      </w:tr>
      <w:tr>
        <w:trPr/>
        <w:tc>
          <w:tcPr>
            <w:tcW w:w="920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(12,000 × $12) − [($620,000 ÷ 48,000) × 12,000]</w:t>
            </w:r>
          </w:p>
        </w:tc>
        <w:tc>
          <w:tcPr>
            <w:tcW w:w="13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rPr>
          <w:rFonts w:ascii="Times New Roman"/>
          <w:sz w:val="32"/>
        </w:rPr>
        <w:br/>
      </w:r>
    </w:p>
    <w:tbl>
      <w:tblPr>
        <w:tblLayout w:type="autofit"/>
      </w:tblPr>
      <w:tr>
        <w:trPr/>
        <w:tc>
          <w:tcPr>
            <w:tcW w:w="4552" w:type="dxa"/>
            <w:tcBorders/>
            <w:tcMar>
              <w:top w:w="15" w:type="dxa"/>
              <w:left w:w="225" w:type="dxa"/>
              <w:bottom w:w="15" w:type="dxa"/>
              <w:right w:w="15" w:type="dxa"/>
            </w:tcMar>
            <w:vAlign w:val="top"/>
          </w:tcPr>
          <w:p/>
        </w:tc>
        <w:tc>
          <w:tcPr>
            <w:tcW w:w="1448" w:type="dxa"/>
            <w:tcBorders/>
            <w:tcMar>
              <w:top w:w="15" w:type="dxa"/>
              <w:left w:w="15" w:type="dxa"/>
              <w:bottom w:w="15" w:type="dxa"/>
              <w:right w:w="15" w:type="dxa"/>
            </w:tcMar>
            <w:vAlign w:val="top"/>
          </w:tcPr>
          <w:p/>
        </w:tc>
      </w:tr>
      <w:tr>
        <w:trPr/>
        <w:tc>
          <w:tcPr>
            <w:tcW w:w="455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in investment:</w:t>
            </w:r>
          </w:p>
        </w:tc>
        <w:tc>
          <w:tcPr>
            <w:tcW w:w="1448" w:type="dxa"/>
            <w:tcBorders/>
            <w:tcMar>
              <w:top w:w="15" w:type="dxa"/>
              <w:left w:w="15" w:type="dxa"/>
              <w:bottom w:w="15" w:type="dxa"/>
              <w:right w:w="150" w:type="dxa"/>
            </w:tcMar>
            <w:vAlign w:val="top"/>
          </w:tcPr>
          <w:p/>
        </w:tc>
      </w:tr>
      <w:tr>
        <w:trPr/>
        <w:tc>
          <w:tcPr>
            <w:tcW w:w="455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$620,000 − $155,000</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$465,000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rPr>
          <w:rFonts w:ascii="Times New Roman" w:hAnsi="Times New Roman"/>
          <w:b w:val="false"/>
          <w:i w:val="false"/>
          <w:color w:val="000000"/>
          <w:sz w:val="32"/>
        </w:rPr>
        <w:t>-Before sale, Hull owns 48,000 shares = 24% Oliver (given).</w:t>
      </w:r>
      <w:r>
        <w:rPr>
          <w:rFonts w:ascii="Times New Roman" w:hAnsi="Times New Roman"/>
          <w:b w:val="false"/>
          <w:i w:val="false"/>
          <w:color w:val="000000"/>
          <w:sz w:val="32"/>
        </w:rPr>
        <w:t>-Oliver has 200,000 shares outstanding (48,000/.24).</w:t>
      </w:r>
      <w:r>
        <w:rPr>
          <w:rFonts w:ascii="Times New Roman" w:hAnsi="Times New Roman"/>
          <w:b w:val="false"/>
          <w:i w:val="false"/>
          <w:color w:val="000000"/>
          <w:sz w:val="32"/>
        </w:rPr>
        <w:t>-After sale, Hull owns 36,000 shares (48,000 − 12,000).</w:t>
      </w:r>
      <w:r>
        <w:rPr>
          <w:rFonts w:ascii="Times New Roman" w:hAnsi="Times New Roman"/>
          <w:b w:val="false"/>
          <w:i w:val="false"/>
          <w:color w:val="000000"/>
          <w:sz w:val="32"/>
        </w:rPr>
        <w:t>-After sale, Hull owns 18% of Oliver (36,000/200,000).</w:t>
      </w:r>
      <w:r>
        <w:rPr>
          <w:rFonts w:ascii="Times New Roman"/>
          <w:sz w:val="32"/>
        </w:rPr>
        <w:br/>
      </w:r>
    </w:p>
    <w:tbl>
      <w:tblPr>
        <w:tblLayout w:type="autofit"/>
      </w:tblPr>
      <w:tr>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Alternate calculation:</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tc>
        <w:tc>
          <w:tcPr>
            <w:tcW w:w="555" w:type="dxa"/>
            <w:tcBorders/>
            <w:tcMar>
              <w:top w:w="15" w:type="dxa"/>
              <w:left w:w="15" w:type="dxa"/>
              <w:bottom w:w="15" w:type="dxa"/>
              <w:right w:w="15" w:type="dxa"/>
            </w:tcMar>
            <w:vAlign w:val="top"/>
          </w:tcPr>
          <w:p/>
        </w:tc>
      </w:tr>
      <w:tr>
        <w:trPr/>
        <w:tc>
          <w:tcPr>
            <w:tcW w:w="64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48,000 shares =</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w:t>
            </w:r>
          </w:p>
        </w:tc>
        <w:tc>
          <w:tcPr>
            <w:tcW w:w="5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 1/4 of investment</w:t>
            </w:r>
          </w:p>
        </w:tc>
        <w:tc>
          <w:tcPr>
            <w:tcW w:w="180" w:type="dxa"/>
            <w:tcBorders>
              <w:bottom w:val="single" w:color="000000" w:sz="8"/>
            </w:tcBorders>
            <w:tcMar>
              <w:top w:w="15" w:type="dxa"/>
              <w:left w:w="15" w:type="dxa"/>
              <w:bottom w:w="15" w:type="dxa"/>
              <w:right w:w="15" w:type="dxa"/>
            </w:tcMar>
            <w:vAlign w:val="top"/>
          </w:tcPr>
          <w:p/>
        </w:tc>
        <w:tc>
          <w:tcPr>
            <w:tcW w:w="766"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55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ownership of Oliver</w:t>
            </w:r>
          </w:p>
        </w:tc>
        <w:tc>
          <w:tcPr>
            <w:tcW w:w="180" w:type="dxa"/>
            <w:tcBorders>
              <w:bottom w:val="double" w:color="000000" w:sz="5"/>
            </w:tcBorders>
            <w:tcMar>
              <w:top w:w="45" w:type="dxa"/>
              <w:left w:w="15" w:type="dxa"/>
              <w:bottom w:w="45" w:type="dxa"/>
              <w:right w:w="15" w:type="dxa"/>
            </w:tcMar>
            <w:vAlign w:val="top"/>
          </w:tcPr>
          <w:p/>
        </w:tc>
        <w:tc>
          <w:tcPr>
            <w:tcW w:w="76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w:t>
            </w:r>
          </w:p>
        </w:tc>
        <w:tc>
          <w:tcPr>
            <w:tcW w:w="555"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rPr>
          <w:rFonts w:ascii="Times New Roman" w:hAnsi="Times New Roman"/>
          <w:b w:val="false"/>
          <w:i w:val="false"/>
          <w:color w:val="000000"/>
          <w:sz w:val="32"/>
        </w:rPr>
        <w:t xml:space="preserve">To account for the investments, the </w:t>
      </w:r>
      <w:r>
        <w:rPr>
          <w:rFonts w:ascii="Times New Roman" w:hAnsi="Times New Roman"/>
          <w:b w:val="false"/>
          <w:i/>
          <w:color w:val="000000"/>
          <w:sz w:val="32"/>
        </w:rPr>
        <w:t>fair-value method</w:t>
      </w:r>
      <w:r>
        <w:rPr>
          <w:rFonts w:ascii="Times New Roman" w:hAnsi="Times New Roman"/>
          <w:b w:val="false"/>
          <w:i w:val="false"/>
          <w:color w:val="000000"/>
          <w:sz w:val="32"/>
        </w:rPr>
        <w:t xml:space="preserve"> should be used.</w:t>
      </w:r>
      <w:r>
        <w:rPr>
          <w:rFonts w:ascii="Times New Roman" w:hAnsi="Times New Roman"/>
          <w:b w:val="false"/>
          <w:i w:val="false"/>
          <w:color w:val="000000"/>
          <w:sz w:val="32"/>
        </w:rPr>
        <w:t>E)</w:t>
      </w:r>
      <w:r>
        <w:rPr>
          <w:rFonts w:ascii="Times New Roman"/>
          <w:sz w:val="32"/>
        </w:rPr>
        <w:br/>
      </w:r>
    </w:p>
    <w:tbl>
      <w:tblPr>
        <w:tblLayout w:type="autofit"/>
      </w:tblPr>
      <w:tr>
        <w:trPr/>
        <w:tc>
          <w:tcPr>
            <w:tcW w:w="3942" w:type="dxa"/>
            <w:tcBorders/>
            <w:tcMar>
              <w:top w:w="15" w:type="dxa"/>
              <w:left w:w="225" w:type="dxa"/>
              <w:bottom w:w="15" w:type="dxa"/>
              <w:right w:w="15" w:type="dxa"/>
            </w:tcMar>
            <w:vAlign w:val="top"/>
          </w:tcPr>
          <w:p/>
        </w:tc>
        <w:tc>
          <w:tcPr>
            <w:tcW w:w="1529" w:type="dxa"/>
            <w:tcBorders/>
            <w:tcMar>
              <w:top w:w="15" w:type="dxa"/>
              <w:left w:w="15" w:type="dxa"/>
              <w:bottom w:w="15" w:type="dxa"/>
              <w:right w:w="15" w:type="dxa"/>
            </w:tcMar>
            <w:vAlign w:val="top"/>
          </w:tcPr>
          <w:p/>
        </w:tc>
        <w:tc>
          <w:tcPr>
            <w:tcW w:w="1529" w:type="dxa"/>
            <w:tcBorders/>
            <w:tcMar>
              <w:top w:w="15" w:type="dxa"/>
              <w:left w:w="15" w:type="dxa"/>
              <w:bottom w:w="15" w:type="dxa"/>
              <w:right w:w="15" w:type="dxa"/>
            </w:tcMar>
            <w:vAlign w:val="top"/>
          </w:tcPr>
          <w:p/>
        </w:tc>
      </w:tr>
      <w:tr>
        <w:trPr/>
        <w:tc>
          <w:tcPr>
            <w:tcW w:w="394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c>
          <w:tcPr>
            <w:tcW w:w="1529" w:type="dxa"/>
            <w:tcBorders/>
            <w:tcMar>
              <w:top w:w="15" w:type="dxa"/>
              <w:left w:w="15" w:type="dxa"/>
              <w:bottom w:w="15" w:type="dxa"/>
              <w:right w:w="15" w:type="dxa"/>
            </w:tcMar>
            <w:vAlign w:val="top"/>
          </w:tcPr>
          <w:p/>
        </w:tc>
      </w:tr>
      <w:tr>
        <w:trPr/>
        <w:tc>
          <w:tcPr>
            <w:tcW w:w="394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Dividend Revenue</w:t>
            </w:r>
          </w:p>
        </w:tc>
        <w:tc>
          <w:tcPr>
            <w:tcW w:w="1529" w:type="dxa"/>
            <w:tcBorders/>
            <w:tcMar>
              <w:top w:w="15" w:type="dxa"/>
              <w:left w:w="15" w:type="dxa"/>
              <w:bottom w:w="15" w:type="dxa"/>
              <w:right w:w="150" w:type="dxa"/>
            </w:tcMar>
            <w:vAlign w:val="top"/>
          </w:tcP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23" w:type="dxa"/>
            <w:tcBorders/>
            <w:tcMar>
              <w:top w:w="15" w:type="dxa"/>
              <w:left w:w="225" w:type="dxa"/>
              <w:bottom w:w="15" w:type="dxa"/>
              <w:right w:w="15" w:type="dxa"/>
            </w:tcMar>
            <w:vAlign w:val="top"/>
          </w:tcPr>
          <w:p/>
        </w:tc>
        <w:tc>
          <w:tcPr>
            <w:tcW w:w="1377" w:type="dxa"/>
            <w:tcBorders/>
            <w:tcMar>
              <w:top w:w="15" w:type="dxa"/>
              <w:left w:w="15" w:type="dxa"/>
              <w:bottom w:w="15" w:type="dxa"/>
              <w:right w:w="15" w:type="dxa"/>
            </w:tcMar>
            <w:vAlign w:val="top"/>
          </w:tcP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dividend revenue:</w:t>
            </w:r>
          </w:p>
        </w:tc>
        <w:tc>
          <w:tcPr>
            <w:tcW w:w="1377" w:type="dxa"/>
            <w:tcBorders/>
            <w:tcMar>
              <w:top w:w="15" w:type="dxa"/>
              <w:left w:w="15" w:type="dxa"/>
              <w:bottom w:w="15" w:type="dxa"/>
              <w:right w:w="150"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$30,000 × 18% (from part C above)</w:t>
            </w:r>
          </w:p>
        </w:tc>
        <w:tc>
          <w:tcPr>
            <w:tcW w:w="1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w:t>
        <w:br/>
      </w:r>
    </w:p>
    <w:tbl>
      <w:tblPr>
        <w:tblLayout w:type="autofit"/>
      </w:tblP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Required journal entries: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initial 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Cost of Intra-Entity Inventory</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purchase of inventory from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41,250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of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share of Wonder Co.’s income.</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receipt of dividend.</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amortizations.</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defer its share of gross profit on intra-entity sales.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48" w:type="dxa"/>
            <w:tcBorders/>
            <w:tcMar>
              <w:top w:w="15" w:type="dxa"/>
              <w:left w:w="15" w:type="dxa"/>
              <w:bottom w:w="15" w:type="dxa"/>
              <w:right w:w="15" w:type="dxa"/>
            </w:tcMar>
            <w:vAlign w:val="top"/>
          </w:tcP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equity in Wonder Co. income:</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($200,000 − $35,000)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41,250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unusual gain of Wonder Co.:</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8,750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amortizations:</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[($220,000 − $160,000) ÷ 20] x 25%)</w:t>
            </w:r>
          </w:p>
        </w:tc>
        <w:tc>
          <w:tcPr>
            <w:tcW w:w="38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750</w:t>
            </w:r>
          </w:p>
        </w:tc>
        <w:tc>
          <w:tcPr>
            <w:tcW w:w="186" w:type="dxa"/>
            <w:tcBorders/>
            <w:tcMar>
              <w:top w:w="15" w:type="dxa"/>
              <w:left w:w="15" w:type="dxa"/>
              <w:bottom w:w="15" w:type="dxa"/>
              <w:right w:w="15" w:type="dxa"/>
            </w:tcMar>
            <w:vAlign w:val="top"/>
          </w:tcPr>
          <w:p/>
        </w:tc>
      </w:tr>
      <w:tr>
        <w:trPr>
          <w:trHeight w:val="15"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Trademark [($90,000 × 25%) ÷ 20]</w:t>
            </w:r>
          </w:p>
        </w:tc>
        <w:tc>
          <w:tcPr>
            <w:tcW w:w="382" w:type="dxa"/>
            <w:tcBorders>
              <w:bottom w:val="single" w:color="000000" w:sz="8"/>
            </w:tcBorders>
            <w:tcMar>
              <w:top w:w="15" w:type="dxa"/>
              <w:left w:w="15" w:type="dxa"/>
              <w:bottom w:w="15" w:type="dxa"/>
              <w:right w:w="15" w:type="dxa"/>
            </w:tcMar>
            <w:vAlign w:val="top"/>
          </w:tcPr>
          <w:p/>
        </w:tc>
        <w:tc>
          <w:tcPr>
            <w:tcW w:w="114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1,125</w:t>
            </w:r>
          </w:p>
        </w:tc>
        <w:tc>
          <w:tcPr>
            <w:tcW w:w="186" w:type="dxa"/>
            <w:tcBorders>
              <w:bottom w:val="single" w:color="000000" w:sz="8"/>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Total</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1,875</w:t>
            </w:r>
          </w:p>
        </w:tc>
        <w:tc>
          <w:tcPr>
            <w:tcW w:w="186"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Calculation of deferred gross profit on intra-entity inventory sales:</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 + 50% cost = $60,000 + $30,000</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w:t>
            </w:r>
          </w:p>
        </w:tc>
        <w:tc>
          <w:tcPr>
            <w:tcW w:w="197" w:type="dxa"/>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Gross profit</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30,000</w:t>
            </w:r>
          </w:p>
        </w:tc>
        <w:tc>
          <w:tcPr>
            <w:tcW w:w="197" w:type="dxa"/>
            <w:tcBorders>
              <w:bottom w:val="double" w:color="000000" w:sz="5"/>
            </w:tcBorders>
            <w:tcMar>
              <w:top w:w="45" w:type="dxa"/>
              <w:left w:w="15" w:type="dxa"/>
              <w:bottom w:w="4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GP % = 30,000/90,000 =</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Remaining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33,000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 Intra-entity gross profit remaining in ending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Jolley’s ownership %</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Deferred gross profit on intra-entity inventory sales</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2,750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w:t>
        <w:br/>
      </w:r>
    </w:p>
    <w:tbl>
      <w:tblPr>
        <w:tblLayout w:type="autofit"/>
      </w:tblPr>
      <w:tr>
        <w:trPr/>
        <w:tc>
          <w:tcPr>
            <w:tcW w:w="1020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Income-2020:</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($300,000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w:t>
            </w: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(Schedule 2)</w:t>
            </w:r>
          </w:p>
        </w:tc>
        <w:tc>
          <w:tcPr>
            <w:tcW w:w="200" w:type="dxa"/>
            <w:tcBorders>
              <w:bottom w:val="single" w:color="000000" w:sz="8"/>
            </w:tcBorders>
            <w:tcMar>
              <w:top w:w="15" w:type="dxa"/>
              <w:left w:w="15" w:type="dxa"/>
              <w:bottom w:w="15" w:type="dxa"/>
              <w:right w:w="15" w:type="dxa"/>
            </w:tcMar>
            <w:vAlign w:val="top"/>
          </w:tcPr>
          <w:p/>
        </w:tc>
        <w:tc>
          <w:tcPr>
            <w:tcW w:w="1199"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2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 2020</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110,400</w:t>
            </w:r>
          </w:p>
        </w:tc>
        <w:tc>
          <w:tcPr>
            <w:tcW w:w="3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420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[$120,000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Recognition of 2020 deferred intra-entity gross profit (Schedule 2)</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9" w:type="dxa"/>
            <w:tcBorders/>
            <w:tcMar>
              <w:top w:w="15" w:type="dxa"/>
              <w:left w:w="15" w:type="dxa"/>
              <w:bottom w:w="15" w:type="dxa"/>
              <w:right w:w="15" w:type="dxa"/>
            </w:tcMar>
            <w:vAlign w:val="top"/>
          </w:tcPr>
          <w:p/>
        </w:tc>
      </w:tr>
      <w:tr>
        <w:trPr>
          <w:trHeight w:val="15"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Deferral of 2021 gross profit on intra- entity inventory sales (Schedule 3)</w:t>
            </w:r>
          </w:p>
        </w:tc>
        <w:tc>
          <w:tcPr>
            <w:tcW w:w="200" w:type="dxa"/>
            <w:tcBorders>
              <w:bottom w:val="single" w:color="000000" w:sz="8"/>
            </w:tcBorders>
            <w:tcMar>
              <w:top w:w="15" w:type="dxa"/>
              <w:left w:w="15" w:type="dxa"/>
              <w:bottom w:w="15" w:type="dxa"/>
              <w:right w:w="15" w:type="dxa"/>
            </w:tcMar>
            <w:vAlign w:val="top"/>
          </w:tcPr>
          <w:p/>
        </w:tc>
        <w:tc>
          <w:tcPr>
            <w:tcW w:w="120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(9,600</w:t>
            </w:r>
          </w:p>
        </w:tc>
        <w:tc>
          <w:tcPr>
            <w:tcW w:w="3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(60,000</w:t>
            </w:r>
          </w:p>
        </w:tc>
        <w:tc>
          <w:tcPr>
            <w:tcW w:w="399"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042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1</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Life</w:t>
            </w:r>
          </w:p>
        </w:tc>
        <w:tc>
          <w:tcPr>
            <w:tcW w:w="178" w:type="dxa"/>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Annual Amortization</w:t>
            </w: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Book value equivalence($1,500,000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Payment in excess of book value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xml:space="preserve">100,000 </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identified with specific assets</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($180,000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72,000</w:t>
            </w:r>
          </w:p>
        </w:tc>
        <w:tc>
          <w:tcPr>
            <w:tcW w:w="195" w:type="dxa"/>
            <w:tcBorders>
              <w:bottom w:val="single" w:color="000000" w:sz="8"/>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12 yrs.</w:t>
            </w: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not identified with specific accounts</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single" w:color="000000" w:sz="8"/>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tc>
      </w:tr>
      <w:tr>
        <w:trPr>
          <w:trHeight w:val="120"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double" w:color="000000" w:sz="5"/>
            </w:tcBorders>
            <w:tcMar>
              <w:top w:w="45" w:type="dxa"/>
              <w:left w:w="15" w:type="dxa"/>
              <w:bottom w:w="45" w:type="dxa"/>
              <w:right w:w="15" w:type="dxa"/>
            </w:tcMar>
            <w:vAlign w:val="top"/>
          </w:tcPr>
          <w:p/>
        </w:tc>
        <w:tc>
          <w:tcPr>
            <w:tcW w:w="1872"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c>
          <w:tcPr>
            <w:tcW w:w="0" w:type="auto"/>
            <w:gridSpan w:val="8"/>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2</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2020 ($96,000 − $72,000)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($36,000 ÷ $96,000)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37.5</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gross profit on intra-entity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12/31/20 (to be deferred until recognized in 2021)</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3</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2021 ($180,000 − $120,000)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($72,000 ÷ $180,000)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- 12/31/21</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be deferred until recognized in 2022)</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9,600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w:t>
        <w:br/>
      </w:r>
    </w:p>
    <w:tbl>
      <w:tblPr>
        <w:tblLayout w:type="autofit"/>
      </w:tblPr>
      <w:tr>
        <w:trPr/>
        <w:tc>
          <w:tcPr>
            <w:tcW w:w="7669" w:type="dxa"/>
            <w:tcBorders/>
            <w:tcMar>
              <w:top w:w="15" w:type="dxa"/>
              <w:left w:w="225" w:type="dxa"/>
              <w:bottom w:w="15" w:type="dxa"/>
              <w:right w:w="15" w:type="dxa"/>
            </w:tcMar>
            <w:vAlign w:val="top"/>
          </w:tcP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r>
      <w:tr>
        <w:trPr/>
        <w:tc>
          <w:tcPr>
            <w:tcW w:w="766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Ritz</w:t>
            </w:r>
          </w:p>
        </w:tc>
        <w:tc>
          <w:tcPr>
            <w:tcW w:w="14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c>
          <w:tcPr>
            <w:tcW w:w="1654" w:type="dxa"/>
            <w:tcBorders/>
            <w:tcMar>
              <w:top w:w="15" w:type="dxa"/>
              <w:left w:w="15" w:type="dxa"/>
              <w:bottom w:w="15" w:type="dxa"/>
              <w:right w:w="15" w:type="dxa"/>
            </w:tcMar>
            <w:vAlign w:val="top"/>
          </w:tcP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To record the purchase of an additional </w:t>
            </w:r>
            <w:r>
              <w:br/>
            </w:r>
            <w:r>
              <w:rPr>
                <w:rFonts w:ascii="Courier New" w:hAnsi="Courier New"/>
                <w:b w:val="false"/>
                <w:i w:val="false"/>
                <w:color w:val="000000"/>
                <w:sz w:val="22"/>
              </w:rPr>
              <w:t>20% share in Ritz Corporation</w:t>
            </w:r>
          </w:p>
        </w:tc>
        <w:tc>
          <w:tcPr>
            <w:tcW w:w="1477" w:type="dxa"/>
            <w:tcBorders/>
            <w:tcMar>
              <w:top w:w="15" w:type="dxa"/>
              <w:left w:w="15" w:type="dxa"/>
              <w:bottom w:w="15" w:type="dxa"/>
              <w:right w:w="150" w:type="dxa"/>
            </w:tcMar>
            <w:vAlign w:val="top"/>
          </w:tcPr>
          <w:p/>
        </w:tc>
        <w:tc>
          <w:tcPr>
            <w:tcW w:w="1654"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Additionally, if the fair value of the original 10% shares differed on January 7, 2021, than it did on December 31, 2020, Pursley would record the adjustment to the investment account so that the proper allocation of excess payment to goodwill could be prepared when the ownership percentage required use of the equity method of accounting on January 7, 2021.</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[($50,000 − $35,000) × 0.25 × 0.40] = $1,500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[($75,000 − $54,000) × 0.10 × 0.40] = $840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[($120,000 × 0.4) − $12,000 − $840 + $1,500] = $36,660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[$503,000 + $36,660 − ($40,000 × 0.4)] = $523,660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107) </w:t>
      </w:r>
      <w:r>
        <w:rPr>
          <w:rFonts w:ascii="Times New Roman" w:hAnsi="Times New Roman"/>
          <w:b w:val="false"/>
          <w:i w:val="false"/>
          <w:color w:val="000000"/>
          <w:sz w:val="32"/>
        </w:rPr>
        <w:t>[($80,000 − $60,000) × 0.25 × 0.35] = $1,750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[($100,000 − $70,000) × 0.20 × 0.35] = $2,100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w:t>
        <w:br/>
      </w:r>
    </w:p>
    <w:tbl>
      <w:tblPr>
        <w:tblLayout w:type="autofit"/>
      </w:tblPr>
      <w:tr>
        <w:trPr/>
        <w:tc>
          <w:tcPr>
            <w:tcW w:w="8522" w:type="dxa"/>
            <w:tcBorders/>
            <w:tcMar>
              <w:top w:w="15" w:type="dxa"/>
              <w:left w:w="225" w:type="dxa"/>
              <w:bottom w:w="15" w:type="dxa"/>
              <w:right w:w="15" w:type="dxa"/>
            </w:tcMar>
            <w:vAlign w:val="top"/>
          </w:tcP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4" w:type="dxa"/>
            <w:tcBorders/>
            <w:tcMar>
              <w:top w:w="15" w:type="dxa"/>
              <w:left w:w="15" w:type="dxa"/>
              <w:bottom w:w="15" w:type="dxa"/>
              <w:right w:w="15" w:type="dxa"/>
            </w:tcMar>
            <w:vAlign w:val="top"/>
          </w:tcP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w:t>
            </w:r>
            <w:r>
              <w:br/>
            </w:r>
            <w:r>
              <w:rPr>
                <w:rFonts w:ascii="Courier New" w:hAnsi="Courier New"/>
                <w:b w:val="false"/>
                <w:i w:val="false"/>
                <w:color w:val="000000"/>
                <w:sz w:val="22"/>
              </w:rPr>
              <w:t xml:space="preserve">    [($2,000,000 − $600,000) × 35%]</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4"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4" w:type="dxa"/>
            <w:tcBorders>
              <w:bottom w:val="double" w:color="000000" w:sz="5"/>
            </w:tcBorders>
            <w:tcMar>
              <w:top w:w="45" w:type="dxa"/>
              <w:left w:w="15" w:type="dxa"/>
              <w:bottom w:w="4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4"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422" w:type="dxa"/>
            <w:tcBorders/>
            <w:tcMar>
              <w:top w:w="15" w:type="dxa"/>
              <w:left w:w="225" w:type="dxa"/>
              <w:bottom w:w="15" w:type="dxa"/>
              <w:right w:w="15" w:type="dxa"/>
            </w:tcMar>
            <w:vAlign w:val="top"/>
          </w:tcP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the purchase of 35% interest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($250,000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($55,000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($80,000 − $60,000) × 25% × 35% = $1,750</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w:t>
        <w:br/>
      </w:r>
    </w:p>
    <w:tbl>
      <w:tblPr>
        <w:tblLayout w:type="autofit"/>
      </w:tblPr>
      <w:tr>
        <w:trPr/>
        <w:tc>
          <w:tcPr>
            <w:tcW w:w="12118" w:type="dxa"/>
            <w:tcBorders/>
            <w:tcMar>
              <w:top w:w="15" w:type="dxa"/>
              <w:left w:w="225" w:type="dxa"/>
              <w:bottom w:w="15" w:type="dxa"/>
              <w:right w:w="15" w:type="dxa"/>
            </w:tcMar>
            <w:vAlign w:val="top"/>
          </w:tcP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 [($2,000,000 − $600,000) × 35%]</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6"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6" w:type="dxa"/>
            <w:tcBorders>
              <w:bottom w:val="double" w:color="000000" w:sz="5"/>
            </w:tcBorders>
            <w:tcMar>
              <w:top w:w="45" w:type="dxa"/>
              <w:left w:w="15" w:type="dxa"/>
              <w:bottom w:w="4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6"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249" w:type="dxa"/>
            <w:tcBorders/>
            <w:tcMar>
              <w:top w:w="15" w:type="dxa"/>
              <w:left w:w="225" w:type="dxa"/>
              <w:bottom w:w="15" w:type="dxa"/>
              <w:right w:w="15" w:type="dxa"/>
            </w:tcMar>
            <w:vAlign w:val="top"/>
          </w:tcP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($300,000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($70,000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income on intra-entity sale from 2020 that can now be recognized after sales to outsiders. ($80,000 − $60,000) × 25% × 35% = $1,750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($100,000 − $70,000) × 20% × 35% = $2,100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The equity method concepts and applications described in IAS 28 are virtually identical to those prescribed by the FASB ASC. However, some differences do exist. First, the FASB allows a fair-value reporting option for investments that otherwise are accounted for under the equity method. IAS 28 does not provide for a fair-value reporting option. Second, if the investee employs accounting policies that differ from those of the investor, IAS 28 requires the financial statements of the investee to be adjusted to reflect the investor’s accounting policies for the purpose of applying the equity method. U.S. GAAP does not have a similar conformity requirement.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112) </w:t>
      </w:r>
      <w:r>
        <w:rPr>
          <w:rFonts w:ascii="Times New Roman" w:hAnsi="Times New Roman"/>
          <w:b w:val="false"/>
          <w:i w:val="false"/>
          <w:color w:val="000000"/>
          <w:sz w:val="32"/>
        </w:rPr>
        <w:t>(1) A; (2) D; (3) B; (4) D; (5) D; (6) D; (7) D; (8) D; (9) B; (10) C; (11) A; (12) B</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113) </w:t>
      </w:r>
      <w:r>
        <w:rPr>
          <w:rFonts w:ascii="Times New Roman" w:hAnsi="Times New Roman"/>
          <w:b w:val="false"/>
          <w:i w:val="false"/>
          <w:color w:val="000000"/>
          <w:sz w:val="32"/>
        </w:rPr>
        <w:t>The fair-value method should be used. Generally, ownership of more than twenty percent (20%) of the voting common stock would be presumed to carry significant influence and would require use of the equity method. The equity method is not appropriate in this case because of the lack of the ability to exercise significant influence.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 xml:space="preserve">Idler should discontinue the use of the </w:t>
      </w:r>
      <w:r>
        <w:rPr>
          <w:rFonts w:ascii="Times New Roman" w:hAnsi="Times New Roman"/>
          <w:b w:val="false"/>
          <w:i/>
          <w:color w:val="000000"/>
          <w:sz w:val="32"/>
        </w:rPr>
        <w:t>equity method</w:t>
      </w:r>
      <w:r>
        <w:rPr>
          <w:rFonts w:ascii="Times New Roman" w:hAnsi="Times New Roman"/>
          <w:b w:val="false"/>
          <w:i w:val="false"/>
          <w:color w:val="000000"/>
          <w:sz w:val="32"/>
        </w:rPr>
        <w:t xml:space="preserve">. The investment would have a </w:t>
      </w:r>
      <w:r>
        <w:rPr>
          <w:rFonts w:ascii="Times New Roman" w:hAnsi="Times New Roman"/>
          <w:b w:val="false"/>
          <w:i/>
          <w:color w:val="000000"/>
          <w:sz w:val="32"/>
        </w:rPr>
        <w:t>zero balance</w:t>
      </w:r>
      <w:r>
        <w:rPr>
          <w:rFonts w:ascii="Times New Roman" w:hAnsi="Times New Roman"/>
          <w:b w:val="false"/>
          <w:i w:val="false"/>
          <w:color w:val="000000"/>
          <w:sz w:val="32"/>
        </w:rPr>
        <w:t xml:space="preserve"> until investee profits eliminate unrecognized losses.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115) </w:t>
      </w:r>
      <w:r>
        <w:rPr>
          <w:rFonts w:ascii="Times New Roman" w:hAnsi="Times New Roman"/>
          <w:b w:val="false"/>
          <w:i w:val="false"/>
          <w:color w:val="000000"/>
          <w:sz w:val="32"/>
        </w:rPr>
        <w:t>When an investor has the ability to exercise significant influence over the operations of an investee, the investor should use the equity method to account for the investment. GAAP suggests several events or conditions which would indicate such influence: (1) investor representation on the investee’s board of directors; (2) material transactions between investor and investee; (3) interchange of managerial personnel; (4) technological dependency between investor and investee; (5) the extent of investor ownership and the concentration of other ownership interests in the investee; and (6) investor participation in the policy-making process of the investee. All of these conditions should be examined to determine whether the investor has the ability to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116) </w:t>
      </w:r>
      <w:r>
        <w:rPr>
          <w:rFonts w:ascii="Times New Roman" w:hAnsi="Times New Roman"/>
          <w:b w:val="false"/>
          <w:i w:val="false"/>
          <w:color w:val="000000"/>
          <w:sz w:val="32"/>
        </w:rPr>
        <w:t>In order to verify that the equity method is appropriate, the auditor should determine whether the investor is able to exercise significant influence over the operations of the investee. The ability to influence the investee’s operations is the most important criterion for adopting the equity method. The auditor should look for such evidence of significant influence such as: (1) frequent or material intercompany transactions; (2) exchange of managerial personnel; (3) technological interdependency; and (4) investor participation in the decision-making process of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117) </w:t>
      </w:r>
      <w:r>
        <w:rPr>
          <w:rFonts w:ascii="Times New Roman" w:hAnsi="Times New Roman"/>
          <w:b w:val="false"/>
          <w:i w:val="false"/>
          <w:color w:val="000000"/>
          <w:sz w:val="32"/>
        </w:rPr>
        <w:t xml:space="preserve">The use of the equity method influences the investor’s income statement and balance sheet. On the income statement, the investor’s net income will be increased by its share of the investee’s earnings reduced by any amortization of cost in excess of fair value of depreciable net assets. On the balance sheet, the investor’s total assets will include the investment account. The balance of the investment account is increased by the investor’s share of the investee’s income and decreased by investee losses and dividends paid and amortization of depreciable allocations. The investor’s retained earnings are influenced by the investee’s income or loss reported on the investor’s income statement. </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The objective of the equity method is to reflect the special relationship between investor and investee. The equity method is used when the investor holds a relatively large share of the investee, but not a controlling interest. The large ownership percentage indicates that the investor has the ability to influence the decision-making processes of the investee. Use of the fair-value method would not reflect the relationship between the two parties.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According to the equity method, the investor should recognize its share of the investee’s income in the same period in which it is earned by the investee. The equity method applies accrual accounting when the investor could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An argument could be made against the recognition of income under the equity method. The investor is required to recognize its share of the investee’s income even when it is unlikely that the investor will ever receive the entire amount in cash dividends.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A change to the fair value method is appropriate when the investor can no longer exercise significant influence over the operations of the investee. No retrospective adjustment of previous years’ financial statements or the balance in the investment account is required. The balance in the investment account at the time of the change would be treated prospectively as the cost of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The investor should account for other comprehensive income or loss by including it in an Other Comprehensive Income statement account that is separate from the Equity in Investee Income account. The investor should record its share of investee OCI, which should be included in its balance sheet as Accumulated Other Comprehensive Income (AOCI).</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When the investor does not have significant influence with regard to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w:t>
      </w:r>
      <w:r>
        <w:rPr>
          <w:rFonts w:ascii="Times New Roman" w:hAnsi="Times New Roman"/>
          <w:b w:val="false"/>
          <w:i w:val="false"/>
          <w:color w:val="000000"/>
          <w:sz w:val="32"/>
        </w:rPr>
        <w:t>The investor possesses only a small percentage of an investee and cannot expect to have a significant impact on the operations or decision-making of the investee. Since the shares are bought in anticipation of cash dividends or appreciation of stock market values, dividends received are accounted for as income and the investment is reflected at each balance sheet date at its fair value which is generally the market value at that date.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125) </w:t>
      </w:r>
      <w:r>
        <w:rPr>
          <w:rFonts w:ascii="Times New Roman" w:hAnsi="Times New Roman"/>
          <w:b w:val="false"/>
          <w:i w:val="false"/>
          <w:color w:val="000000"/>
          <w:sz w:val="32"/>
        </w:rPr>
        <w:t>According to GAAP, when there is a change from the fair value method to the equity method for investments, the change should be incorporated prospectively.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