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C13C8" w14:textId="6EC6CB1D" w:rsidR="00342338" w:rsidRPr="00FF53C6" w:rsidRDefault="00342338" w:rsidP="003423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44"/>
        </w:rPr>
      </w:pPr>
      <w:r w:rsidRPr="00FF53C6">
        <w:rPr>
          <w:rFonts w:ascii="Arial" w:hAnsi="Arial" w:cs="Arial"/>
          <w:b/>
          <w:smallCaps/>
          <w:sz w:val="44"/>
        </w:rPr>
        <w:t>INSTRUCTOR’S MANUAL</w:t>
      </w:r>
    </w:p>
    <w:p w14:paraId="6E361D67" w14:textId="77777777" w:rsidR="00342338" w:rsidRPr="00FF53C6" w:rsidRDefault="00342338" w:rsidP="003423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07F433BC" w14:textId="77777777" w:rsidR="00342338" w:rsidRPr="00FF53C6" w:rsidRDefault="00342338" w:rsidP="00342338">
      <w:pPr>
        <w:pStyle w:val="BodyText"/>
        <w:spacing w:line="800" w:lineRule="exact"/>
        <w:rPr>
          <w:rFonts w:ascii="Arial" w:hAnsi="Arial" w:cs="Arial"/>
          <w:sz w:val="80"/>
          <w:lang w:val="en-CA"/>
        </w:rPr>
      </w:pPr>
    </w:p>
    <w:p w14:paraId="3E7160EE" w14:textId="1E9915FF" w:rsidR="00342338" w:rsidRPr="00FF53C6" w:rsidRDefault="00342338" w:rsidP="00342338">
      <w:pPr>
        <w:pStyle w:val="BodyText"/>
        <w:spacing w:line="800" w:lineRule="exact"/>
        <w:rPr>
          <w:rFonts w:ascii="Arial" w:hAnsi="Arial" w:cs="Arial"/>
          <w:sz w:val="48"/>
          <w:lang w:val="en-CA"/>
        </w:rPr>
      </w:pPr>
      <w:r>
        <w:rPr>
          <w:rFonts w:ascii="Arial" w:hAnsi="Arial" w:cs="Arial"/>
          <w:sz w:val="80"/>
          <w:lang w:val="en-CA"/>
        </w:rPr>
        <w:t>The Economic</w:t>
      </w:r>
      <w:r w:rsidR="006F4CBF">
        <w:rPr>
          <w:rFonts w:ascii="Arial" w:hAnsi="Arial" w:cs="Arial"/>
          <w:sz w:val="80"/>
          <w:lang w:val="en-CA"/>
        </w:rPr>
        <w:t>s</w:t>
      </w:r>
      <w:r>
        <w:rPr>
          <w:rFonts w:ascii="Arial" w:hAnsi="Arial" w:cs="Arial"/>
          <w:sz w:val="80"/>
          <w:lang w:val="en-CA"/>
        </w:rPr>
        <w:t xml:space="preserve"> of </w:t>
      </w:r>
      <w:r>
        <w:rPr>
          <w:rFonts w:ascii="Arial" w:hAnsi="Arial" w:cs="Arial"/>
          <w:sz w:val="80"/>
          <w:lang w:val="en-CA"/>
        </w:rPr>
        <w:br/>
        <w:t>Money, Banking, and Financial Markets</w:t>
      </w:r>
    </w:p>
    <w:p w14:paraId="1EA055B1" w14:textId="77777777" w:rsidR="00342338" w:rsidRPr="00FF53C6" w:rsidRDefault="00342338" w:rsidP="003423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rPr>
      </w:pPr>
    </w:p>
    <w:p w14:paraId="080428DE" w14:textId="6C6924F9" w:rsidR="00342338" w:rsidRPr="00FF53C6" w:rsidRDefault="00342338" w:rsidP="00342338">
      <w:pPr>
        <w:pStyle w:val="Heading3"/>
        <w:jc w:val="center"/>
        <w:rPr>
          <w:rFonts w:ascii="Arial" w:hAnsi="Arial" w:cs="Arial"/>
          <w:sz w:val="36"/>
          <w:lang w:val="en-CA"/>
        </w:rPr>
      </w:pPr>
      <w:r>
        <w:rPr>
          <w:rFonts w:ascii="Arial" w:hAnsi="Arial" w:cs="Arial"/>
          <w:sz w:val="36"/>
          <w:lang w:val="en-CA"/>
        </w:rPr>
        <w:t>Seventh</w:t>
      </w:r>
      <w:r w:rsidRPr="00FF53C6">
        <w:rPr>
          <w:rFonts w:ascii="Arial" w:hAnsi="Arial" w:cs="Arial"/>
          <w:sz w:val="36"/>
          <w:lang w:val="en-CA"/>
        </w:rPr>
        <w:t xml:space="preserve"> Canadian Edition</w:t>
      </w:r>
    </w:p>
    <w:p w14:paraId="22A07DA7" w14:textId="77777777" w:rsidR="00342338" w:rsidRPr="00FF53C6" w:rsidRDefault="00342338" w:rsidP="003423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rPr>
      </w:pPr>
    </w:p>
    <w:p w14:paraId="02014192" w14:textId="77777777" w:rsidR="00342338" w:rsidRPr="00FF53C6" w:rsidRDefault="00342338" w:rsidP="003423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rPr>
      </w:pPr>
    </w:p>
    <w:p w14:paraId="322E1CA4" w14:textId="6272500F" w:rsidR="00342338" w:rsidRPr="00FF53C6" w:rsidRDefault="00342338" w:rsidP="00342338">
      <w:pPr>
        <w:spacing w:before="162" w:line="321" w:lineRule="exact"/>
        <w:ind w:left="726" w:right="742"/>
        <w:jc w:val="center"/>
        <w:rPr>
          <w:rFonts w:ascii="Arial" w:hAnsi="Arial" w:cs="Arial"/>
          <w:sz w:val="28"/>
          <w:szCs w:val="28"/>
        </w:rPr>
      </w:pPr>
      <w:r>
        <w:rPr>
          <w:rFonts w:ascii="Arial" w:hAnsi="Arial" w:cs="Arial"/>
          <w:sz w:val="28"/>
        </w:rPr>
        <w:t>Fredric S. Mishkin</w:t>
      </w:r>
    </w:p>
    <w:p w14:paraId="2E0D8F0A" w14:textId="56DA08CD" w:rsidR="00342338" w:rsidRPr="00FF53C6" w:rsidRDefault="00342338" w:rsidP="00342338">
      <w:pPr>
        <w:spacing w:line="275" w:lineRule="exact"/>
        <w:ind w:left="726" w:right="742"/>
        <w:jc w:val="center"/>
        <w:rPr>
          <w:rFonts w:ascii="Arial" w:hAnsi="Arial" w:cs="Arial"/>
        </w:rPr>
      </w:pPr>
      <w:r>
        <w:rPr>
          <w:rFonts w:ascii="Arial" w:hAnsi="Arial" w:cs="Arial"/>
          <w:i/>
          <w:spacing w:val="-1"/>
        </w:rPr>
        <w:t>Columbia University</w:t>
      </w:r>
    </w:p>
    <w:p w14:paraId="59355174" w14:textId="4EE1361E" w:rsidR="00342338" w:rsidRPr="00FF53C6" w:rsidRDefault="00342338" w:rsidP="00342338">
      <w:pPr>
        <w:spacing w:before="162" w:line="321" w:lineRule="exact"/>
        <w:ind w:left="726" w:right="743"/>
        <w:jc w:val="center"/>
        <w:rPr>
          <w:rFonts w:ascii="Arial" w:hAnsi="Arial" w:cs="Arial"/>
          <w:sz w:val="28"/>
          <w:szCs w:val="28"/>
        </w:rPr>
      </w:pPr>
      <w:r>
        <w:rPr>
          <w:rFonts w:ascii="Arial" w:hAnsi="Arial" w:cs="Arial"/>
          <w:spacing w:val="-1"/>
          <w:sz w:val="28"/>
        </w:rPr>
        <w:t xml:space="preserve">Apostolos </w:t>
      </w:r>
      <w:proofErr w:type="spellStart"/>
      <w:r>
        <w:rPr>
          <w:rFonts w:ascii="Arial" w:hAnsi="Arial" w:cs="Arial"/>
          <w:spacing w:val="-1"/>
          <w:sz w:val="28"/>
        </w:rPr>
        <w:t>Serletis</w:t>
      </w:r>
      <w:proofErr w:type="spellEnd"/>
    </w:p>
    <w:p w14:paraId="6D82B707" w14:textId="2AE79BE2" w:rsidR="00342338" w:rsidRPr="00FF53C6" w:rsidRDefault="00342338" w:rsidP="00342338">
      <w:pPr>
        <w:spacing w:line="275" w:lineRule="exact"/>
        <w:ind w:left="726" w:right="747"/>
        <w:jc w:val="center"/>
        <w:rPr>
          <w:rFonts w:ascii="Arial" w:hAnsi="Arial" w:cs="Arial"/>
        </w:rPr>
      </w:pPr>
      <w:r>
        <w:rPr>
          <w:rFonts w:ascii="Arial" w:hAnsi="Arial" w:cs="Arial"/>
          <w:i/>
          <w:spacing w:val="-1"/>
        </w:rPr>
        <w:t>University of Calgary</w:t>
      </w:r>
    </w:p>
    <w:p w14:paraId="7A279377" w14:textId="77777777" w:rsidR="00342338" w:rsidRPr="00FF53C6" w:rsidRDefault="00342338" w:rsidP="003423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rPr>
      </w:pPr>
    </w:p>
    <w:p w14:paraId="5B512667" w14:textId="77777777" w:rsidR="00342338" w:rsidRPr="00FF53C6" w:rsidRDefault="00342338" w:rsidP="003423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6"/>
        </w:rPr>
      </w:pPr>
      <w:r w:rsidRPr="00FF53C6">
        <w:rPr>
          <w:rFonts w:ascii="Arial" w:hAnsi="Arial" w:cs="Arial"/>
          <w:noProof/>
          <w:sz w:val="26"/>
        </w:rPr>
        <w:drawing>
          <wp:inline distT="0" distB="0" distL="0" distR="0" wp14:anchorId="6018B4A8" wp14:editId="2ED76C25">
            <wp:extent cx="2438400" cy="965200"/>
            <wp:effectExtent l="0" t="0" r="0" b="0"/>
            <wp:docPr id="1" name="Picture 2" descr="Description: Air Sydney:Users:Rachel:Desktop:Dropbox:Rachel's Files:01_WORK:01_PEC:HED:Limmer:04_developm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ir Sydney:Users:Rachel:Desktop:Dropbox:Rachel's Files:01_WORK:01_PEC:HED:Limmer:04_development: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965200"/>
                    </a:xfrm>
                    <a:prstGeom prst="rect">
                      <a:avLst/>
                    </a:prstGeom>
                    <a:noFill/>
                    <a:ln>
                      <a:noFill/>
                    </a:ln>
                  </pic:spPr>
                </pic:pic>
              </a:graphicData>
            </a:graphic>
          </wp:inline>
        </w:drawing>
      </w:r>
    </w:p>
    <w:p w14:paraId="533B2618" w14:textId="77777777" w:rsidR="00342338" w:rsidRDefault="00342338" w:rsidP="00342338">
      <w:pPr>
        <w:spacing w:before="60"/>
        <w:jc w:val="center"/>
        <w:rPr>
          <w:rFonts w:ascii="Arial" w:hAnsi="Arial" w:cs="Arial"/>
        </w:rPr>
      </w:pPr>
      <w:r w:rsidRPr="00FF53C6">
        <w:rPr>
          <w:rFonts w:ascii="Arial" w:hAnsi="Arial" w:cs="Arial"/>
        </w:rPr>
        <w:t>Toronto</w:t>
      </w:r>
    </w:p>
    <w:p w14:paraId="1F31370B" w14:textId="77777777" w:rsidR="00342338" w:rsidRDefault="00342338" w:rsidP="00342338">
      <w:pPr>
        <w:spacing w:before="60"/>
        <w:jc w:val="center"/>
        <w:rPr>
          <w:rFonts w:ascii="Arial" w:hAnsi="Arial" w:cs="Arial"/>
        </w:rPr>
      </w:pPr>
    </w:p>
    <w:p w14:paraId="630E59A0" w14:textId="4BBB62B6" w:rsidR="00342338" w:rsidRPr="00342338" w:rsidRDefault="00342338" w:rsidP="00342338">
      <w:pPr>
        <w:jc w:val="center"/>
        <w:rPr>
          <w:sz w:val="24"/>
          <w:szCs w:val="24"/>
          <w:lang w:val="en-CA"/>
        </w:rPr>
      </w:pPr>
      <w:r w:rsidRPr="00F547E1">
        <w:rPr>
          <w:rFonts w:ascii="Arial" w:hAnsi="Arial" w:cs="Arial"/>
        </w:rPr>
        <w:t xml:space="preserve">ISBN: </w:t>
      </w:r>
      <w:r w:rsidRPr="00342338">
        <w:rPr>
          <w:rFonts w:ascii="Arial" w:hAnsi="Arial" w:cs="Arial"/>
          <w:color w:val="333333"/>
          <w:shd w:val="clear" w:color="auto" w:fill="FFFFFF"/>
          <w:lang w:val="en-CA"/>
        </w:rPr>
        <w:t>978-0-13-524800-3</w:t>
      </w:r>
    </w:p>
    <w:p w14:paraId="3E19700C" w14:textId="7432FC84" w:rsidR="00342338" w:rsidRPr="00F547E1" w:rsidRDefault="00342338" w:rsidP="00342338">
      <w:pPr>
        <w:spacing w:before="60"/>
        <w:jc w:val="center"/>
        <w:rPr>
          <w:rFonts w:ascii="Arial" w:hAnsi="Arial" w:cs="Arial"/>
        </w:rPr>
      </w:pPr>
    </w:p>
    <w:p w14:paraId="70EC4809" w14:textId="77777777" w:rsidR="00342338" w:rsidRPr="00FF53C6" w:rsidRDefault="00342338" w:rsidP="00342338">
      <w:pPr>
        <w:autoSpaceDE w:val="0"/>
        <w:autoSpaceDN w:val="0"/>
        <w:rPr>
          <w:rFonts w:ascii="Arial" w:hAnsi="Arial" w:cs="Arial"/>
        </w:rPr>
      </w:pPr>
    </w:p>
    <w:p w14:paraId="33946CA5" w14:textId="71EDA82F" w:rsidR="00342338" w:rsidRPr="00FF53C6" w:rsidRDefault="00342338" w:rsidP="00342338">
      <w:pPr>
        <w:autoSpaceDE w:val="0"/>
        <w:autoSpaceDN w:val="0"/>
        <w:rPr>
          <w:rFonts w:ascii="Arial" w:hAnsi="Arial" w:cs="Arial"/>
        </w:rPr>
      </w:pPr>
      <w:r w:rsidRPr="00FF53C6">
        <w:rPr>
          <w:rFonts w:ascii="Arial" w:hAnsi="Arial" w:cs="Arial"/>
        </w:rPr>
        <w:t>Copyright © 20</w:t>
      </w:r>
      <w:r>
        <w:rPr>
          <w:rFonts w:ascii="Arial" w:hAnsi="Arial" w:cs="Arial"/>
        </w:rPr>
        <w:t>20</w:t>
      </w:r>
      <w:r w:rsidRPr="00FF53C6">
        <w:rPr>
          <w:rFonts w:ascii="Arial" w:hAnsi="Arial" w:cs="Arial"/>
        </w:rPr>
        <w:t xml:space="preserve"> Pearson Canada Inc., Toronto, Ontario. All rights reserved. This work is protected by Canadian copyright laws </w:t>
      </w:r>
      <w:bookmarkStart w:id="0" w:name="_GoBack"/>
      <w:bookmarkEnd w:id="0"/>
      <w:r w:rsidRPr="00FF53C6">
        <w:rPr>
          <w:rFonts w:ascii="Arial" w:hAnsi="Arial" w:cs="Arial"/>
        </w:rPr>
        <w:t xml:space="preserve">and is provided solely for the use of instructors in teaching their courses and assessing student learning. Dissemination or sale of any part of this work (including on the Internet) will destroy the integrity of the work and is not permitted. The copyright holder grants permission to instructors who have adopted </w:t>
      </w:r>
      <w:r>
        <w:rPr>
          <w:rFonts w:ascii="Arial" w:hAnsi="Arial" w:cs="Arial"/>
          <w:i/>
        </w:rPr>
        <w:t>The Economics of Money, Banking, and Financial Markets</w:t>
      </w:r>
      <w:r w:rsidRPr="00FF53C6">
        <w:rPr>
          <w:rFonts w:ascii="Arial" w:hAnsi="Arial" w:cs="Arial"/>
          <w:i/>
        </w:rPr>
        <w:t xml:space="preserve">, </w:t>
      </w:r>
      <w:r>
        <w:rPr>
          <w:rFonts w:ascii="Arial" w:hAnsi="Arial" w:cs="Arial"/>
        </w:rPr>
        <w:t>Seventh</w:t>
      </w:r>
      <w:r w:rsidRPr="00FF53C6">
        <w:rPr>
          <w:rFonts w:ascii="Arial" w:hAnsi="Arial" w:cs="Arial"/>
        </w:rPr>
        <w:t xml:space="preserve"> Canadian Edition, by </w:t>
      </w:r>
      <w:r>
        <w:rPr>
          <w:rFonts w:ascii="Arial" w:hAnsi="Arial" w:cs="Arial"/>
        </w:rPr>
        <w:t xml:space="preserve">Mishkin and </w:t>
      </w:r>
      <w:proofErr w:type="spellStart"/>
      <w:r>
        <w:rPr>
          <w:rFonts w:ascii="Arial" w:hAnsi="Arial" w:cs="Arial"/>
        </w:rPr>
        <w:t>Serletis</w:t>
      </w:r>
      <w:proofErr w:type="spellEnd"/>
      <w:r w:rsidRPr="00FF53C6">
        <w:rPr>
          <w:rFonts w:ascii="Arial" w:hAnsi="Arial" w:cs="Arial"/>
        </w:rPr>
        <w:t>, to post this material online only if the use of the website is restricted by access codes to students in the instructor’s class that is using the textbook and provided the reproduced material bears this copyright notice.</w:t>
      </w:r>
    </w:p>
    <w:p w14:paraId="72AFAA10" w14:textId="77777777" w:rsidR="00342338" w:rsidRDefault="00342338">
      <w:pPr>
        <w:rPr>
          <w:b/>
        </w:rPr>
      </w:pPr>
    </w:p>
    <w:p w14:paraId="0E6C41C8" w14:textId="7D02E247" w:rsidR="00095981" w:rsidRDefault="00095981">
      <w:pPr>
        <w:rPr>
          <w:rFonts w:asciiTheme="majorHAnsi" w:eastAsiaTheme="majorEastAsia" w:hAnsiTheme="majorHAnsi" w:cstheme="majorBidi"/>
          <w:b/>
          <w:color w:val="2F5496" w:themeColor="accent1" w:themeShade="BF"/>
          <w:sz w:val="32"/>
          <w:szCs w:val="32"/>
        </w:rPr>
      </w:pPr>
      <w:r>
        <w:rPr>
          <w:b/>
        </w:rPr>
        <w:br w:type="page"/>
      </w:r>
    </w:p>
    <w:p w14:paraId="6724F9EB" w14:textId="061FD648" w:rsidR="00095981" w:rsidRPr="00B17897" w:rsidRDefault="00095981" w:rsidP="00095981">
      <w:pPr>
        <w:pStyle w:val="Heading1"/>
        <w:jc w:val="center"/>
        <w:rPr>
          <w:b/>
        </w:rPr>
      </w:pPr>
      <w:r w:rsidRPr="00B17897">
        <w:rPr>
          <w:b/>
        </w:rPr>
        <w:lastRenderedPageBreak/>
        <w:t>Preface</w:t>
      </w:r>
    </w:p>
    <w:p w14:paraId="1094A1C9" w14:textId="77777777" w:rsidR="00095981" w:rsidRDefault="00095981" w:rsidP="00095981"/>
    <w:p w14:paraId="310F67B3" w14:textId="77777777" w:rsidR="00095981" w:rsidRPr="006F4CBF" w:rsidRDefault="00095981" w:rsidP="00095981">
      <w:pPr>
        <w:rPr>
          <w:sz w:val="24"/>
          <w:szCs w:val="24"/>
        </w:rPr>
      </w:pPr>
      <w:r w:rsidRPr="006F4CBF">
        <w:rPr>
          <w:sz w:val="24"/>
          <w:szCs w:val="24"/>
        </w:rPr>
        <w:t xml:space="preserve">To help instructors cope with the many demands of teaching, The Economics of Money, Banking, and Financial Markets, 7th Canadian Edition, includes a comprehensive package of supplementary materials, including lecture slides and a computerized </w:t>
      </w:r>
      <w:proofErr w:type="spellStart"/>
      <w:r w:rsidRPr="006F4CBF">
        <w:rPr>
          <w:sz w:val="24"/>
          <w:szCs w:val="24"/>
        </w:rPr>
        <w:t>testbank</w:t>
      </w:r>
      <w:proofErr w:type="spellEnd"/>
      <w:r w:rsidRPr="006F4CBF">
        <w:rPr>
          <w:sz w:val="24"/>
          <w:szCs w:val="24"/>
        </w:rPr>
        <w:t>. This Instructor’s Manual will help save time preparing class materials, such as class outlines, lecture notes, and solutions to homework.</w:t>
      </w:r>
    </w:p>
    <w:p w14:paraId="370A030A" w14:textId="77777777" w:rsidR="00095981" w:rsidRPr="006F4CBF" w:rsidRDefault="00095981" w:rsidP="00095981">
      <w:pPr>
        <w:rPr>
          <w:sz w:val="24"/>
          <w:szCs w:val="24"/>
        </w:rPr>
      </w:pPr>
    </w:p>
    <w:p w14:paraId="16235547" w14:textId="77777777" w:rsidR="00095981" w:rsidRPr="006F4CBF" w:rsidRDefault="00095981" w:rsidP="00095981">
      <w:pPr>
        <w:rPr>
          <w:sz w:val="24"/>
          <w:szCs w:val="24"/>
        </w:rPr>
      </w:pPr>
      <w:r w:rsidRPr="006F4CBF">
        <w:rPr>
          <w:sz w:val="24"/>
          <w:szCs w:val="24"/>
        </w:rPr>
        <w:t>This manual is divided into four parts:</w:t>
      </w:r>
    </w:p>
    <w:p w14:paraId="648B3292" w14:textId="77777777" w:rsidR="00095981" w:rsidRPr="006F4CBF" w:rsidRDefault="00095981" w:rsidP="00095981">
      <w:pPr>
        <w:rPr>
          <w:sz w:val="24"/>
          <w:szCs w:val="24"/>
        </w:rPr>
      </w:pPr>
      <w:r w:rsidRPr="006F4CBF">
        <w:rPr>
          <w:sz w:val="24"/>
          <w:szCs w:val="24"/>
        </w:rPr>
        <w:t>Part 1: Alternative Course Outlines</w:t>
      </w:r>
    </w:p>
    <w:p w14:paraId="4B200A91" w14:textId="77777777" w:rsidR="00095981" w:rsidRPr="006F4CBF" w:rsidRDefault="00095981" w:rsidP="00095981">
      <w:pPr>
        <w:rPr>
          <w:sz w:val="24"/>
          <w:szCs w:val="24"/>
        </w:rPr>
      </w:pPr>
      <w:r w:rsidRPr="006F4CBF">
        <w:rPr>
          <w:sz w:val="24"/>
          <w:szCs w:val="24"/>
        </w:rPr>
        <w:t>Part 2: Chapter Overviews and Teaching Tips</w:t>
      </w:r>
    </w:p>
    <w:p w14:paraId="27423C5C" w14:textId="77777777" w:rsidR="00095981" w:rsidRPr="006F4CBF" w:rsidRDefault="00095981" w:rsidP="00095981">
      <w:pPr>
        <w:rPr>
          <w:sz w:val="24"/>
          <w:szCs w:val="24"/>
        </w:rPr>
      </w:pPr>
      <w:r w:rsidRPr="006F4CBF">
        <w:rPr>
          <w:sz w:val="24"/>
          <w:szCs w:val="24"/>
        </w:rPr>
        <w:t>Part 3: Answers to End of Chapter Questions and Problems</w:t>
      </w:r>
    </w:p>
    <w:p w14:paraId="33126D8A" w14:textId="77777777" w:rsidR="00095981" w:rsidRPr="006F4CBF" w:rsidRDefault="00095981" w:rsidP="00095981">
      <w:pPr>
        <w:rPr>
          <w:sz w:val="24"/>
          <w:szCs w:val="24"/>
        </w:rPr>
      </w:pPr>
      <w:r w:rsidRPr="006F4CBF">
        <w:rPr>
          <w:sz w:val="24"/>
          <w:szCs w:val="24"/>
        </w:rPr>
        <w:t>Part 4: Solutions to Mini-Cases</w:t>
      </w:r>
    </w:p>
    <w:p w14:paraId="650111FC" w14:textId="77777777" w:rsidR="00095981" w:rsidRPr="006F4CBF" w:rsidRDefault="00095981" w:rsidP="00095981">
      <w:pPr>
        <w:rPr>
          <w:sz w:val="24"/>
          <w:szCs w:val="24"/>
        </w:rPr>
      </w:pPr>
    </w:p>
    <w:p w14:paraId="751BDBFE" w14:textId="77777777" w:rsidR="00095981" w:rsidRPr="006F4CBF" w:rsidRDefault="00095981" w:rsidP="00095981">
      <w:pPr>
        <w:rPr>
          <w:sz w:val="24"/>
          <w:szCs w:val="24"/>
        </w:rPr>
      </w:pPr>
      <w:r w:rsidRPr="006F4CBF">
        <w:rPr>
          <w:sz w:val="24"/>
          <w:szCs w:val="24"/>
        </w:rPr>
        <w:t>There are many different ways to teach a course on money, banking, and financial markets. For this reason, the material in The Economics of Money, Banking, and Financial Markets, Seventh Canadian Edition, has been arranged with flexibility in mind, so that many teaching styles can be accommodated. Part 1 includes sample outlines for four main approaches to teaching money, banking, and financial markets, showing how the text can be adapted to each approach, as well as to quarter and semester teaching schedules. Note, however, that many variations on these outlines are possible.</w:t>
      </w:r>
    </w:p>
    <w:p w14:paraId="48D38B3F" w14:textId="77777777" w:rsidR="00095981" w:rsidRPr="006F4CBF" w:rsidRDefault="00095981" w:rsidP="00095981">
      <w:pPr>
        <w:rPr>
          <w:sz w:val="24"/>
          <w:szCs w:val="24"/>
        </w:rPr>
      </w:pPr>
    </w:p>
    <w:p w14:paraId="7691BFFB" w14:textId="77777777" w:rsidR="00095981" w:rsidRPr="006F4CBF" w:rsidRDefault="00095981" w:rsidP="00095981">
      <w:pPr>
        <w:rPr>
          <w:sz w:val="24"/>
          <w:szCs w:val="24"/>
        </w:rPr>
      </w:pPr>
      <w:r w:rsidRPr="006F4CBF">
        <w:rPr>
          <w:sz w:val="24"/>
          <w:szCs w:val="24"/>
        </w:rPr>
        <w:t>We have been teaching money and banking now for over thirty years. The overviews and teaching tips in Part 2 of the Instructor’s Manual are intended to share with you some of our experiences in the classroom with teaching the material in the textbook. The overview and teaching tips for each chapter provide a brief description of the contents of the chapter, discuss the novel features of the chapter, indicate what central points need to be transmitted to the student, suggest teaching tips that we have found useful in class, and provide guidance as to what material can easily be skipped in each chapter.</w:t>
      </w:r>
    </w:p>
    <w:p w14:paraId="507F070E" w14:textId="77777777" w:rsidR="00095981" w:rsidRPr="006F4CBF" w:rsidRDefault="00095981" w:rsidP="00095981">
      <w:pPr>
        <w:rPr>
          <w:sz w:val="24"/>
          <w:szCs w:val="24"/>
        </w:rPr>
      </w:pPr>
    </w:p>
    <w:p w14:paraId="343E7C21" w14:textId="77777777" w:rsidR="00095981" w:rsidRPr="006F4CBF" w:rsidRDefault="00095981" w:rsidP="00095981">
      <w:pPr>
        <w:rPr>
          <w:sz w:val="24"/>
          <w:szCs w:val="24"/>
        </w:rPr>
      </w:pPr>
      <w:r w:rsidRPr="006F4CBF">
        <w:rPr>
          <w:sz w:val="24"/>
          <w:szCs w:val="24"/>
        </w:rPr>
        <w:t xml:space="preserve">Part 3 of the Instructor’s Manual contains the answers to the end-of-chapter problems. Some of these questions require students to look up current data, and in these cases no answers are given; however, for the rest of the questions, the answers are quite complete. Many instructors will use the end-of-chapter questions for homework assignments, as we do. We have found it useful to hand out answers to the questions provided in Part 3 to the students as solutions sets after they have completed their assignments; they find them to be an invaluable study aid. You can prepare the solution sets for reproduction by cutting and pasting from Part Three. Note that the end-of-chapter questions and problems are also included in the </w:t>
      </w:r>
      <w:proofErr w:type="spellStart"/>
      <w:r w:rsidRPr="006F4CBF">
        <w:rPr>
          <w:sz w:val="24"/>
          <w:szCs w:val="24"/>
        </w:rPr>
        <w:t>MyLab</w:t>
      </w:r>
      <w:proofErr w:type="spellEnd"/>
      <w:r w:rsidRPr="006F4CBF">
        <w:rPr>
          <w:sz w:val="24"/>
          <w:szCs w:val="24"/>
        </w:rPr>
        <w:t xml:space="preserve"> Economics, where students will get instant feedback on the problems, as well as step-by-step tutorials for some questions. </w:t>
      </w:r>
    </w:p>
    <w:p w14:paraId="5C2CC1DF" w14:textId="77777777" w:rsidR="00095981" w:rsidRPr="006F4CBF" w:rsidRDefault="00095981" w:rsidP="00095981">
      <w:pPr>
        <w:rPr>
          <w:sz w:val="24"/>
          <w:szCs w:val="24"/>
        </w:rPr>
      </w:pPr>
    </w:p>
    <w:p w14:paraId="3C167795" w14:textId="77777777" w:rsidR="00095981" w:rsidRPr="006F4CBF" w:rsidRDefault="00095981" w:rsidP="00095981">
      <w:pPr>
        <w:rPr>
          <w:sz w:val="24"/>
          <w:szCs w:val="24"/>
        </w:rPr>
      </w:pPr>
      <w:r w:rsidRPr="006F4CBF">
        <w:rPr>
          <w:sz w:val="24"/>
          <w:szCs w:val="24"/>
        </w:rPr>
        <w:t xml:space="preserve">Part 4 includes solutions to the Mini-Cases which are available to students on </w:t>
      </w:r>
      <w:proofErr w:type="spellStart"/>
      <w:r w:rsidRPr="006F4CBF">
        <w:rPr>
          <w:sz w:val="24"/>
          <w:szCs w:val="24"/>
        </w:rPr>
        <w:t>MyLab</w:t>
      </w:r>
      <w:proofErr w:type="spellEnd"/>
      <w:r w:rsidRPr="006F4CBF">
        <w:rPr>
          <w:sz w:val="24"/>
          <w:szCs w:val="24"/>
        </w:rPr>
        <w:t xml:space="preserve"> Economics. </w:t>
      </w:r>
    </w:p>
    <w:p w14:paraId="61299660" w14:textId="698D0B4B" w:rsidR="00F47289" w:rsidRPr="00095981" w:rsidRDefault="00F47289" w:rsidP="00095981"/>
    <w:sectPr w:rsidR="00F47289" w:rsidRPr="00095981" w:rsidSect="00342338">
      <w:footerReference w:type="default" r:id="rId7"/>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3F4F7" w14:textId="77777777" w:rsidR="00BA47D2" w:rsidRDefault="00BA47D2" w:rsidP="00F47289">
      <w:r>
        <w:separator/>
      </w:r>
    </w:p>
  </w:endnote>
  <w:endnote w:type="continuationSeparator" w:id="0">
    <w:p w14:paraId="2CE7DF6F" w14:textId="77777777" w:rsidR="00BA47D2" w:rsidRDefault="00BA47D2" w:rsidP="00F4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0F9A" w14:textId="1C997B20" w:rsidR="00E87F6A" w:rsidRPr="007B2660" w:rsidRDefault="00B41909" w:rsidP="00FA29FE">
    <w:pPr>
      <w:pStyle w:val="Footer"/>
      <w:pBdr>
        <w:top w:val="single" w:sz="4" w:space="0" w:color="auto"/>
      </w:pBdr>
      <w:tabs>
        <w:tab w:val="right" w:pos="9432"/>
      </w:tabs>
      <w:spacing w:before="360"/>
      <w:jc w:val="center"/>
      <w:rPr>
        <w:sz w:val="18"/>
      </w:rPr>
    </w:pPr>
    <w:r w:rsidRPr="007B2660">
      <w:rPr>
        <w:sz w:val="18"/>
      </w:rPr>
      <w:t>Copyright © 20</w:t>
    </w:r>
    <w:r w:rsidR="00F47289">
      <w:rPr>
        <w:sz w:val="18"/>
      </w:rPr>
      <w:t>20</w:t>
    </w:r>
    <w:r w:rsidRPr="007B2660">
      <w:rPr>
        <w:sz w:val="18"/>
      </w:rPr>
      <w:t xml:space="preserve"> by Pearson </w:t>
    </w:r>
    <w:r>
      <w:rPr>
        <w:sz w:val="18"/>
      </w:rPr>
      <w:t>Canada</w:t>
    </w:r>
    <w:r w:rsidRPr="007B2660">
      <w:rPr>
        <w:sz w:val="18"/>
      </w:rPr>
      <w:t xml:space="preserve">,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925D7" w14:textId="77777777" w:rsidR="00BA47D2" w:rsidRDefault="00BA47D2" w:rsidP="00F47289">
      <w:r>
        <w:separator/>
      </w:r>
    </w:p>
  </w:footnote>
  <w:footnote w:type="continuationSeparator" w:id="0">
    <w:p w14:paraId="7C3B2607" w14:textId="77777777" w:rsidR="00BA47D2" w:rsidRDefault="00BA47D2" w:rsidP="00F47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89"/>
    <w:rsid w:val="00074D1B"/>
    <w:rsid w:val="00095981"/>
    <w:rsid w:val="0013025E"/>
    <w:rsid w:val="00342338"/>
    <w:rsid w:val="005038A1"/>
    <w:rsid w:val="00570694"/>
    <w:rsid w:val="006F4CBF"/>
    <w:rsid w:val="00767A64"/>
    <w:rsid w:val="008D6648"/>
    <w:rsid w:val="008F668F"/>
    <w:rsid w:val="00A760C7"/>
    <w:rsid w:val="00B41909"/>
    <w:rsid w:val="00BA47D2"/>
    <w:rsid w:val="00CB0CA1"/>
    <w:rsid w:val="00F4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A279B7"/>
  <w14:defaultImageDpi w14:val="32767"/>
  <w15:chartTrackingRefBased/>
  <w15:docId w15:val="{AD35FB4C-A22F-9345-9A60-0DB75DB5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7289"/>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472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72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728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4728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7289"/>
    <w:pPr>
      <w:tabs>
        <w:tab w:val="center" w:pos="4320"/>
        <w:tab w:val="right" w:pos="8640"/>
      </w:tabs>
    </w:pPr>
    <w:rPr>
      <w:rFonts w:asciiTheme="majorHAnsi" w:hAnsiTheme="majorHAnsi"/>
    </w:rPr>
  </w:style>
  <w:style w:type="character" w:customStyle="1" w:styleId="FooterChar">
    <w:name w:val="Footer Char"/>
    <w:basedOn w:val="DefaultParagraphFont"/>
    <w:link w:val="Footer"/>
    <w:rsid w:val="00F47289"/>
    <w:rPr>
      <w:rFonts w:asciiTheme="majorHAnsi" w:eastAsia="Times New Roman" w:hAnsiTheme="majorHAnsi" w:cs="Times New Roman"/>
      <w:sz w:val="20"/>
      <w:szCs w:val="20"/>
    </w:rPr>
  </w:style>
  <w:style w:type="character" w:styleId="PageNumber">
    <w:name w:val="page number"/>
    <w:basedOn w:val="DefaultParagraphFont"/>
    <w:semiHidden/>
    <w:rsid w:val="00F47289"/>
  </w:style>
  <w:style w:type="paragraph" w:customStyle="1" w:styleId="VersoHeader">
    <w:name w:val="Verso Header"/>
    <w:rsid w:val="00F47289"/>
    <w:pPr>
      <w:pBdr>
        <w:bottom w:val="single" w:sz="4" w:space="2" w:color="auto"/>
      </w:pBdr>
      <w:spacing w:after="360"/>
    </w:pPr>
    <w:rPr>
      <w:rFonts w:asciiTheme="majorHAnsi" w:eastAsia="Times New Roman" w:hAnsiTheme="majorHAnsi" w:cs="Times New Roman"/>
      <w:sz w:val="18"/>
      <w:szCs w:val="20"/>
    </w:rPr>
  </w:style>
  <w:style w:type="paragraph" w:styleId="Header">
    <w:name w:val="header"/>
    <w:basedOn w:val="Normal"/>
    <w:link w:val="HeaderChar"/>
    <w:uiPriority w:val="99"/>
    <w:unhideWhenUsed/>
    <w:rsid w:val="00F47289"/>
    <w:pPr>
      <w:tabs>
        <w:tab w:val="center" w:pos="4680"/>
        <w:tab w:val="right" w:pos="9360"/>
      </w:tabs>
    </w:pPr>
  </w:style>
  <w:style w:type="character" w:customStyle="1" w:styleId="HeaderChar">
    <w:name w:val="Header Char"/>
    <w:basedOn w:val="DefaultParagraphFont"/>
    <w:link w:val="Header"/>
    <w:uiPriority w:val="99"/>
    <w:rsid w:val="00F4728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472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472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4728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47289"/>
    <w:rPr>
      <w:rFonts w:asciiTheme="majorHAnsi" w:eastAsiaTheme="majorEastAsia" w:hAnsiTheme="majorHAnsi" w:cstheme="majorBidi"/>
      <w:i/>
      <w:iCs/>
      <w:color w:val="2F5496" w:themeColor="accent1" w:themeShade="BF"/>
      <w:sz w:val="20"/>
      <w:szCs w:val="20"/>
    </w:rPr>
  </w:style>
  <w:style w:type="paragraph" w:styleId="BodyText">
    <w:name w:val="Body Text"/>
    <w:basedOn w:val="Normal"/>
    <w:link w:val="BodyTextChar"/>
    <w:semiHidden/>
    <w:rsid w:val="003423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w:hAnsi="Times"/>
      <w:b/>
      <w:smallCaps/>
      <w:sz w:val="76"/>
    </w:rPr>
  </w:style>
  <w:style w:type="character" w:customStyle="1" w:styleId="BodyTextChar">
    <w:name w:val="Body Text Char"/>
    <w:basedOn w:val="DefaultParagraphFont"/>
    <w:link w:val="BodyText"/>
    <w:semiHidden/>
    <w:rsid w:val="00342338"/>
    <w:rPr>
      <w:rFonts w:ascii="Times" w:eastAsia="Times New Roman" w:hAnsi="Times" w:cs="Times New Roman"/>
      <w:b/>
      <w:smallCaps/>
      <w:sz w:val="7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610048">
      <w:bodyDiv w:val="1"/>
      <w:marLeft w:val="0"/>
      <w:marRight w:val="0"/>
      <w:marTop w:val="0"/>
      <w:marBottom w:val="0"/>
      <w:divBdr>
        <w:top w:val="none" w:sz="0" w:space="0" w:color="auto"/>
        <w:left w:val="none" w:sz="0" w:space="0" w:color="auto"/>
        <w:bottom w:val="none" w:sz="0" w:space="0" w:color="auto"/>
        <w:right w:val="none" w:sz="0" w:space="0" w:color="auto"/>
      </w:divBdr>
    </w:div>
    <w:div w:id="19001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stuckey</dc:creator>
  <cp:keywords/>
  <dc:description/>
  <cp:lastModifiedBy>rachel stuckey</cp:lastModifiedBy>
  <cp:revision>4</cp:revision>
  <dcterms:created xsi:type="dcterms:W3CDTF">2018-11-15T19:35:00Z</dcterms:created>
  <dcterms:modified xsi:type="dcterms:W3CDTF">2018-11-16T13:46:00Z</dcterms:modified>
</cp:coreProperties>
</file>