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DC9" w:rsidRDefault="006D6DC9" w:rsidP="006D6DC9">
      <w:pPr>
        <w:pStyle w:val="awTB01questionHead1"/>
        <w:spacing w:before="3500" w:after="0"/>
        <w:rPr>
          <w:sz w:val="72"/>
        </w:rPr>
      </w:pPr>
      <w:r>
        <w:rPr>
          <w:smallCaps/>
          <w:sz w:val="72"/>
        </w:rPr>
        <w:t>Part One</w:t>
      </w:r>
      <w:r>
        <w:rPr>
          <w:sz w:val="72"/>
        </w:rPr>
        <w:br/>
      </w:r>
      <w:r>
        <w:rPr>
          <w:sz w:val="72"/>
        </w:rPr>
        <w:br/>
        <w:t>How to Use the</w:t>
      </w:r>
      <w:r>
        <w:rPr>
          <w:sz w:val="72"/>
        </w:rPr>
        <w:br/>
        <w:t>Instructor’s Manual</w:t>
      </w:r>
      <w:r>
        <w:rPr>
          <w:sz w:val="72"/>
        </w:rPr>
        <w:br/>
        <w:t>and Other Textbook Ancillaries</w:t>
      </w:r>
    </w:p>
    <w:p w:rsidR="006D6DC9" w:rsidRDefault="006D6DC9" w:rsidP="006D6DC9">
      <w:pPr>
        <w:pStyle w:val="awTB01questionHead1"/>
        <w:spacing w:after="440"/>
        <w:rPr>
          <w:spacing w:val="-6"/>
          <w:sz w:val="52"/>
        </w:rPr>
        <w:sectPr w:rsidR="006D6DC9" w:rsidSect="00D03120">
          <w:headerReference w:type="default" r:id="rId4"/>
          <w:footerReference w:type="default" r:id="rId5"/>
          <w:footerReference w:type="first" r:id="rId6"/>
          <w:pgSz w:w="12240" w:h="15840" w:code="1"/>
          <w:pgMar w:top="1008" w:right="1008" w:bottom="1008" w:left="1800" w:header="1008" w:footer="720" w:gutter="0"/>
          <w:pgNumType w:start="407"/>
          <w:cols w:space="720"/>
          <w:titlePg/>
          <w:docGrid w:linePitch="204"/>
        </w:sectPr>
      </w:pPr>
      <w:r>
        <w:rPr>
          <w:spacing w:val="-6"/>
          <w:sz w:val="52"/>
        </w:rPr>
        <w:br w:type="page"/>
      </w:r>
    </w:p>
    <w:p w:rsidR="006D6DC9" w:rsidRDefault="006D6DC9" w:rsidP="006D6DC9">
      <w:pPr>
        <w:pStyle w:val="awTB01questionHead1"/>
      </w:pPr>
      <w:r>
        <w:lastRenderedPageBreak/>
        <w:t>Organization of the Instructor’s Manual</w:t>
      </w:r>
    </w:p>
    <w:p w:rsidR="006D6DC9" w:rsidRDefault="006D6DC9" w:rsidP="006D6DC9">
      <w:pPr>
        <w:pStyle w:val="T1"/>
      </w:pPr>
      <w:r>
        <w:t xml:space="preserve">To help instructors cope with the increased demands for good teaching in recent years, </w:t>
      </w:r>
      <w:r>
        <w:rPr>
          <w:i/>
        </w:rPr>
        <w:t xml:space="preserve">The Economics </w:t>
      </w:r>
      <w:r>
        <w:rPr>
          <w:i/>
        </w:rPr>
        <w:br/>
        <w:t>of Money, Banking, and Financial Markets</w:t>
      </w:r>
      <w:r>
        <w:rPr>
          <w:i/>
          <w:iCs/>
        </w:rPr>
        <w:t>,</w:t>
      </w:r>
      <w:r>
        <w:t xml:space="preserve"> Tenth Edition, includes the most comprehensive package </w:t>
      </w:r>
      <w:r>
        <w:br/>
        <w:t xml:space="preserve">of supplementary materials of any money, banking, and financial markets textbook. As part of these supplemental materials, I have designed the Instructor’s Manual to help save you time in preparing </w:t>
      </w:r>
      <w:r>
        <w:br/>
        <w:t>class materials, such as class outlines, solutions to homework problems, lecture notes, and overhead transparencies.</w:t>
      </w:r>
    </w:p>
    <w:p w:rsidR="006D6DC9" w:rsidRDefault="006D6DC9" w:rsidP="006D6DC9">
      <w:pPr>
        <w:pStyle w:val="T2"/>
        <w:rPr>
          <w:rFonts w:cs="Times"/>
          <w:szCs w:val="22"/>
        </w:rPr>
      </w:pPr>
      <w:r>
        <w:t xml:space="preserve">This Instructor’s Manual is divided into four parts. Part One discusses how to use the Instructor’s Manual and the other textbook ancillaries to make your teaching of the money and banking course both more effective and less time-consuming. Part Two contains an overview of all the textbook chapters along </w:t>
      </w:r>
      <w:r>
        <w:br/>
        <w:t xml:space="preserve">with teaching tips that I have found effective. Part Three contains the answers to the end-of-chapter problems for use by the instructor to prepare solution sets for the problems he or she assigns to the students as problem sets. Part Four contains transparency masters of chapter outlines, which can be </w:t>
      </w:r>
      <w:r>
        <w:br/>
        <w:t xml:space="preserve">used either to </w:t>
      </w:r>
      <w:r>
        <w:rPr>
          <w:rFonts w:cs="Times"/>
          <w:szCs w:val="22"/>
        </w:rPr>
        <w:t>make overhead transparencies for use in class or to make handouts for the students.</w:t>
      </w:r>
    </w:p>
    <w:p w:rsidR="006D6DC9" w:rsidRDefault="006D6DC9" w:rsidP="006D6DC9">
      <w:pPr>
        <w:pStyle w:val="T2"/>
        <w:rPr>
          <w:iCs/>
          <w:color w:val="000000"/>
        </w:rPr>
      </w:pPr>
      <w:r>
        <w:t xml:space="preserve">To obtain any of the available ancillaries, adopters of the text just need to get in touch with their </w:t>
      </w:r>
      <w:r>
        <w:br/>
        <w:t xml:space="preserve">Pearson sales representative, or alternatively they can visit the Instructor’s Resource Center </w:t>
      </w:r>
      <w:r>
        <w:rPr>
          <w:color w:val="000000"/>
        </w:rPr>
        <w:t xml:space="preserve">at </w:t>
      </w:r>
      <w:r>
        <w:rPr>
          <w:rFonts w:cs="Times"/>
          <w:iCs/>
          <w:color w:val="000000"/>
          <w:szCs w:val="22"/>
        </w:rPr>
        <w:t>www.pearsonhighered.com/irc</w:t>
      </w:r>
      <w:r>
        <w:rPr>
          <w:iCs/>
          <w:color w:val="000000"/>
        </w:rPr>
        <w:t>.</w:t>
      </w:r>
    </w:p>
    <w:p w:rsidR="006D6DC9" w:rsidRDefault="006D6DC9" w:rsidP="006D6DC9">
      <w:pPr>
        <w:pStyle w:val="awTB01questionHead1"/>
        <w:spacing w:after="440"/>
        <w:rPr>
          <w:b w:val="0"/>
          <w:sz w:val="22"/>
        </w:rPr>
        <w:sectPr w:rsidR="006D6DC9" w:rsidSect="00D03120">
          <w:footerReference w:type="even" r:id="rId7"/>
          <w:footerReference w:type="first" r:id="rId8"/>
          <w:pgSz w:w="12240" w:h="15840" w:code="1"/>
          <w:pgMar w:top="1008" w:right="1008" w:bottom="1008" w:left="1800" w:header="1008" w:footer="720" w:gutter="0"/>
          <w:pgNumType w:start="3"/>
          <w:cols w:space="720"/>
          <w:titlePg/>
          <w:docGrid w:linePitch="204"/>
        </w:sectPr>
      </w:pPr>
      <w:r>
        <w:br w:type="page"/>
      </w:r>
    </w:p>
    <w:p w:rsidR="006D6DC9" w:rsidRDefault="006D6DC9" w:rsidP="006D6DC9">
      <w:pPr>
        <w:pStyle w:val="awTB01questionHead1"/>
      </w:pPr>
      <w:r>
        <w:lastRenderedPageBreak/>
        <w:t>Alternative Course Outlines</w:t>
      </w:r>
    </w:p>
    <w:p w:rsidR="006D6DC9" w:rsidRDefault="006D6DC9" w:rsidP="006D6DC9">
      <w:pPr>
        <w:pStyle w:val="T1"/>
      </w:pPr>
      <w:r w:rsidRPr="00D03120">
        <w:rPr>
          <w:spacing w:val="-2"/>
        </w:rPr>
        <w:t>There are many different ways to teach a course on money, banking, and financial markets. For this reason</w:t>
      </w:r>
      <w:r>
        <w:t xml:space="preserve">, </w:t>
      </w:r>
      <w:r w:rsidRPr="00D03120">
        <w:rPr>
          <w:spacing w:val="-2"/>
        </w:rPr>
        <w:t xml:space="preserve">the material in </w:t>
      </w:r>
      <w:r w:rsidRPr="00D03120">
        <w:rPr>
          <w:i/>
          <w:spacing w:val="-2"/>
        </w:rPr>
        <w:t>The Economics of Money, Banking, and Financial Markets</w:t>
      </w:r>
      <w:r w:rsidRPr="00D03120">
        <w:rPr>
          <w:i/>
          <w:iCs/>
          <w:spacing w:val="-2"/>
        </w:rPr>
        <w:t>,</w:t>
      </w:r>
      <w:r w:rsidRPr="00D03120">
        <w:rPr>
          <w:spacing w:val="-2"/>
        </w:rPr>
        <w:t xml:space="preserve"> Tenth Edition, has been arranged</w:t>
      </w:r>
      <w:r>
        <w:t xml:space="preserve"> </w:t>
      </w:r>
      <w:r w:rsidRPr="00D03120">
        <w:rPr>
          <w:spacing w:val="-2"/>
        </w:rPr>
        <w:t>with flexibility in mind, so that many teaching styles can be accommodated. The following sections suggest</w:t>
      </w:r>
      <w:r>
        <w:t xml:space="preserve"> </w:t>
      </w:r>
      <w:r w:rsidRPr="00D03120">
        <w:rPr>
          <w:spacing w:val="-2"/>
        </w:rPr>
        <w:t>sample outlines for four main approaches to teaching money, banking, and financial markets, showing how</w:t>
      </w:r>
      <w:r>
        <w:t xml:space="preserve"> the text can be adapted to each approach, as well as to quarter and semester teaching schedules. Note, however, that many variations on these outlines are possible.</w:t>
      </w:r>
    </w:p>
    <w:p w:rsidR="006D6DC9" w:rsidRDefault="006D6DC9" w:rsidP="006D6DC9">
      <w:pPr>
        <w:pStyle w:val="awTB01questionHead"/>
      </w:pPr>
      <w:r>
        <w:rPr>
          <w:rFonts w:ascii="Wingdings" w:hAnsi="Wingdings"/>
          <w:spacing w:val="-3"/>
        </w:rPr>
        <w:t></w:t>
      </w:r>
      <w:r>
        <w:t> </w:t>
      </w:r>
      <w:r>
        <w:t>Outline for General Money and Banking Course</w:t>
      </w:r>
    </w:p>
    <w:p w:rsidR="006D6DC9" w:rsidRDefault="006D6DC9" w:rsidP="006D6DC9">
      <w:pPr>
        <w:pStyle w:val="H2"/>
        <w:spacing w:before="0"/>
      </w:pPr>
      <w:r>
        <w:t>Core Chapters</w:t>
      </w:r>
    </w:p>
    <w:p w:rsidR="006D6DC9" w:rsidRDefault="006D6DC9" w:rsidP="006D6DC9">
      <w:pPr>
        <w:pStyle w:val="H4"/>
      </w:pPr>
      <w:r>
        <w:t>Chapter No.</w:t>
      </w:r>
      <w:r>
        <w:tab/>
        <w:t>Chapter Title</w:t>
      </w:r>
    </w:p>
    <w:p w:rsidR="006D6DC9" w:rsidRDefault="006D6DC9" w:rsidP="006D6DC9">
      <w:pPr>
        <w:pStyle w:val="MCQList11"/>
      </w:pPr>
      <w:r>
        <w:tab/>
        <w:t>1.</w:t>
      </w:r>
      <w:r>
        <w:tab/>
        <w:t>Why Study Money, Banking, and Financial Markets?</w:t>
      </w:r>
    </w:p>
    <w:p w:rsidR="006D6DC9" w:rsidRDefault="006D6DC9" w:rsidP="006D6DC9">
      <w:pPr>
        <w:pStyle w:val="MCQList11-1"/>
      </w:pPr>
      <w:r>
        <w:tab/>
        <w:t>2.</w:t>
      </w:r>
      <w:r>
        <w:tab/>
        <w:t>An Overview of the Financial System</w:t>
      </w:r>
    </w:p>
    <w:p w:rsidR="006D6DC9" w:rsidRDefault="006D6DC9" w:rsidP="006D6DC9">
      <w:pPr>
        <w:pStyle w:val="MCQList11-1"/>
      </w:pPr>
      <w:r>
        <w:tab/>
        <w:t>3.</w:t>
      </w:r>
      <w:r>
        <w:tab/>
        <w:t>What Is Money?</w:t>
      </w:r>
    </w:p>
    <w:p w:rsidR="006D6DC9" w:rsidRDefault="006D6DC9" w:rsidP="006D6DC9">
      <w:pPr>
        <w:pStyle w:val="MCQList11-1"/>
      </w:pPr>
      <w:r>
        <w:tab/>
        <w:t>4.</w:t>
      </w:r>
      <w:r>
        <w:tab/>
        <w:t>Understanding Interest Rates</w:t>
      </w:r>
    </w:p>
    <w:p w:rsidR="006D6DC9" w:rsidRDefault="006D6DC9" w:rsidP="006D6DC9">
      <w:pPr>
        <w:pStyle w:val="MCQList11-1"/>
      </w:pPr>
      <w:r>
        <w:tab/>
        <w:t>5.</w:t>
      </w:r>
      <w:r>
        <w:tab/>
        <w:t>The Behavior of Interest Rates</w:t>
      </w:r>
    </w:p>
    <w:p w:rsidR="006D6DC9" w:rsidRDefault="006D6DC9" w:rsidP="006D6DC9">
      <w:pPr>
        <w:pStyle w:val="MCQList12"/>
      </w:pPr>
      <w:r>
        <w:t>10.</w:t>
      </w:r>
      <w:r>
        <w:tab/>
        <w:t>Banking and the Management of Financial Institutions</w:t>
      </w:r>
    </w:p>
    <w:p w:rsidR="006D6DC9" w:rsidRDefault="006D6DC9" w:rsidP="006D6DC9">
      <w:pPr>
        <w:pStyle w:val="MCQList12"/>
      </w:pPr>
      <w:r>
        <w:t>11.</w:t>
      </w:r>
      <w:r>
        <w:tab/>
        <w:t>Economic Analysis of Financial Regulation</w:t>
      </w:r>
    </w:p>
    <w:p w:rsidR="006D6DC9" w:rsidRDefault="006D6DC9" w:rsidP="006D6DC9">
      <w:pPr>
        <w:pStyle w:val="MCQList12"/>
      </w:pPr>
      <w:r>
        <w:t>12.</w:t>
      </w:r>
      <w:r>
        <w:tab/>
        <w:t>Banking Industry: Structure and Competition</w:t>
      </w:r>
    </w:p>
    <w:p w:rsidR="006D6DC9" w:rsidRDefault="006D6DC9" w:rsidP="006D6DC9">
      <w:pPr>
        <w:pStyle w:val="MCQList12"/>
      </w:pPr>
      <w:r>
        <w:t>13.</w:t>
      </w:r>
      <w:r>
        <w:tab/>
        <w:t>Central Banks and the Federal Reserve System</w:t>
      </w:r>
    </w:p>
    <w:p w:rsidR="006D6DC9" w:rsidRDefault="006D6DC9" w:rsidP="006D6DC9">
      <w:pPr>
        <w:pStyle w:val="MCQList12"/>
      </w:pPr>
      <w:r>
        <w:t>15.</w:t>
      </w:r>
      <w:r>
        <w:tab/>
        <w:t>Tools of Monetary Policy</w:t>
      </w:r>
    </w:p>
    <w:p w:rsidR="006D6DC9" w:rsidRDefault="006D6DC9" w:rsidP="006D6DC9">
      <w:pPr>
        <w:pStyle w:val="MCQList12"/>
      </w:pPr>
      <w:r>
        <w:t>16.</w:t>
      </w:r>
      <w:r>
        <w:tab/>
        <w:t xml:space="preserve">The Conduct of Monetary Policy: </w:t>
      </w:r>
      <w:r>
        <w:fldChar w:fldCharType="begin"/>
      </w:r>
      <w:r>
        <w:instrText xml:space="preserve"> SEQ CHAPTER \h \r 1</w:instrText>
      </w:r>
      <w:r>
        <w:fldChar w:fldCharType="end"/>
      </w:r>
      <w:r>
        <w:t>Strategy and Tactics</w:t>
      </w:r>
    </w:p>
    <w:p w:rsidR="006D6DC9" w:rsidRDefault="006D6DC9" w:rsidP="006D6DC9">
      <w:pPr>
        <w:pStyle w:val="MCQList12"/>
      </w:pPr>
      <w:r>
        <w:t>22.</w:t>
      </w:r>
      <w:r>
        <w:tab/>
        <w:t>Aggregate Demand and Supply Analysis</w:t>
      </w:r>
    </w:p>
    <w:p w:rsidR="006D6DC9" w:rsidRDefault="006D6DC9" w:rsidP="006D6DC9">
      <w:pPr>
        <w:pStyle w:val="MCQList12"/>
      </w:pPr>
      <w:r>
        <w:t>23.</w:t>
      </w:r>
      <w:r>
        <w:tab/>
        <w:t>Monetary Policy Theory</w:t>
      </w:r>
    </w:p>
    <w:p w:rsidR="006D6DC9" w:rsidRDefault="006D6DC9" w:rsidP="006D6DC9">
      <w:pPr>
        <w:pStyle w:val="T1"/>
        <w:spacing w:before="160" w:after="160"/>
        <w:rPr>
          <w:i/>
          <w:iCs/>
        </w:rPr>
      </w:pPr>
      <w:r>
        <w:rPr>
          <w:i/>
          <w:iCs/>
        </w:rPr>
        <w:t>For a one-semester course, cover any six of the following optional chapters:</w:t>
      </w:r>
    </w:p>
    <w:p w:rsidR="006D6DC9" w:rsidRDefault="006D6DC9" w:rsidP="006D6DC9">
      <w:pPr>
        <w:pStyle w:val="H4"/>
      </w:pPr>
      <w:r>
        <w:t>Chapter No.</w:t>
      </w:r>
      <w:r>
        <w:tab/>
        <w:t>Chapter Title</w:t>
      </w:r>
    </w:p>
    <w:p w:rsidR="006D6DC9" w:rsidRDefault="006D6DC9" w:rsidP="006D6DC9">
      <w:pPr>
        <w:pStyle w:val="MCQList11"/>
      </w:pPr>
      <w:r>
        <w:tab/>
        <w:t>6.</w:t>
      </w:r>
      <w:r>
        <w:tab/>
        <w:t>The Risk and Term Structure of Interest Rates</w:t>
      </w:r>
    </w:p>
    <w:p w:rsidR="006D6DC9" w:rsidRDefault="006D6DC9" w:rsidP="006D6DC9">
      <w:pPr>
        <w:pStyle w:val="MCQList11-1"/>
      </w:pPr>
      <w:r>
        <w:tab/>
        <w:t>7.</w:t>
      </w:r>
      <w:r>
        <w:tab/>
        <w:t>The Stock Market, the Theory of Rational Expectations, and the</w:t>
      </w:r>
    </w:p>
    <w:p w:rsidR="006D6DC9" w:rsidRDefault="006D6DC9" w:rsidP="006D6DC9">
      <w:pPr>
        <w:pStyle w:val="MCQList11-1"/>
      </w:pPr>
      <w:r>
        <w:tab/>
      </w:r>
      <w:r>
        <w:tab/>
        <w:t>Efficient Market Hypothesis</w:t>
      </w:r>
    </w:p>
    <w:p w:rsidR="006D6DC9" w:rsidRDefault="006D6DC9" w:rsidP="006D6DC9">
      <w:pPr>
        <w:pStyle w:val="MCQList11-1"/>
      </w:pPr>
      <w:r>
        <w:tab/>
        <w:t>8.</w:t>
      </w:r>
      <w:r>
        <w:tab/>
        <w:t>An Economic Analysis of Financial Structure</w:t>
      </w:r>
    </w:p>
    <w:p w:rsidR="006D6DC9" w:rsidRDefault="006D6DC9" w:rsidP="006D6DC9">
      <w:pPr>
        <w:pStyle w:val="MCQList11-1"/>
      </w:pPr>
      <w:r>
        <w:tab/>
        <w:t>9.</w:t>
      </w:r>
      <w:r>
        <w:tab/>
        <w:t>Financial Crises</w:t>
      </w:r>
    </w:p>
    <w:p w:rsidR="006D6DC9" w:rsidRDefault="006D6DC9" w:rsidP="006D6DC9">
      <w:pPr>
        <w:pStyle w:val="MCQList12"/>
      </w:pPr>
      <w:r>
        <w:t>14.</w:t>
      </w:r>
      <w:r>
        <w:tab/>
        <w:t>The Money Supply Process</w:t>
      </w:r>
    </w:p>
    <w:p w:rsidR="006D6DC9" w:rsidRDefault="006D6DC9" w:rsidP="006D6DC9">
      <w:pPr>
        <w:pStyle w:val="MCQList12"/>
      </w:pPr>
      <w:r>
        <w:t>17.</w:t>
      </w:r>
      <w:r>
        <w:tab/>
        <w:t>The Foreign Exchange Market</w:t>
      </w:r>
    </w:p>
    <w:p w:rsidR="006D6DC9" w:rsidRDefault="006D6DC9" w:rsidP="006D6DC9">
      <w:pPr>
        <w:pStyle w:val="MCQList12"/>
      </w:pPr>
      <w:r>
        <w:t>18.</w:t>
      </w:r>
      <w:r>
        <w:tab/>
        <w:t>The International Financial System</w:t>
      </w:r>
    </w:p>
    <w:p w:rsidR="006D6DC9" w:rsidRDefault="006D6DC9" w:rsidP="006D6DC9">
      <w:pPr>
        <w:pStyle w:val="MCQList12"/>
      </w:pPr>
      <w:r>
        <w:t>19.</w:t>
      </w:r>
      <w:r>
        <w:tab/>
        <w:t>Quantity Theory, Inflation, and the Demand for Money</w:t>
      </w:r>
    </w:p>
    <w:p w:rsidR="006D6DC9" w:rsidRDefault="006D6DC9" w:rsidP="006D6DC9">
      <w:pPr>
        <w:pStyle w:val="MCQList12"/>
      </w:pPr>
      <w:r>
        <w:t>20.</w:t>
      </w:r>
      <w:r>
        <w:tab/>
        <w:t xml:space="preserve">The </w:t>
      </w:r>
      <w:r>
        <w:rPr>
          <w:i/>
          <w:iCs/>
        </w:rPr>
        <w:t>IS</w:t>
      </w:r>
      <w:r>
        <w:t xml:space="preserve"> Curve</w:t>
      </w:r>
    </w:p>
    <w:p w:rsidR="006D6DC9" w:rsidRDefault="006D6DC9" w:rsidP="006D6DC9">
      <w:pPr>
        <w:pStyle w:val="MCQList12"/>
      </w:pPr>
      <w:r>
        <w:t>21.</w:t>
      </w:r>
      <w:r>
        <w:tab/>
        <w:t>The Monetary Policy and Aggregate Demand Curves</w:t>
      </w:r>
    </w:p>
    <w:p w:rsidR="006D6DC9" w:rsidRDefault="006D6DC9" w:rsidP="006D6DC9">
      <w:pPr>
        <w:pStyle w:val="MCQList12"/>
      </w:pPr>
      <w:r>
        <w:t>24.</w:t>
      </w:r>
      <w:r>
        <w:tab/>
        <w:t>The Role of Expectations in Monetary Policy</w:t>
      </w:r>
    </w:p>
    <w:p w:rsidR="006D6DC9" w:rsidRDefault="006D6DC9" w:rsidP="006D6DC9">
      <w:pPr>
        <w:pStyle w:val="MCQList12"/>
      </w:pPr>
      <w:r>
        <w:t>25.</w:t>
      </w:r>
      <w:r>
        <w:tab/>
        <w:t>Transmission Mechanisms of Monetary Policy</w:t>
      </w:r>
    </w:p>
    <w:p w:rsidR="00193976" w:rsidRDefault="006D6DC9" w:rsidP="006D6DC9">
      <w:r>
        <w:rPr>
          <w:i/>
          <w:iCs/>
        </w:rPr>
        <w:lastRenderedPageBreak/>
        <w:t>A one-quarter course would probably only include one or two of the optional chapters unless some of the chapters on central banking and the conduct of monetary p</w:t>
      </w:r>
    </w:p>
    <w:sectPr w:rsidR="00193976" w:rsidSect="0019397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5C2" w:rsidRDefault="006D6DC9" w:rsidP="003735C2">
    <w:pPr>
      <w:pStyle w:val="Footer"/>
      <w:pBdr>
        <w:top w:val="single" w:sz="4" w:space="1" w:color="auto"/>
      </w:pBdr>
      <w:tabs>
        <w:tab w:val="clear" w:pos="8640"/>
        <w:tab w:val="right" w:pos="9432"/>
      </w:tabs>
      <w:spacing w:before="360"/>
      <w:jc w:val="center"/>
      <w:rPr>
        <w:rFonts w:ascii="Times" w:hAnsi="Times"/>
        <w:b/>
        <w:bCs/>
        <w:sz w:val="18"/>
      </w:rPr>
    </w:pPr>
    <w:r>
      <w:rPr>
        <w:rFonts w:ascii="Times" w:hAnsi="Times"/>
        <w:sz w:val="18"/>
      </w:rPr>
      <w:t>Copyright © 2013 Pearson Addison-Wesley.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5C2" w:rsidRPr="004E5996" w:rsidRDefault="006D6DC9" w:rsidP="003735C2">
    <w:pPr>
      <w:pStyle w:val="Footer"/>
      <w:pBdr>
        <w:top w:val="single" w:sz="4" w:space="1" w:color="auto"/>
      </w:pBdr>
      <w:spacing w:before="360"/>
      <w:jc w:val="center"/>
      <w:rPr>
        <w:rFonts w:ascii="Times" w:hAnsi="Times"/>
      </w:rPr>
    </w:pPr>
    <w:r>
      <w:rPr>
        <w:rFonts w:ascii="Times" w:hAnsi="Times"/>
        <w:sz w:val="18"/>
      </w:rPr>
      <w:t>Copyright © 2013 Pearson Addison-Wesley. All rights reserved.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120" w:rsidRPr="004E5996" w:rsidRDefault="006D6DC9">
    <w:pPr>
      <w:pStyle w:val="Footer"/>
      <w:rPr>
        <w:rFonts w:ascii="Times" w:hAnsi="Times"/>
        <w:sz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120" w:rsidRDefault="006D6DC9" w:rsidP="00997B23">
    <w:pPr>
      <w:pStyle w:val="Footer"/>
      <w:pBdr>
        <w:top w:val="single" w:sz="4" w:space="1" w:color="auto"/>
      </w:pBdr>
      <w:tabs>
        <w:tab w:val="clear" w:pos="4320"/>
        <w:tab w:val="clear" w:pos="8640"/>
        <w:tab w:val="center" w:pos="4608"/>
        <w:tab w:val="right" w:pos="9432"/>
      </w:tabs>
      <w:spacing w:before="360"/>
      <w:rPr>
        <w:rFonts w:ascii="Times" w:hAnsi="Times"/>
        <w:b/>
        <w:bCs/>
        <w:sz w:val="18"/>
      </w:rPr>
    </w:pPr>
    <w:r>
      <w:rPr>
        <w:rFonts w:ascii="Times" w:hAnsi="Times"/>
        <w:sz w:val="18"/>
      </w:rPr>
      <w:tab/>
      <w:t>Copyright © 2013 Pearson Add</w:t>
    </w:r>
    <w:r>
      <w:rPr>
        <w:rFonts w:ascii="Times" w:hAnsi="Times"/>
        <w:sz w:val="18"/>
      </w:rPr>
      <w:t>ison-Wesley. All rights reserved.</w:t>
    </w:r>
    <w:r>
      <w:rPr>
        <w:rFonts w:ascii="Times" w:hAnsi="Times"/>
        <w:sz w:val="18"/>
      </w:rPr>
      <w:tab/>
    </w:r>
    <w:r>
      <w:rPr>
        <w:rStyle w:val="PageNumber"/>
        <w:rFonts w:ascii="Times" w:hAnsi="Times"/>
        <w:sz w:val="18"/>
      </w:rPr>
      <w:fldChar w:fldCharType="begin"/>
    </w:r>
    <w:r>
      <w:rPr>
        <w:rStyle w:val="PageNumber"/>
        <w:rFonts w:ascii="Times" w:hAnsi="Times"/>
        <w:sz w:val="18"/>
      </w:rPr>
      <w:instrText xml:space="preserve"> PAGE </w:instrText>
    </w:r>
    <w:r>
      <w:rPr>
        <w:rStyle w:val="PageNumber"/>
        <w:rFonts w:ascii="Times" w:hAnsi="Times"/>
        <w:sz w:val="18"/>
      </w:rPr>
      <w:fldChar w:fldCharType="separate"/>
    </w:r>
    <w:r>
      <w:rPr>
        <w:rStyle w:val="PageNumber"/>
        <w:rFonts w:ascii="Times" w:hAnsi="Times"/>
        <w:noProof/>
        <w:sz w:val="18"/>
      </w:rPr>
      <w:t>3</w:t>
    </w:r>
    <w:r>
      <w:rPr>
        <w:rStyle w:val="PageNumber"/>
        <w:rFonts w:ascii="Times" w:hAnsi="Times"/>
        <w:sz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120" w:rsidRDefault="006D6DC9">
    <w:pPr>
      <w:pStyle w:val="RectoHeader"/>
    </w:pPr>
    <w:r>
      <w:t>Part One: How to Use the Instructor’s Manual and Other Textbook Ancillaries</w:t>
    </w:r>
    <w:r>
      <w:t> </w:t>
    </w:r>
    <w:r>
      <w:t>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6D6DC9"/>
    <w:rsid w:val="00193976"/>
    <w:rsid w:val="006D6DC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DC9"/>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uiPriority w:val="9"/>
    <w:semiHidden/>
    <w:unhideWhenUsed/>
    <w:qFormat/>
    <w:rsid w:val="006D6DC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Heading3"/>
    <w:rsid w:val="006D6DC9"/>
    <w:pPr>
      <w:keepLines w:val="0"/>
      <w:spacing w:before="240" w:after="100"/>
      <w:ind w:right="504"/>
      <w:outlineLvl w:val="0"/>
    </w:pPr>
    <w:rPr>
      <w:rFonts w:ascii="Helvetica" w:eastAsia="Times New Roman" w:hAnsi="Helvetica" w:cs="Times New Roman"/>
      <w:color w:val="auto"/>
      <w:sz w:val="24"/>
      <w:szCs w:val="22"/>
    </w:rPr>
  </w:style>
  <w:style w:type="paragraph" w:customStyle="1" w:styleId="T1">
    <w:name w:val="T1"/>
    <w:basedOn w:val="Normal"/>
    <w:rsid w:val="006D6DC9"/>
    <w:pPr>
      <w:keepNext/>
    </w:pPr>
    <w:rPr>
      <w:rFonts w:ascii="Times" w:hAnsi="Times"/>
      <w:sz w:val="22"/>
    </w:rPr>
  </w:style>
  <w:style w:type="paragraph" w:customStyle="1" w:styleId="awTB01questionHead">
    <w:name w:val="awTB_01_questionHead"/>
    <w:basedOn w:val="Normal"/>
    <w:rsid w:val="006D6DC9"/>
    <w:pPr>
      <w:keepNext/>
      <w:keepLines/>
      <w:spacing w:before="360" w:after="200"/>
      <w:outlineLvl w:val="1"/>
    </w:pPr>
    <w:rPr>
      <w:rFonts w:ascii="Helvetica" w:hAnsi="Helvetica"/>
      <w:b/>
      <w:sz w:val="28"/>
    </w:rPr>
  </w:style>
  <w:style w:type="paragraph" w:styleId="Header">
    <w:name w:val="header"/>
    <w:basedOn w:val="Normal"/>
    <w:link w:val="HeaderChar"/>
    <w:semiHidden/>
    <w:rsid w:val="006D6DC9"/>
    <w:pPr>
      <w:tabs>
        <w:tab w:val="center" w:pos="4320"/>
        <w:tab w:val="right" w:pos="8640"/>
      </w:tabs>
    </w:pPr>
  </w:style>
  <w:style w:type="character" w:customStyle="1" w:styleId="HeaderChar">
    <w:name w:val="Header Char"/>
    <w:basedOn w:val="DefaultParagraphFont"/>
    <w:link w:val="Header"/>
    <w:semiHidden/>
    <w:rsid w:val="006D6DC9"/>
    <w:rPr>
      <w:rFonts w:ascii="Times New Roman" w:eastAsia="Times New Roman" w:hAnsi="Times New Roman" w:cs="Times New Roman"/>
      <w:sz w:val="20"/>
      <w:szCs w:val="20"/>
    </w:rPr>
  </w:style>
  <w:style w:type="paragraph" w:styleId="Footer">
    <w:name w:val="footer"/>
    <w:basedOn w:val="Normal"/>
    <w:link w:val="FooterChar"/>
    <w:semiHidden/>
    <w:rsid w:val="006D6DC9"/>
    <w:pPr>
      <w:tabs>
        <w:tab w:val="center" w:pos="4320"/>
        <w:tab w:val="right" w:pos="8640"/>
      </w:tabs>
    </w:pPr>
  </w:style>
  <w:style w:type="character" w:customStyle="1" w:styleId="FooterChar">
    <w:name w:val="Footer Char"/>
    <w:basedOn w:val="DefaultParagraphFont"/>
    <w:link w:val="Footer"/>
    <w:semiHidden/>
    <w:rsid w:val="006D6DC9"/>
    <w:rPr>
      <w:rFonts w:ascii="Times New Roman" w:eastAsia="Times New Roman" w:hAnsi="Times New Roman" w:cs="Times New Roman"/>
      <w:sz w:val="20"/>
      <w:szCs w:val="20"/>
    </w:rPr>
  </w:style>
  <w:style w:type="character" w:styleId="PageNumber">
    <w:name w:val="page number"/>
    <w:basedOn w:val="DefaultParagraphFont"/>
    <w:semiHidden/>
    <w:rsid w:val="006D6DC9"/>
  </w:style>
  <w:style w:type="paragraph" w:customStyle="1" w:styleId="RectoHeader">
    <w:name w:val="Recto Header"/>
    <w:rsid w:val="006D6DC9"/>
    <w:pPr>
      <w:pBdr>
        <w:bottom w:val="single" w:sz="4" w:space="2" w:color="auto"/>
      </w:pBdr>
      <w:spacing w:after="360" w:line="240" w:lineRule="auto"/>
      <w:jc w:val="right"/>
    </w:pPr>
    <w:rPr>
      <w:rFonts w:ascii="Times" w:eastAsia="Times" w:hAnsi="Times" w:cs="Times New Roman"/>
      <w:noProof/>
      <w:sz w:val="18"/>
      <w:szCs w:val="20"/>
    </w:rPr>
  </w:style>
  <w:style w:type="paragraph" w:customStyle="1" w:styleId="T2">
    <w:name w:val="T2"/>
    <w:basedOn w:val="T1"/>
    <w:rsid w:val="006D6DC9"/>
    <w:pPr>
      <w:spacing w:before="200"/>
    </w:pPr>
  </w:style>
  <w:style w:type="paragraph" w:customStyle="1" w:styleId="awTB01questionHead1">
    <w:name w:val="awTB_01_questionHead1"/>
    <w:basedOn w:val="awTB01questionHead"/>
    <w:rsid w:val="006D6DC9"/>
    <w:pPr>
      <w:spacing w:before="0" w:after="600"/>
      <w:jc w:val="center"/>
    </w:pPr>
    <w:rPr>
      <w:rFonts w:ascii="Times" w:hAnsi="Times"/>
      <w:sz w:val="40"/>
    </w:rPr>
  </w:style>
  <w:style w:type="paragraph" w:customStyle="1" w:styleId="MCQList12">
    <w:name w:val="MCQ_List1(2)"/>
    <w:basedOn w:val="Normal"/>
    <w:rsid w:val="006D6DC9"/>
    <w:pPr>
      <w:keepNext/>
      <w:keepLines/>
      <w:tabs>
        <w:tab w:val="left" w:pos="1521"/>
      </w:tabs>
      <w:spacing w:after="40"/>
      <w:ind w:left="657" w:hanging="90"/>
      <w:outlineLvl w:val="2"/>
    </w:pPr>
    <w:rPr>
      <w:rFonts w:ascii="Times" w:hAnsi="Times"/>
      <w:snapToGrid w:val="0"/>
      <w:sz w:val="22"/>
    </w:rPr>
  </w:style>
  <w:style w:type="paragraph" w:customStyle="1" w:styleId="MCQList11">
    <w:name w:val="MCQ_List1(1)"/>
    <w:basedOn w:val="Normal"/>
    <w:rsid w:val="006D6DC9"/>
    <w:pPr>
      <w:keepNext/>
      <w:keepLines/>
      <w:tabs>
        <w:tab w:val="left" w:pos="1521"/>
      </w:tabs>
      <w:spacing w:before="200" w:after="40"/>
      <w:ind w:left="675" w:hanging="99"/>
      <w:outlineLvl w:val="2"/>
    </w:pPr>
    <w:rPr>
      <w:rFonts w:ascii="Times" w:hAnsi="Times"/>
      <w:snapToGrid w:val="0"/>
      <w:sz w:val="22"/>
    </w:rPr>
  </w:style>
  <w:style w:type="paragraph" w:customStyle="1" w:styleId="MCQList11-1">
    <w:name w:val="MCQ_List1(1-1)"/>
    <w:basedOn w:val="Normal"/>
    <w:rsid w:val="006D6DC9"/>
    <w:pPr>
      <w:keepNext/>
      <w:keepLines/>
      <w:tabs>
        <w:tab w:val="left" w:pos="1521"/>
      </w:tabs>
      <w:spacing w:after="40"/>
      <w:ind w:left="675" w:hanging="99"/>
      <w:outlineLvl w:val="2"/>
    </w:pPr>
    <w:rPr>
      <w:rFonts w:ascii="Times" w:hAnsi="Times"/>
      <w:snapToGrid w:val="0"/>
      <w:sz w:val="22"/>
    </w:rPr>
  </w:style>
  <w:style w:type="paragraph" w:customStyle="1" w:styleId="H4">
    <w:name w:val="H4"/>
    <w:basedOn w:val="T1"/>
    <w:rsid w:val="006D6DC9"/>
    <w:pPr>
      <w:tabs>
        <w:tab w:val="left" w:pos="1521"/>
      </w:tabs>
    </w:pPr>
    <w:rPr>
      <w:b/>
      <w:bCs/>
    </w:rPr>
  </w:style>
  <w:style w:type="character" w:customStyle="1" w:styleId="Heading3Char">
    <w:name w:val="Heading 3 Char"/>
    <w:basedOn w:val="DefaultParagraphFont"/>
    <w:link w:val="Heading3"/>
    <w:uiPriority w:val="9"/>
    <w:semiHidden/>
    <w:rsid w:val="006D6DC9"/>
    <w:rPr>
      <w:rFonts w:asciiTheme="majorHAnsi" w:eastAsiaTheme="majorEastAsia" w:hAnsiTheme="majorHAnsi" w:cstheme="majorBidi"/>
      <w:b/>
      <w:bCs/>
      <w:color w:val="4F81BD" w:themeColor="accent1"/>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542</Words>
  <Characters>3096</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2017-11-14T10:55:00Z</dcterms:created>
  <dcterms:modified xsi:type="dcterms:W3CDTF">2017-11-14T10:55:00Z</dcterms:modified>
</cp:coreProperties>
</file>