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3EDAE" w14:textId="77777777" w:rsidR="00360F88" w:rsidRPr="00CC7FE5" w:rsidRDefault="007A5C00" w:rsidP="007A5C00">
      <w:pPr>
        <w:jc w:val="center"/>
        <w:rPr>
          <w:rFonts w:ascii="Times" w:hAnsi="Times"/>
          <w:sz w:val="28"/>
          <w:szCs w:val="28"/>
        </w:rPr>
      </w:pPr>
      <w:r w:rsidRPr="00CC7FE5">
        <w:rPr>
          <w:rFonts w:ascii="Times" w:hAnsi="Times"/>
          <w:sz w:val="28"/>
          <w:szCs w:val="28"/>
        </w:rPr>
        <w:t>CASE STUDY – The Demise of Blockbuster</w:t>
      </w:r>
    </w:p>
    <w:p w14:paraId="1171E4EF" w14:textId="77777777" w:rsidR="007A5C00" w:rsidRPr="00494631" w:rsidRDefault="007A5C00" w:rsidP="007A5C00">
      <w:pPr>
        <w:pStyle w:val="Heading2"/>
        <w:rPr>
          <w:rFonts w:ascii="Times" w:hAnsi="Times"/>
          <w:i w:val="0"/>
        </w:rPr>
      </w:pPr>
      <w:r w:rsidRPr="00494631">
        <w:rPr>
          <w:rFonts w:ascii="Times" w:hAnsi="Times"/>
          <w:i w:val="0"/>
        </w:rPr>
        <w:t>Teaching Objectives</w:t>
      </w:r>
    </w:p>
    <w:p w14:paraId="59686B8E" w14:textId="77777777" w:rsidR="007A5C00" w:rsidRPr="00CC7FE5" w:rsidRDefault="007A5C00" w:rsidP="007A5C00">
      <w:pPr>
        <w:rPr>
          <w:rFonts w:ascii="Times" w:hAnsi="Times"/>
        </w:rPr>
      </w:pPr>
      <w:r w:rsidRPr="00CC7FE5">
        <w:rPr>
          <w:rFonts w:ascii="Times" w:hAnsi="Times"/>
        </w:rPr>
        <w:t xml:space="preserve">The objective of this case is to discuss how different business models and supply chain structures impact the financials of the firms in the DVD rental business. In particular, the goal is to convey that the characteristics of the movie (recent/big hit or old/eclectic) affect whether it is best rented from a centralized or decentralized model. By comparing the financials of Blockbuster, Netflix and Redbox, we identify the strengths and weaknesses of each model. </w:t>
      </w:r>
    </w:p>
    <w:p w14:paraId="15F31269" w14:textId="13CB9932" w:rsidR="007A5C00" w:rsidRPr="00494631" w:rsidRDefault="00494631" w:rsidP="007A5C00">
      <w:pPr>
        <w:pStyle w:val="Heading2"/>
        <w:rPr>
          <w:rFonts w:ascii="Times" w:hAnsi="Times"/>
          <w:i w:val="0"/>
        </w:rPr>
      </w:pPr>
      <w:r>
        <w:rPr>
          <w:rFonts w:ascii="Times" w:hAnsi="Times"/>
          <w:i w:val="0"/>
        </w:rPr>
        <w:t>Study Questions</w:t>
      </w:r>
    </w:p>
    <w:p w14:paraId="2916083C" w14:textId="77777777" w:rsidR="007A5C00" w:rsidRPr="00CC7FE5" w:rsidRDefault="007A5C00" w:rsidP="007A5C00">
      <w:pPr>
        <w:pStyle w:val="ListParagraph"/>
        <w:numPr>
          <w:ilvl w:val="0"/>
          <w:numId w:val="1"/>
        </w:numPr>
        <w:rPr>
          <w:rFonts w:ascii="Times" w:hAnsi="Times"/>
          <w:i/>
        </w:rPr>
      </w:pPr>
      <w:r w:rsidRPr="00CC7FE5">
        <w:rPr>
          <w:rFonts w:ascii="Times" w:hAnsi="Times"/>
          <w:i/>
        </w:rPr>
        <w:t>In what ways did Blockbuster achieve better strategic fit than local stores?</w:t>
      </w:r>
    </w:p>
    <w:p w14:paraId="4D46A137" w14:textId="77777777" w:rsidR="007A5C00" w:rsidRPr="00CC7FE5" w:rsidRDefault="007A5C00" w:rsidP="007A5C00">
      <w:pPr>
        <w:rPr>
          <w:rFonts w:ascii="Times" w:hAnsi="Times"/>
        </w:rPr>
      </w:pPr>
      <w:r w:rsidRPr="00CC7FE5">
        <w:rPr>
          <w:rFonts w:ascii="Times" w:hAnsi="Times"/>
        </w:rPr>
        <w:t xml:space="preserve">Blockbuster started with the business model of having </w:t>
      </w:r>
      <w:r w:rsidR="00A05484" w:rsidRPr="00CC7FE5">
        <w:rPr>
          <w:rFonts w:ascii="Times" w:hAnsi="Times"/>
        </w:rPr>
        <w:t xml:space="preserve">large </w:t>
      </w:r>
      <w:r w:rsidRPr="00CC7FE5">
        <w:rPr>
          <w:rFonts w:ascii="Times" w:hAnsi="Times"/>
        </w:rPr>
        <w:t xml:space="preserve">physical storefronts in high-traffic neighborhood locations. By building stores that were larger than existing mom-and-pop rental stores, Blockbuster offered customers a wider choice of movies and better </w:t>
      </w:r>
      <w:r w:rsidR="00A05484" w:rsidRPr="00CC7FE5">
        <w:rPr>
          <w:rFonts w:ascii="Times" w:hAnsi="Times"/>
        </w:rPr>
        <w:t xml:space="preserve">product </w:t>
      </w:r>
      <w:r w:rsidRPr="00CC7FE5">
        <w:rPr>
          <w:rFonts w:ascii="Times" w:hAnsi="Times"/>
        </w:rPr>
        <w:t>availability. Movies were typically rented out for</w:t>
      </w:r>
      <w:r w:rsidR="00A05484" w:rsidRPr="00CC7FE5">
        <w:rPr>
          <w:rFonts w:ascii="Times" w:hAnsi="Times"/>
        </w:rPr>
        <w:t xml:space="preserve"> about</w:t>
      </w:r>
      <w:r w:rsidRPr="00CC7FE5">
        <w:rPr>
          <w:rFonts w:ascii="Times" w:hAnsi="Times"/>
        </w:rPr>
        <w:t xml:space="preserve"> $5 for five nights. </w:t>
      </w:r>
    </w:p>
    <w:p w14:paraId="29A39665" w14:textId="77777777" w:rsidR="007A5C00" w:rsidRPr="00CC7FE5" w:rsidRDefault="007A5C00" w:rsidP="007A5C00">
      <w:pPr>
        <w:rPr>
          <w:rFonts w:ascii="Times" w:hAnsi="Times"/>
        </w:rPr>
      </w:pPr>
      <w:r w:rsidRPr="00CC7FE5">
        <w:rPr>
          <w:rFonts w:ascii="Times" w:hAnsi="Times"/>
        </w:rPr>
        <w:t>Given that mom-and-pop stores were much smaller, even though they carried only a few hundred titles, it was very difficult for them to provide availability of these movies given the high cost of inventory (VHS tapes sold for $60-$80 each</w:t>
      </w:r>
      <w:r w:rsidR="00A05484" w:rsidRPr="00CC7FE5">
        <w:rPr>
          <w:rFonts w:ascii="Times" w:hAnsi="Times"/>
        </w:rPr>
        <w:t xml:space="preserve"> at that time</w:t>
      </w:r>
      <w:r w:rsidRPr="00CC7FE5">
        <w:rPr>
          <w:rFonts w:ascii="Times" w:hAnsi="Times"/>
        </w:rPr>
        <w:t xml:space="preserve">) and space. Blockbuster built larger stores that aggregated demand across a wider area than a typical mom-and-pop store. The larger store allowed Blockbuster to provide greater variety and better availability at lower cost than mom-and-pop stores. The aggregation of inventory and </w:t>
      </w:r>
      <w:r w:rsidR="00A05484" w:rsidRPr="00CC7FE5">
        <w:rPr>
          <w:rFonts w:ascii="Times" w:hAnsi="Times"/>
        </w:rPr>
        <w:t xml:space="preserve">physical </w:t>
      </w:r>
      <w:r w:rsidRPr="00CC7FE5">
        <w:rPr>
          <w:rFonts w:ascii="Times" w:hAnsi="Times"/>
        </w:rPr>
        <w:t>space allowed Blockbuster to fill demand from its customers better than mom-and-pop stores.</w:t>
      </w:r>
    </w:p>
    <w:p w14:paraId="03CD6B40" w14:textId="77777777" w:rsidR="007A5C00" w:rsidRPr="00CC7FE5" w:rsidRDefault="007A5C00" w:rsidP="007A5C00">
      <w:pPr>
        <w:pStyle w:val="ListParagraph"/>
        <w:numPr>
          <w:ilvl w:val="0"/>
          <w:numId w:val="1"/>
        </w:numPr>
        <w:rPr>
          <w:rFonts w:ascii="Times" w:hAnsi="Times"/>
          <w:i/>
        </w:rPr>
      </w:pPr>
      <w:r w:rsidRPr="00CC7FE5">
        <w:rPr>
          <w:rFonts w:ascii="Times" w:hAnsi="Times"/>
          <w:i/>
        </w:rPr>
        <w:t>How did Netflix and Redbox achieve better strategic fit than Blockbuster?</w:t>
      </w:r>
    </w:p>
    <w:p w14:paraId="7A981F75" w14:textId="77777777" w:rsidR="00CA7B44" w:rsidRPr="00CC7FE5" w:rsidRDefault="007A5C00" w:rsidP="007A5C00">
      <w:pPr>
        <w:rPr>
          <w:rFonts w:ascii="Times" w:hAnsi="Times"/>
        </w:rPr>
      </w:pPr>
      <w:r w:rsidRPr="00CC7FE5">
        <w:rPr>
          <w:rFonts w:ascii="Times" w:hAnsi="Times"/>
        </w:rPr>
        <w:t>Netflix and Redbox achieved better strategic fit than Blockbuster by targeting different segments of movie</w:t>
      </w:r>
      <w:r w:rsidR="00A05484" w:rsidRPr="00CC7FE5">
        <w:rPr>
          <w:rFonts w:ascii="Times" w:hAnsi="Times"/>
        </w:rPr>
        <w:t xml:space="preserve"> rental</w:t>
      </w:r>
      <w:r w:rsidRPr="00CC7FE5">
        <w:rPr>
          <w:rFonts w:ascii="Times" w:hAnsi="Times"/>
        </w:rPr>
        <w:t xml:space="preserve">s. </w:t>
      </w:r>
      <w:r w:rsidR="00716DD3" w:rsidRPr="00CC7FE5">
        <w:rPr>
          <w:rFonts w:ascii="Times" w:hAnsi="Times"/>
        </w:rPr>
        <w:t xml:space="preserve">Whereas Blockbuster attempted to provide its customers both new releases as well as older movies, </w:t>
      </w:r>
      <w:r w:rsidR="00A05484" w:rsidRPr="00CC7FE5">
        <w:rPr>
          <w:rFonts w:ascii="Times" w:hAnsi="Times"/>
        </w:rPr>
        <w:t xml:space="preserve">Netflix and Redbox divided the market among themselves. </w:t>
      </w:r>
      <w:r w:rsidR="00716DD3" w:rsidRPr="00CC7FE5">
        <w:rPr>
          <w:rFonts w:ascii="Times" w:hAnsi="Times"/>
        </w:rPr>
        <w:t>Netflix primarily targeted</w:t>
      </w:r>
      <w:r w:rsidR="00A05484" w:rsidRPr="00CC7FE5">
        <w:rPr>
          <w:rFonts w:ascii="Times" w:hAnsi="Times"/>
        </w:rPr>
        <w:t xml:space="preserve"> a wide variety of</w:t>
      </w:r>
      <w:r w:rsidR="00716DD3" w:rsidRPr="00CC7FE5">
        <w:rPr>
          <w:rFonts w:ascii="Times" w:hAnsi="Times"/>
        </w:rPr>
        <w:t xml:space="preserve"> older movies while Redbox primarily targeted </w:t>
      </w:r>
      <w:r w:rsidR="00A05484" w:rsidRPr="00CC7FE5">
        <w:rPr>
          <w:rFonts w:ascii="Times" w:hAnsi="Times"/>
        </w:rPr>
        <w:t xml:space="preserve">a much smaller variety of </w:t>
      </w:r>
      <w:r w:rsidR="00716DD3" w:rsidRPr="00CC7FE5">
        <w:rPr>
          <w:rFonts w:ascii="Times" w:hAnsi="Times"/>
        </w:rPr>
        <w:t>new releases.</w:t>
      </w:r>
      <w:r w:rsidR="005E4084" w:rsidRPr="00CC7FE5">
        <w:rPr>
          <w:rFonts w:ascii="Times" w:hAnsi="Times"/>
        </w:rPr>
        <w:t xml:space="preserve"> Blockbuster’s attempt</w:t>
      </w:r>
      <w:r w:rsidR="00CA7B44" w:rsidRPr="00CC7FE5">
        <w:rPr>
          <w:rFonts w:ascii="Times" w:hAnsi="Times"/>
        </w:rPr>
        <w:t xml:space="preserve"> to serve both markets increased its cost for both new releases and older movies. In contrast, Netflix was able to provide variety to its customers more effectively (100,000 titles rather than 5,000 at Blockbuster) and at lower cost through its aggregate model of shipping from DCs. Redbox was able to provide new releases at lower cost</w:t>
      </w:r>
      <w:r w:rsidR="00A05484" w:rsidRPr="00CC7FE5">
        <w:rPr>
          <w:rFonts w:ascii="Times" w:hAnsi="Times"/>
        </w:rPr>
        <w:t xml:space="preserve"> than Blockbuster</w:t>
      </w:r>
      <w:r w:rsidR="00CA7B44" w:rsidRPr="00CC7FE5">
        <w:rPr>
          <w:rFonts w:ascii="Times" w:hAnsi="Times"/>
        </w:rPr>
        <w:t xml:space="preserve"> by using vending machines. </w:t>
      </w:r>
    </w:p>
    <w:p w14:paraId="38FBC7F6" w14:textId="77777777" w:rsidR="00CA7B44" w:rsidRPr="00CC7FE5" w:rsidRDefault="00CA7B44" w:rsidP="00CA7B44">
      <w:pPr>
        <w:rPr>
          <w:rFonts w:ascii="Times" w:hAnsi="Times"/>
        </w:rPr>
      </w:pPr>
      <w:r w:rsidRPr="00CC7FE5">
        <w:rPr>
          <w:rFonts w:ascii="Times" w:hAnsi="Times"/>
        </w:rPr>
        <w:t>Whereas a Blockbuster store carried around 3,000 titles that were not recent releases, this represented a very small fraction of old movies. In contrast, Netflix carried a very wide variety of titles but in centralized distribution centers. Netflix had about sixty distribution centers</w:t>
      </w:r>
      <w:r w:rsidR="00A05484" w:rsidRPr="00CC7FE5">
        <w:rPr>
          <w:rFonts w:ascii="Times" w:hAnsi="Times"/>
        </w:rPr>
        <w:t xml:space="preserve"> (at its peak of mailing DVDs)</w:t>
      </w:r>
      <w:r w:rsidRPr="00CC7FE5">
        <w:rPr>
          <w:rFonts w:ascii="Times" w:hAnsi="Times"/>
        </w:rPr>
        <w:t>, where DVDs were processed and shipped all over the United States. Thus, Netflix had much lower facility costs than Blockbuster while providing a much higher variety of movies.</w:t>
      </w:r>
    </w:p>
    <w:p w14:paraId="2E32F6F8" w14:textId="77777777" w:rsidR="00CA7B44" w:rsidRPr="00CC7FE5" w:rsidRDefault="00CA7B44" w:rsidP="00CA7B44">
      <w:pPr>
        <w:rPr>
          <w:rFonts w:ascii="Times" w:hAnsi="Times"/>
        </w:rPr>
      </w:pPr>
      <w:r w:rsidRPr="00CC7FE5">
        <w:rPr>
          <w:rFonts w:ascii="Times" w:hAnsi="Times"/>
        </w:rPr>
        <w:t xml:space="preserve">Only a single wall at a Blockbuster store was dedicated to new releases (which constituted a significant fraction of the rentals). </w:t>
      </w:r>
      <w:r w:rsidR="00A05484" w:rsidRPr="00CC7FE5">
        <w:rPr>
          <w:rFonts w:ascii="Times" w:hAnsi="Times"/>
        </w:rPr>
        <w:t xml:space="preserve">Given that Blockbuster was paying for the whole store, this increased the facility </w:t>
      </w:r>
      <w:r w:rsidR="00A05484" w:rsidRPr="00CC7FE5">
        <w:rPr>
          <w:rFonts w:ascii="Times" w:hAnsi="Times"/>
        </w:rPr>
        <w:lastRenderedPageBreak/>
        <w:t xml:space="preserve">cost per rental because most of the space was used by other movies that rented at a much lower rate than the new releases. </w:t>
      </w:r>
      <w:r w:rsidRPr="00CC7FE5">
        <w:rPr>
          <w:rFonts w:ascii="Times" w:hAnsi="Times"/>
        </w:rPr>
        <w:t>Redbox, in contrast, used very low cost vending machines (with low fixed installation costs of $15,000) in high-trafficked locations such as grocery stores, supermarkets, and malls to rent the same recent releases (much lower PP&amp;E/SG&amp;A) compared to Blockbuster.</w:t>
      </w:r>
      <w:r w:rsidR="00A05484" w:rsidRPr="00CC7FE5">
        <w:rPr>
          <w:rFonts w:ascii="Times" w:hAnsi="Times"/>
        </w:rPr>
        <w:t xml:space="preserve"> As a result, the facility cost per rental was much lower at Redbox compared to Blockbuster.</w:t>
      </w:r>
    </w:p>
    <w:p w14:paraId="74395052" w14:textId="77777777" w:rsidR="00CA7B44" w:rsidRPr="00CC7FE5" w:rsidRDefault="00CA7B44" w:rsidP="00CA7B44">
      <w:pPr>
        <w:rPr>
          <w:rFonts w:ascii="Times" w:hAnsi="Times"/>
        </w:rPr>
      </w:pPr>
      <w:r w:rsidRPr="00CC7FE5">
        <w:rPr>
          <w:rFonts w:ascii="Times" w:hAnsi="Times"/>
        </w:rPr>
        <w:t>Inventories at Blockbuster were high (relative to revenues) because of the decentralized nature of its operations. In particular, carrying many low-volume rental titles (after all, there were perhaps only about thirty movies at any given time that were renting in large quantities) exacerbated the inventory requirements. This increased the cost of both inventory and space for Blockbuster. Netflix carried a wider selection of titles in its distribution centers, but was able to carry lower inventories because of aggregation</w:t>
      </w:r>
      <w:r w:rsidR="00A05484" w:rsidRPr="00CC7FE5">
        <w:rPr>
          <w:rFonts w:ascii="Times" w:hAnsi="Times"/>
        </w:rPr>
        <w:t xml:space="preserve"> at its DCs</w:t>
      </w:r>
      <w:r w:rsidRPr="00CC7FE5">
        <w:rPr>
          <w:rFonts w:ascii="Times" w:hAnsi="Times"/>
        </w:rPr>
        <w:t>. Redbox stocked newly released DVDs, which rented in large volumes with relatively predictable demand. As a result, there was much less inventory sitting around. Each Redbox kiosk carried close to 630 DVDs comprising 200 of the newest movie titles. Each DVD was rented out on average fifteen times, after which it was sold to the customer.</w:t>
      </w:r>
    </w:p>
    <w:p w14:paraId="55CB5DE3" w14:textId="77777777" w:rsidR="00CA7B44" w:rsidRPr="00CC7FE5" w:rsidRDefault="00CA7B44" w:rsidP="00CA7B44">
      <w:pPr>
        <w:rPr>
          <w:rFonts w:ascii="Times" w:hAnsi="Times"/>
        </w:rPr>
      </w:pPr>
      <w:r w:rsidRPr="00CC7FE5">
        <w:rPr>
          <w:rFonts w:ascii="Times" w:hAnsi="Times"/>
        </w:rPr>
        <w:t xml:space="preserve">Netflix </w:t>
      </w:r>
      <w:r w:rsidR="007379BE" w:rsidRPr="00CC7FE5">
        <w:rPr>
          <w:rFonts w:ascii="Times" w:hAnsi="Times"/>
        </w:rPr>
        <w:t>used a centralized supply chain structure</w:t>
      </w:r>
      <w:r w:rsidRPr="00CC7FE5">
        <w:rPr>
          <w:rFonts w:ascii="Times" w:hAnsi="Times"/>
        </w:rPr>
        <w:t xml:space="preserve"> to provide variety in the form of old movies (high uncertainty) to its customers at low cost</w:t>
      </w:r>
      <w:r w:rsidR="007379BE" w:rsidRPr="00CC7FE5">
        <w:rPr>
          <w:rFonts w:ascii="Times" w:hAnsi="Times"/>
        </w:rPr>
        <w:t>.</w:t>
      </w:r>
      <w:r w:rsidRPr="00CC7FE5">
        <w:rPr>
          <w:rFonts w:ascii="Times" w:hAnsi="Times"/>
        </w:rPr>
        <w:t xml:space="preserve"> Redbox </w:t>
      </w:r>
      <w:r w:rsidR="007379BE" w:rsidRPr="00CC7FE5">
        <w:rPr>
          <w:rFonts w:ascii="Times" w:hAnsi="Times"/>
        </w:rPr>
        <w:t>used a decentralized supply chain structure</w:t>
      </w:r>
      <w:r w:rsidRPr="00CC7FE5">
        <w:rPr>
          <w:rFonts w:ascii="Times" w:hAnsi="Times"/>
        </w:rPr>
        <w:t xml:space="preserve"> to provide predictability in the form of new releases (low uncertainty) </w:t>
      </w:r>
      <w:r w:rsidR="007379BE" w:rsidRPr="00CC7FE5">
        <w:rPr>
          <w:rFonts w:ascii="Times" w:hAnsi="Times"/>
        </w:rPr>
        <w:t>close to its</w:t>
      </w:r>
      <w:r w:rsidRPr="00CC7FE5">
        <w:rPr>
          <w:rFonts w:ascii="Times" w:hAnsi="Times"/>
        </w:rPr>
        <w:t xml:space="preserve"> customers at low cost.</w:t>
      </w:r>
      <w:r w:rsidR="007379BE" w:rsidRPr="00CC7FE5">
        <w:rPr>
          <w:rFonts w:ascii="Times" w:hAnsi="Times"/>
        </w:rPr>
        <w:t xml:space="preserve"> A combination of the two focused supply chains performed significantly better than the Blockbuster supply chain as illustrated in a comparison of the financials in Exhibits 1 and 2 (in the absence of Redbox financials, we use Coinstar financials).</w:t>
      </w:r>
    </w:p>
    <w:p w14:paraId="75DDB04B" w14:textId="77777777" w:rsidR="007379BE" w:rsidRPr="00CC7FE5" w:rsidRDefault="007379BE">
      <w:pPr>
        <w:rPr>
          <w:rFonts w:ascii="Times" w:eastAsia="Times" w:hAnsi="Times" w:cs="Arial"/>
          <w:b/>
          <w:noProof/>
          <w:sz w:val="24"/>
          <w:szCs w:val="32"/>
        </w:rPr>
      </w:pPr>
      <w:r w:rsidRPr="00CC7FE5">
        <w:rPr>
          <w:rFonts w:ascii="Times" w:hAnsi="Times" w:cs="Arial"/>
        </w:rPr>
        <w:br w:type="page"/>
      </w:r>
    </w:p>
    <w:p w14:paraId="54C11D7D" w14:textId="77777777" w:rsidR="007379BE" w:rsidRPr="00CC7FE5" w:rsidRDefault="007379BE" w:rsidP="007379BE">
      <w:pPr>
        <w:pStyle w:val="ExhibitTitle"/>
        <w:rPr>
          <w:rFonts w:ascii="Times" w:hAnsi="Times" w:cs="Arial"/>
          <w:b w:val="0"/>
        </w:rPr>
      </w:pPr>
      <w:r w:rsidRPr="00CC7FE5">
        <w:rPr>
          <w:rFonts w:ascii="Times" w:hAnsi="Times" w:cs="Arial"/>
        </w:rPr>
        <w:lastRenderedPageBreak/>
        <w:t xml:space="preserve">Exhibit 1: </w:t>
      </w:r>
      <w:r w:rsidRPr="00CC7FE5">
        <w:rPr>
          <w:rFonts w:ascii="Times" w:hAnsi="Times" w:cs="Arial"/>
          <w:b w:val="0"/>
        </w:rPr>
        <w:t>Company Comparisons (%)</w:t>
      </w:r>
    </w:p>
    <w:tbl>
      <w:tblPr>
        <w:tblW w:w="8640" w:type="dxa"/>
        <w:tblInd w:w="124" w:type="dxa"/>
        <w:tblBorders>
          <w:bottom w:val="single" w:sz="4" w:space="0" w:color="auto"/>
        </w:tblBorders>
        <w:tblCellMar>
          <w:top w:w="29" w:type="dxa"/>
          <w:left w:w="115" w:type="dxa"/>
          <w:bottom w:w="29" w:type="dxa"/>
          <w:right w:w="115" w:type="dxa"/>
        </w:tblCellMar>
        <w:tblLook w:val="04A0" w:firstRow="1" w:lastRow="0" w:firstColumn="1" w:lastColumn="0" w:noHBand="0" w:noVBand="1"/>
      </w:tblPr>
      <w:tblGrid>
        <w:gridCol w:w="3358"/>
        <w:gridCol w:w="1760"/>
        <w:gridCol w:w="1761"/>
        <w:gridCol w:w="1761"/>
      </w:tblGrid>
      <w:tr w:rsidR="007379BE" w:rsidRPr="00CC7FE5" w14:paraId="18E98023" w14:textId="77777777" w:rsidTr="00A706F4">
        <w:tc>
          <w:tcPr>
            <w:tcW w:w="3358" w:type="dxa"/>
            <w:tcBorders>
              <w:top w:val="single" w:sz="4" w:space="0" w:color="auto"/>
              <w:bottom w:val="single" w:sz="4" w:space="0" w:color="auto"/>
            </w:tcBorders>
            <w:shd w:val="clear" w:color="auto" w:fill="auto"/>
            <w:tcMar>
              <w:top w:w="29" w:type="dxa"/>
              <w:left w:w="115" w:type="dxa"/>
              <w:bottom w:w="29" w:type="dxa"/>
              <w:right w:w="115" w:type="dxa"/>
            </w:tcMar>
            <w:vAlign w:val="center"/>
          </w:tcPr>
          <w:p w14:paraId="0F952226"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Metric</w:t>
            </w:r>
          </w:p>
        </w:tc>
        <w:tc>
          <w:tcPr>
            <w:tcW w:w="1760" w:type="dxa"/>
            <w:tcBorders>
              <w:top w:val="single" w:sz="4" w:space="0" w:color="auto"/>
              <w:bottom w:val="single" w:sz="4" w:space="0" w:color="auto"/>
            </w:tcBorders>
            <w:shd w:val="clear" w:color="auto" w:fill="auto"/>
            <w:tcMar>
              <w:top w:w="29" w:type="dxa"/>
              <w:left w:w="115" w:type="dxa"/>
              <w:bottom w:w="29" w:type="dxa"/>
              <w:right w:w="115" w:type="dxa"/>
            </w:tcMar>
            <w:vAlign w:val="center"/>
          </w:tcPr>
          <w:p w14:paraId="674BC832" w14:textId="77777777" w:rsidR="007379BE" w:rsidRPr="00CC7FE5" w:rsidRDefault="007379BE" w:rsidP="00A706F4">
            <w:pPr>
              <w:pStyle w:val="TableBodyText"/>
              <w:jc w:val="center"/>
              <w:rPr>
                <w:rFonts w:ascii="Times" w:hAnsi="Times" w:cs="Arial"/>
                <w:color w:val="000000"/>
                <w:lang w:bidi="en-US"/>
              </w:rPr>
            </w:pPr>
            <w:r w:rsidRPr="00CC7FE5">
              <w:rPr>
                <w:rFonts w:ascii="Times" w:hAnsi="Times" w:cs="Arial"/>
                <w:color w:val="000000"/>
                <w:lang w:bidi="en-US"/>
              </w:rPr>
              <w:t>Blockbuster</w:t>
            </w:r>
          </w:p>
        </w:tc>
        <w:tc>
          <w:tcPr>
            <w:tcW w:w="1761" w:type="dxa"/>
            <w:tcBorders>
              <w:top w:val="single" w:sz="4" w:space="0" w:color="auto"/>
              <w:bottom w:val="single" w:sz="4" w:space="0" w:color="auto"/>
            </w:tcBorders>
            <w:shd w:val="clear" w:color="auto" w:fill="auto"/>
            <w:tcMar>
              <w:top w:w="29" w:type="dxa"/>
              <w:left w:w="115" w:type="dxa"/>
              <w:bottom w:w="29" w:type="dxa"/>
              <w:right w:w="115" w:type="dxa"/>
            </w:tcMar>
            <w:vAlign w:val="center"/>
          </w:tcPr>
          <w:p w14:paraId="614C0F70" w14:textId="77777777" w:rsidR="007379BE" w:rsidRPr="00CC7FE5" w:rsidRDefault="007379BE" w:rsidP="00A706F4">
            <w:pPr>
              <w:pStyle w:val="TableBodyText"/>
              <w:jc w:val="center"/>
              <w:rPr>
                <w:rFonts w:ascii="Times" w:hAnsi="Times" w:cs="Arial"/>
                <w:color w:val="000000"/>
                <w:lang w:bidi="en-US"/>
              </w:rPr>
            </w:pPr>
            <w:r w:rsidRPr="00CC7FE5">
              <w:rPr>
                <w:rFonts w:ascii="Times" w:hAnsi="Times" w:cs="Arial"/>
                <w:color w:val="000000"/>
                <w:lang w:bidi="en-US"/>
              </w:rPr>
              <w:t>Netflix</w:t>
            </w:r>
          </w:p>
        </w:tc>
        <w:tc>
          <w:tcPr>
            <w:tcW w:w="1761" w:type="dxa"/>
            <w:tcBorders>
              <w:top w:val="single" w:sz="4" w:space="0" w:color="auto"/>
              <w:bottom w:val="single" w:sz="4" w:space="0" w:color="auto"/>
            </w:tcBorders>
            <w:shd w:val="clear" w:color="auto" w:fill="auto"/>
            <w:tcMar>
              <w:top w:w="29" w:type="dxa"/>
              <w:left w:w="115" w:type="dxa"/>
              <w:bottom w:w="29" w:type="dxa"/>
              <w:right w:w="115" w:type="dxa"/>
            </w:tcMar>
            <w:vAlign w:val="center"/>
          </w:tcPr>
          <w:p w14:paraId="3DF91D65" w14:textId="77777777" w:rsidR="007379BE" w:rsidRPr="00CC7FE5" w:rsidRDefault="007379BE" w:rsidP="00A706F4">
            <w:pPr>
              <w:pStyle w:val="TableBodyText"/>
              <w:jc w:val="center"/>
              <w:rPr>
                <w:rFonts w:ascii="Times" w:hAnsi="Times" w:cs="Arial"/>
                <w:color w:val="000000"/>
                <w:lang w:bidi="en-US"/>
              </w:rPr>
            </w:pPr>
            <w:r w:rsidRPr="00CC7FE5">
              <w:rPr>
                <w:rFonts w:ascii="Times" w:hAnsi="Times" w:cs="Arial"/>
                <w:color w:val="000000"/>
                <w:lang w:bidi="en-US"/>
              </w:rPr>
              <w:t>Coinstar</w:t>
            </w:r>
          </w:p>
        </w:tc>
      </w:tr>
      <w:tr w:rsidR="007379BE" w:rsidRPr="00CC7FE5" w14:paraId="5949A2A5" w14:textId="77777777" w:rsidTr="00A706F4">
        <w:tc>
          <w:tcPr>
            <w:tcW w:w="3358" w:type="dxa"/>
            <w:shd w:val="clear" w:color="auto" w:fill="auto"/>
            <w:tcMar>
              <w:top w:w="29" w:type="dxa"/>
              <w:left w:w="115" w:type="dxa"/>
              <w:bottom w:w="29" w:type="dxa"/>
              <w:right w:w="115" w:type="dxa"/>
            </w:tcMar>
            <w:vAlign w:val="center"/>
          </w:tcPr>
          <w:p w14:paraId="50E58D64"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SG&amp;A (% of revenue)</w:t>
            </w:r>
          </w:p>
        </w:tc>
        <w:tc>
          <w:tcPr>
            <w:tcW w:w="1760" w:type="dxa"/>
            <w:shd w:val="clear" w:color="auto" w:fill="auto"/>
            <w:tcMar>
              <w:top w:w="29" w:type="dxa"/>
              <w:left w:w="115" w:type="dxa"/>
              <w:bottom w:w="29" w:type="dxa"/>
              <w:right w:w="115" w:type="dxa"/>
            </w:tcMar>
            <w:vAlign w:val="center"/>
          </w:tcPr>
          <w:p w14:paraId="116E0488"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49.50</w:t>
            </w:r>
          </w:p>
        </w:tc>
        <w:tc>
          <w:tcPr>
            <w:tcW w:w="1761" w:type="dxa"/>
            <w:shd w:val="clear" w:color="auto" w:fill="auto"/>
            <w:tcMar>
              <w:top w:w="29" w:type="dxa"/>
              <w:left w:w="115" w:type="dxa"/>
              <w:bottom w:w="29" w:type="dxa"/>
              <w:right w:w="115" w:type="dxa"/>
            </w:tcMar>
            <w:vAlign w:val="center"/>
          </w:tcPr>
          <w:p w14:paraId="44B088A8"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24.16</w:t>
            </w:r>
          </w:p>
        </w:tc>
        <w:tc>
          <w:tcPr>
            <w:tcW w:w="1761" w:type="dxa"/>
            <w:shd w:val="clear" w:color="auto" w:fill="auto"/>
            <w:tcMar>
              <w:top w:w="29" w:type="dxa"/>
              <w:left w:w="115" w:type="dxa"/>
              <w:bottom w:w="29" w:type="dxa"/>
              <w:right w:w="115" w:type="dxa"/>
            </w:tcMar>
            <w:vAlign w:val="center"/>
          </w:tcPr>
          <w:p w14:paraId="43777829"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13.60</w:t>
            </w:r>
          </w:p>
        </w:tc>
      </w:tr>
      <w:tr w:rsidR="007379BE" w:rsidRPr="00CC7FE5" w14:paraId="387A1F2D" w14:textId="77777777" w:rsidTr="00A706F4">
        <w:tc>
          <w:tcPr>
            <w:tcW w:w="3358" w:type="dxa"/>
            <w:shd w:val="clear" w:color="auto" w:fill="auto"/>
            <w:tcMar>
              <w:top w:w="29" w:type="dxa"/>
              <w:left w:w="115" w:type="dxa"/>
              <w:bottom w:w="29" w:type="dxa"/>
              <w:right w:w="115" w:type="dxa"/>
            </w:tcMar>
            <w:vAlign w:val="center"/>
          </w:tcPr>
          <w:p w14:paraId="78F18767"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COGS (% of revenue)</w:t>
            </w:r>
          </w:p>
        </w:tc>
        <w:tc>
          <w:tcPr>
            <w:tcW w:w="1760" w:type="dxa"/>
            <w:shd w:val="clear" w:color="auto" w:fill="auto"/>
            <w:tcMar>
              <w:top w:w="29" w:type="dxa"/>
              <w:left w:w="115" w:type="dxa"/>
              <w:bottom w:w="29" w:type="dxa"/>
              <w:right w:w="115" w:type="dxa"/>
            </w:tcMar>
            <w:vAlign w:val="center"/>
          </w:tcPr>
          <w:p w14:paraId="64E47719"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46.30</w:t>
            </w:r>
          </w:p>
        </w:tc>
        <w:tc>
          <w:tcPr>
            <w:tcW w:w="1761" w:type="dxa"/>
            <w:shd w:val="clear" w:color="auto" w:fill="auto"/>
            <w:tcMar>
              <w:top w:w="29" w:type="dxa"/>
              <w:left w:w="115" w:type="dxa"/>
              <w:bottom w:w="29" w:type="dxa"/>
              <w:right w:w="115" w:type="dxa"/>
            </w:tcMar>
            <w:vAlign w:val="center"/>
          </w:tcPr>
          <w:p w14:paraId="2BB9DD83"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49.20</w:t>
            </w:r>
          </w:p>
        </w:tc>
        <w:tc>
          <w:tcPr>
            <w:tcW w:w="1761" w:type="dxa"/>
            <w:shd w:val="clear" w:color="auto" w:fill="auto"/>
            <w:tcMar>
              <w:top w:w="29" w:type="dxa"/>
              <w:left w:w="115" w:type="dxa"/>
              <w:bottom w:w="29" w:type="dxa"/>
              <w:right w:w="115" w:type="dxa"/>
            </w:tcMar>
            <w:vAlign w:val="center"/>
          </w:tcPr>
          <w:p w14:paraId="1473C5DB"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69.60</w:t>
            </w:r>
          </w:p>
        </w:tc>
      </w:tr>
      <w:tr w:rsidR="007379BE" w:rsidRPr="00CC7FE5" w14:paraId="127099BE" w14:textId="77777777" w:rsidTr="00A706F4">
        <w:tc>
          <w:tcPr>
            <w:tcW w:w="3358" w:type="dxa"/>
            <w:shd w:val="clear" w:color="auto" w:fill="auto"/>
            <w:tcMar>
              <w:top w:w="29" w:type="dxa"/>
              <w:left w:w="115" w:type="dxa"/>
              <w:bottom w:w="29" w:type="dxa"/>
              <w:right w:w="115" w:type="dxa"/>
            </w:tcMar>
            <w:vAlign w:val="center"/>
          </w:tcPr>
          <w:p w14:paraId="400AD92A"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Inventories (% of revenue)</w:t>
            </w:r>
          </w:p>
        </w:tc>
        <w:tc>
          <w:tcPr>
            <w:tcW w:w="1760" w:type="dxa"/>
            <w:shd w:val="clear" w:color="auto" w:fill="auto"/>
            <w:tcMar>
              <w:top w:w="29" w:type="dxa"/>
              <w:left w:w="115" w:type="dxa"/>
              <w:bottom w:w="29" w:type="dxa"/>
              <w:right w:w="115" w:type="dxa"/>
            </w:tcMar>
            <w:vAlign w:val="center"/>
          </w:tcPr>
          <w:p w14:paraId="7B39F599"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15.73</w:t>
            </w:r>
          </w:p>
        </w:tc>
        <w:tc>
          <w:tcPr>
            <w:tcW w:w="1761" w:type="dxa"/>
            <w:shd w:val="clear" w:color="auto" w:fill="auto"/>
            <w:tcMar>
              <w:top w:w="29" w:type="dxa"/>
              <w:left w:w="115" w:type="dxa"/>
              <w:bottom w:w="29" w:type="dxa"/>
              <w:right w:w="115" w:type="dxa"/>
            </w:tcMar>
            <w:vAlign w:val="center"/>
          </w:tcPr>
          <w:p w14:paraId="798FEA83"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2.21</w:t>
            </w:r>
          </w:p>
        </w:tc>
        <w:tc>
          <w:tcPr>
            <w:tcW w:w="1761" w:type="dxa"/>
            <w:shd w:val="clear" w:color="auto" w:fill="auto"/>
            <w:tcMar>
              <w:top w:w="29" w:type="dxa"/>
              <w:left w:w="115" w:type="dxa"/>
              <w:bottom w:w="29" w:type="dxa"/>
              <w:right w:w="115" w:type="dxa"/>
            </w:tcMar>
            <w:vAlign w:val="center"/>
          </w:tcPr>
          <w:p w14:paraId="21248E37"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9.12</w:t>
            </w:r>
          </w:p>
        </w:tc>
      </w:tr>
      <w:tr w:rsidR="007379BE" w:rsidRPr="00CC7FE5" w14:paraId="5B010D7E" w14:textId="77777777" w:rsidTr="00A706F4">
        <w:tc>
          <w:tcPr>
            <w:tcW w:w="3358" w:type="dxa"/>
            <w:shd w:val="clear" w:color="auto" w:fill="auto"/>
            <w:tcMar>
              <w:top w:w="29" w:type="dxa"/>
              <w:left w:w="115" w:type="dxa"/>
              <w:bottom w:w="29" w:type="dxa"/>
              <w:right w:w="115" w:type="dxa"/>
            </w:tcMar>
            <w:vAlign w:val="center"/>
          </w:tcPr>
          <w:p w14:paraId="04C6C5A0"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Inventories (% of COGS)</w:t>
            </w:r>
          </w:p>
        </w:tc>
        <w:tc>
          <w:tcPr>
            <w:tcW w:w="1760" w:type="dxa"/>
            <w:shd w:val="clear" w:color="auto" w:fill="auto"/>
            <w:tcMar>
              <w:top w:w="29" w:type="dxa"/>
              <w:left w:w="115" w:type="dxa"/>
              <w:bottom w:w="29" w:type="dxa"/>
              <w:right w:w="115" w:type="dxa"/>
            </w:tcMar>
            <w:vAlign w:val="center"/>
          </w:tcPr>
          <w:p w14:paraId="5898360F"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33.98</w:t>
            </w:r>
          </w:p>
        </w:tc>
        <w:tc>
          <w:tcPr>
            <w:tcW w:w="1761" w:type="dxa"/>
            <w:shd w:val="clear" w:color="auto" w:fill="auto"/>
            <w:tcMar>
              <w:top w:w="29" w:type="dxa"/>
              <w:left w:w="115" w:type="dxa"/>
              <w:bottom w:w="29" w:type="dxa"/>
              <w:right w:w="115" w:type="dxa"/>
            </w:tcMar>
            <w:vAlign w:val="center"/>
          </w:tcPr>
          <w:p w14:paraId="625EBA5C"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4.50</w:t>
            </w:r>
          </w:p>
        </w:tc>
        <w:tc>
          <w:tcPr>
            <w:tcW w:w="1761" w:type="dxa"/>
            <w:shd w:val="clear" w:color="auto" w:fill="auto"/>
            <w:tcMar>
              <w:top w:w="29" w:type="dxa"/>
              <w:left w:w="115" w:type="dxa"/>
              <w:bottom w:w="29" w:type="dxa"/>
              <w:right w:w="115" w:type="dxa"/>
            </w:tcMar>
            <w:vAlign w:val="center"/>
          </w:tcPr>
          <w:p w14:paraId="67203E40"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13.10</w:t>
            </w:r>
          </w:p>
        </w:tc>
      </w:tr>
      <w:tr w:rsidR="007379BE" w:rsidRPr="00CC7FE5" w14:paraId="2AC7BE7A" w14:textId="77777777" w:rsidTr="00A706F4">
        <w:tc>
          <w:tcPr>
            <w:tcW w:w="3358" w:type="dxa"/>
            <w:shd w:val="clear" w:color="auto" w:fill="auto"/>
            <w:tcMar>
              <w:top w:w="29" w:type="dxa"/>
              <w:left w:w="115" w:type="dxa"/>
              <w:bottom w:w="29" w:type="dxa"/>
              <w:right w:w="115" w:type="dxa"/>
            </w:tcMar>
            <w:vAlign w:val="center"/>
          </w:tcPr>
          <w:p w14:paraId="526F785C"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PP&amp;E (% of revenue)</w:t>
            </w:r>
          </w:p>
        </w:tc>
        <w:tc>
          <w:tcPr>
            <w:tcW w:w="1760" w:type="dxa"/>
            <w:shd w:val="clear" w:color="auto" w:fill="auto"/>
            <w:tcMar>
              <w:top w:w="29" w:type="dxa"/>
              <w:left w:w="115" w:type="dxa"/>
              <w:bottom w:w="29" w:type="dxa"/>
              <w:right w:w="115" w:type="dxa"/>
            </w:tcMar>
            <w:vAlign w:val="center"/>
          </w:tcPr>
          <w:p w14:paraId="1969363E"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58.47</w:t>
            </w:r>
          </w:p>
        </w:tc>
        <w:tc>
          <w:tcPr>
            <w:tcW w:w="1761" w:type="dxa"/>
            <w:shd w:val="clear" w:color="auto" w:fill="auto"/>
            <w:tcMar>
              <w:top w:w="29" w:type="dxa"/>
              <w:left w:w="115" w:type="dxa"/>
              <w:bottom w:w="29" w:type="dxa"/>
              <w:right w:w="115" w:type="dxa"/>
            </w:tcMar>
            <w:vAlign w:val="center"/>
          </w:tcPr>
          <w:p w14:paraId="7452B3AC"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15.92</w:t>
            </w:r>
          </w:p>
        </w:tc>
        <w:tc>
          <w:tcPr>
            <w:tcW w:w="1761" w:type="dxa"/>
            <w:shd w:val="clear" w:color="auto" w:fill="auto"/>
            <w:tcMar>
              <w:top w:w="29" w:type="dxa"/>
              <w:left w:w="115" w:type="dxa"/>
              <w:bottom w:w="29" w:type="dxa"/>
              <w:right w:w="115" w:type="dxa"/>
            </w:tcMar>
            <w:vAlign w:val="center"/>
          </w:tcPr>
          <w:p w14:paraId="23C3D4CF"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66.57</w:t>
            </w:r>
          </w:p>
        </w:tc>
      </w:tr>
      <w:tr w:rsidR="007379BE" w:rsidRPr="00CC7FE5" w14:paraId="1B00F2EC" w14:textId="77777777" w:rsidTr="00A706F4">
        <w:tc>
          <w:tcPr>
            <w:tcW w:w="3358" w:type="dxa"/>
            <w:shd w:val="clear" w:color="auto" w:fill="auto"/>
            <w:tcMar>
              <w:top w:w="29" w:type="dxa"/>
              <w:left w:w="115" w:type="dxa"/>
              <w:bottom w:w="29" w:type="dxa"/>
              <w:right w:w="115" w:type="dxa"/>
            </w:tcMar>
            <w:vAlign w:val="center"/>
          </w:tcPr>
          <w:p w14:paraId="4BE3076A"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PP&amp;E with depreciation (</w:t>
            </w:r>
            <w:bookmarkStart w:id="0" w:name="_GoBack"/>
            <w:bookmarkEnd w:id="0"/>
            <w:r w:rsidRPr="00CC7FE5">
              <w:rPr>
                <w:rFonts w:ascii="Times" w:hAnsi="Times" w:cs="Arial"/>
                <w:color w:val="000000"/>
                <w:lang w:bidi="en-US"/>
              </w:rPr>
              <w:t>% of revenue)</w:t>
            </w:r>
          </w:p>
        </w:tc>
        <w:tc>
          <w:tcPr>
            <w:tcW w:w="1760" w:type="dxa"/>
            <w:shd w:val="clear" w:color="auto" w:fill="auto"/>
            <w:tcMar>
              <w:top w:w="29" w:type="dxa"/>
              <w:left w:w="115" w:type="dxa"/>
              <w:bottom w:w="29" w:type="dxa"/>
              <w:right w:w="115" w:type="dxa"/>
            </w:tcMar>
            <w:vAlign w:val="center"/>
          </w:tcPr>
          <w:p w14:paraId="5FA05715"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6.13</w:t>
            </w:r>
          </w:p>
        </w:tc>
        <w:tc>
          <w:tcPr>
            <w:tcW w:w="1761" w:type="dxa"/>
            <w:shd w:val="clear" w:color="auto" w:fill="auto"/>
            <w:tcMar>
              <w:top w:w="29" w:type="dxa"/>
              <w:left w:w="115" w:type="dxa"/>
              <w:bottom w:w="29" w:type="dxa"/>
              <w:right w:w="115" w:type="dxa"/>
            </w:tcMar>
            <w:vAlign w:val="center"/>
          </w:tcPr>
          <w:p w14:paraId="253997D9"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7.90</w:t>
            </w:r>
          </w:p>
        </w:tc>
        <w:tc>
          <w:tcPr>
            <w:tcW w:w="1761" w:type="dxa"/>
            <w:shd w:val="clear" w:color="auto" w:fill="auto"/>
            <w:tcMar>
              <w:top w:w="29" w:type="dxa"/>
              <w:left w:w="115" w:type="dxa"/>
              <w:bottom w:w="29" w:type="dxa"/>
              <w:right w:w="115" w:type="dxa"/>
            </w:tcMar>
            <w:vAlign w:val="center"/>
          </w:tcPr>
          <w:p w14:paraId="2D8323CB"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35.08</w:t>
            </w:r>
          </w:p>
        </w:tc>
      </w:tr>
      <w:tr w:rsidR="007379BE" w:rsidRPr="00CC7FE5" w14:paraId="5F303CF0" w14:textId="77777777" w:rsidTr="00A706F4">
        <w:tc>
          <w:tcPr>
            <w:tcW w:w="3358" w:type="dxa"/>
            <w:shd w:val="clear" w:color="auto" w:fill="auto"/>
            <w:tcMar>
              <w:top w:w="29" w:type="dxa"/>
              <w:left w:w="115" w:type="dxa"/>
              <w:bottom w:w="29" w:type="dxa"/>
              <w:right w:w="115" w:type="dxa"/>
            </w:tcMar>
            <w:vAlign w:val="center"/>
          </w:tcPr>
          <w:p w14:paraId="0E7408DA" w14:textId="77777777" w:rsidR="007379BE" w:rsidRPr="00CC7FE5" w:rsidRDefault="007379BE" w:rsidP="00A706F4">
            <w:pPr>
              <w:pStyle w:val="TableBodyText"/>
              <w:ind w:left="-101"/>
              <w:rPr>
                <w:rFonts w:ascii="Times" w:hAnsi="Times" w:cs="Arial"/>
                <w:color w:val="000000"/>
                <w:lang w:bidi="en-US"/>
              </w:rPr>
            </w:pPr>
            <w:r w:rsidRPr="00CC7FE5">
              <w:rPr>
                <w:rFonts w:ascii="Times" w:hAnsi="Times" w:cs="Arial"/>
                <w:color w:val="000000"/>
                <w:lang w:bidi="en-US"/>
              </w:rPr>
              <w:t>Liabilities (% of revenue)</w:t>
            </w:r>
          </w:p>
        </w:tc>
        <w:tc>
          <w:tcPr>
            <w:tcW w:w="1760" w:type="dxa"/>
            <w:shd w:val="clear" w:color="auto" w:fill="auto"/>
            <w:tcMar>
              <w:top w:w="29" w:type="dxa"/>
              <w:left w:w="115" w:type="dxa"/>
              <w:bottom w:w="29" w:type="dxa"/>
              <w:right w:w="115" w:type="dxa"/>
            </w:tcMar>
            <w:vAlign w:val="center"/>
          </w:tcPr>
          <w:p w14:paraId="148440C1" w14:textId="77777777" w:rsidR="007379BE" w:rsidRPr="00CC7FE5" w:rsidRDefault="007379BE" w:rsidP="00A706F4">
            <w:pPr>
              <w:pStyle w:val="TableBodyText"/>
              <w:ind w:right="602"/>
              <w:jc w:val="right"/>
              <w:rPr>
                <w:rFonts w:ascii="Times" w:hAnsi="Times" w:cs="Arial"/>
                <w:color w:val="000000"/>
                <w:lang w:bidi="en-US"/>
              </w:rPr>
            </w:pPr>
            <w:r w:rsidRPr="00CC7FE5">
              <w:rPr>
                <w:rFonts w:ascii="Times" w:hAnsi="Times" w:cs="Arial"/>
                <w:color w:val="000000"/>
                <w:lang w:bidi="en-US"/>
              </w:rPr>
              <w:t>45.64</w:t>
            </w:r>
          </w:p>
        </w:tc>
        <w:tc>
          <w:tcPr>
            <w:tcW w:w="1761" w:type="dxa"/>
            <w:shd w:val="clear" w:color="auto" w:fill="auto"/>
            <w:tcMar>
              <w:top w:w="29" w:type="dxa"/>
              <w:left w:w="115" w:type="dxa"/>
              <w:bottom w:w="29" w:type="dxa"/>
              <w:right w:w="115" w:type="dxa"/>
            </w:tcMar>
            <w:vAlign w:val="center"/>
          </w:tcPr>
          <w:p w14:paraId="30B4F060" w14:textId="77777777" w:rsidR="007379BE" w:rsidRPr="00CC7FE5" w:rsidRDefault="007379BE" w:rsidP="00A706F4">
            <w:pPr>
              <w:pStyle w:val="TableBodyText"/>
              <w:ind w:right="545"/>
              <w:jc w:val="right"/>
              <w:rPr>
                <w:rFonts w:ascii="Times" w:hAnsi="Times" w:cs="Arial"/>
                <w:color w:val="000000"/>
                <w:lang w:bidi="en-US"/>
              </w:rPr>
            </w:pPr>
            <w:r w:rsidRPr="00CC7FE5">
              <w:rPr>
                <w:rFonts w:ascii="Times" w:hAnsi="Times" w:cs="Arial"/>
                <w:color w:val="000000"/>
                <w:lang w:bidi="en-US"/>
              </w:rPr>
              <w:t>28.80</w:t>
            </w:r>
          </w:p>
        </w:tc>
        <w:tc>
          <w:tcPr>
            <w:tcW w:w="1761" w:type="dxa"/>
            <w:shd w:val="clear" w:color="auto" w:fill="auto"/>
            <w:tcMar>
              <w:top w:w="29" w:type="dxa"/>
              <w:left w:w="115" w:type="dxa"/>
              <w:bottom w:w="29" w:type="dxa"/>
              <w:right w:w="115" w:type="dxa"/>
            </w:tcMar>
            <w:vAlign w:val="center"/>
          </w:tcPr>
          <w:p w14:paraId="2876588F" w14:textId="77777777" w:rsidR="007379BE" w:rsidRPr="00CC7FE5" w:rsidRDefault="007379BE" w:rsidP="00A706F4">
            <w:pPr>
              <w:pStyle w:val="TableBodyText"/>
              <w:ind w:right="587"/>
              <w:jc w:val="right"/>
              <w:rPr>
                <w:rFonts w:ascii="Times" w:hAnsi="Times" w:cs="Arial"/>
                <w:color w:val="000000"/>
                <w:lang w:bidi="en-US"/>
              </w:rPr>
            </w:pPr>
            <w:r w:rsidRPr="00CC7FE5">
              <w:rPr>
                <w:rFonts w:ascii="Times" w:hAnsi="Times" w:cs="Arial"/>
                <w:color w:val="000000"/>
                <w:lang w:bidi="en-US"/>
              </w:rPr>
              <w:t>71.05</w:t>
            </w:r>
          </w:p>
        </w:tc>
      </w:tr>
    </w:tbl>
    <w:p w14:paraId="589EBEF8" w14:textId="77777777" w:rsidR="007379BE" w:rsidRPr="00CC7FE5" w:rsidRDefault="007379BE" w:rsidP="007379BE">
      <w:pPr>
        <w:rPr>
          <w:rFonts w:ascii="Times" w:hAnsi="Times"/>
        </w:rPr>
      </w:pPr>
    </w:p>
    <w:p w14:paraId="5D110CA1" w14:textId="77777777" w:rsidR="007379BE" w:rsidRPr="00CC7FE5" w:rsidRDefault="007379BE" w:rsidP="007379BE">
      <w:pPr>
        <w:pStyle w:val="ExhibitTitle"/>
        <w:spacing w:after="240"/>
        <w:rPr>
          <w:rFonts w:ascii="Times" w:hAnsi="Times" w:cs="Arial"/>
          <w:b w:val="0"/>
        </w:rPr>
      </w:pPr>
      <w:r w:rsidRPr="00CC7FE5">
        <w:rPr>
          <w:rFonts w:ascii="Times" w:hAnsi="Times" w:cs="Arial"/>
        </w:rPr>
        <w:t xml:space="preserve">Exhibit 2: </w:t>
      </w:r>
      <w:r w:rsidRPr="00CC7FE5">
        <w:rPr>
          <w:rFonts w:ascii="Times" w:hAnsi="Times" w:cs="Arial"/>
          <w:b w:val="0"/>
        </w:rPr>
        <w:t>Blockbuster</w:t>
      </w:r>
    </w:p>
    <w:p w14:paraId="721E62D6" w14:textId="77777777" w:rsidR="007379BE" w:rsidRPr="00CC7FE5" w:rsidRDefault="007379BE" w:rsidP="007379BE">
      <w:pPr>
        <w:rPr>
          <w:rFonts w:ascii="Times" w:hAnsi="Times"/>
        </w:rPr>
      </w:pPr>
      <w:r w:rsidRPr="00CC7FE5">
        <w:rPr>
          <w:rFonts w:ascii="Times" w:hAnsi="Times"/>
        </w:rPr>
        <w:t>Both Netflix and Redbox operated with lower costs because they were not burdened with the heavy fees of leasing thousands of retail locations as Blockbuster was. The table below shows that the general and administrative expenses for Blockbuster were 47.48 percent and 44.13 percent of revenues in 2009 and 2008, respectively.</w:t>
      </w:r>
      <w:r w:rsidRPr="00CC7FE5">
        <w:rPr>
          <w:rFonts w:ascii="Times" w:hAnsi="Times"/>
          <w:vertAlign w:val="superscript"/>
        </w:rPr>
        <w:footnoteReference w:id="1"/>
      </w:r>
      <w:r w:rsidRPr="00CC7FE5">
        <w:rPr>
          <w:rFonts w:ascii="Times" w:hAnsi="Times"/>
        </w:rPr>
        <w:t xml:space="preserve"> The figures for Netflix for the same period were 3.1 percent and 3.6 percent, respectively.</w:t>
      </w:r>
      <w:r w:rsidRPr="00CC7FE5">
        <w:rPr>
          <w:rFonts w:ascii="Times" w:hAnsi="Times"/>
          <w:vertAlign w:val="superscript"/>
        </w:rPr>
        <w:footnoteReference w:id="2"/>
      </w:r>
    </w:p>
    <w:tbl>
      <w:tblPr>
        <w:tblW w:w="8640" w:type="dxa"/>
        <w:tblInd w:w="142" w:type="dxa"/>
        <w:tblBorders>
          <w:bottom w:val="single" w:sz="4" w:space="0" w:color="auto"/>
        </w:tblBorders>
        <w:tblCellMar>
          <w:top w:w="29" w:type="dxa"/>
          <w:left w:w="115" w:type="dxa"/>
          <w:bottom w:w="29" w:type="dxa"/>
          <w:right w:w="115" w:type="dxa"/>
        </w:tblCellMar>
        <w:tblLook w:val="04A0" w:firstRow="1" w:lastRow="0" w:firstColumn="1" w:lastColumn="0" w:noHBand="0" w:noVBand="1"/>
      </w:tblPr>
      <w:tblGrid>
        <w:gridCol w:w="5003"/>
        <w:gridCol w:w="1818"/>
        <w:gridCol w:w="1819"/>
      </w:tblGrid>
      <w:tr w:rsidR="007379BE" w:rsidRPr="00CC7FE5" w14:paraId="023DBCFA" w14:textId="77777777" w:rsidTr="00A706F4">
        <w:tc>
          <w:tcPr>
            <w:tcW w:w="5003" w:type="dxa"/>
            <w:tcBorders>
              <w:top w:val="single" w:sz="4" w:space="0" w:color="auto"/>
              <w:bottom w:val="nil"/>
            </w:tcBorders>
            <w:shd w:val="clear" w:color="auto" w:fill="auto"/>
            <w:tcMar>
              <w:top w:w="29" w:type="dxa"/>
              <w:left w:w="115" w:type="dxa"/>
              <w:bottom w:w="29" w:type="dxa"/>
              <w:right w:w="115" w:type="dxa"/>
            </w:tcMar>
            <w:vAlign w:val="center"/>
          </w:tcPr>
          <w:p w14:paraId="12C2B098" w14:textId="77777777" w:rsidR="007379BE" w:rsidRPr="00CC7FE5" w:rsidRDefault="007379BE" w:rsidP="00A706F4">
            <w:pPr>
              <w:pStyle w:val="TableBodyText"/>
              <w:ind w:left="-101"/>
              <w:rPr>
                <w:rFonts w:ascii="Times" w:hAnsi="Times" w:cs="Arial"/>
                <w:color w:val="000000"/>
              </w:rPr>
            </w:pPr>
          </w:p>
        </w:tc>
        <w:tc>
          <w:tcPr>
            <w:tcW w:w="3637" w:type="dxa"/>
            <w:gridSpan w:val="2"/>
            <w:tcBorders>
              <w:top w:val="single" w:sz="4" w:space="0" w:color="auto"/>
              <w:bottom w:val="single" w:sz="4" w:space="0" w:color="auto"/>
            </w:tcBorders>
            <w:shd w:val="clear" w:color="auto" w:fill="auto"/>
            <w:tcMar>
              <w:top w:w="29" w:type="dxa"/>
              <w:left w:w="115" w:type="dxa"/>
              <w:bottom w:w="29" w:type="dxa"/>
              <w:right w:w="115" w:type="dxa"/>
            </w:tcMar>
            <w:vAlign w:val="center"/>
          </w:tcPr>
          <w:p w14:paraId="51FD6CA4" w14:textId="77777777" w:rsidR="007379BE" w:rsidRPr="00CC7FE5" w:rsidRDefault="007379BE" w:rsidP="00A706F4">
            <w:pPr>
              <w:pStyle w:val="TableBodyText"/>
              <w:jc w:val="center"/>
              <w:rPr>
                <w:rFonts w:ascii="Times" w:hAnsi="Times" w:cs="Arial"/>
                <w:color w:val="000000"/>
              </w:rPr>
            </w:pPr>
            <w:r w:rsidRPr="00CC7FE5">
              <w:rPr>
                <w:rFonts w:ascii="Times" w:hAnsi="Times" w:cs="Arial"/>
                <w:color w:val="000000"/>
              </w:rPr>
              <w:t>Fiscal Year Ended</w:t>
            </w:r>
          </w:p>
        </w:tc>
      </w:tr>
      <w:tr w:rsidR="007379BE" w:rsidRPr="00CC7FE5" w14:paraId="7423B7A8" w14:textId="77777777" w:rsidTr="00A706F4">
        <w:trPr>
          <w:cantSplit/>
        </w:trPr>
        <w:tc>
          <w:tcPr>
            <w:tcW w:w="5003" w:type="dxa"/>
            <w:tcBorders>
              <w:top w:val="nil"/>
              <w:bottom w:val="single" w:sz="4" w:space="0" w:color="auto"/>
            </w:tcBorders>
            <w:shd w:val="clear" w:color="auto" w:fill="auto"/>
            <w:tcMar>
              <w:top w:w="29" w:type="dxa"/>
              <w:left w:w="115" w:type="dxa"/>
              <w:bottom w:w="29" w:type="dxa"/>
              <w:right w:w="115" w:type="dxa"/>
            </w:tcMar>
            <w:vAlign w:val="center"/>
          </w:tcPr>
          <w:p w14:paraId="15877DCB" w14:textId="77777777" w:rsidR="007379BE" w:rsidRPr="00CC7FE5" w:rsidRDefault="007379BE" w:rsidP="00A706F4">
            <w:pPr>
              <w:pStyle w:val="TableBodyText"/>
              <w:ind w:left="-101"/>
              <w:rPr>
                <w:rFonts w:ascii="Times" w:hAnsi="Times" w:cs="Arial"/>
                <w:color w:val="000000"/>
              </w:rPr>
            </w:pPr>
          </w:p>
        </w:tc>
        <w:tc>
          <w:tcPr>
            <w:tcW w:w="1818" w:type="dxa"/>
            <w:tcBorders>
              <w:top w:val="single" w:sz="4" w:space="0" w:color="auto"/>
              <w:bottom w:val="single" w:sz="4" w:space="0" w:color="auto"/>
            </w:tcBorders>
            <w:shd w:val="clear" w:color="auto" w:fill="auto"/>
            <w:tcMar>
              <w:top w:w="29" w:type="dxa"/>
              <w:left w:w="115" w:type="dxa"/>
              <w:bottom w:w="29" w:type="dxa"/>
              <w:right w:w="115" w:type="dxa"/>
            </w:tcMar>
            <w:vAlign w:val="center"/>
          </w:tcPr>
          <w:p w14:paraId="09F1865B" w14:textId="77777777" w:rsidR="007379BE" w:rsidRPr="00CC7FE5" w:rsidRDefault="007379BE" w:rsidP="00A706F4">
            <w:pPr>
              <w:pStyle w:val="TableBodyText"/>
              <w:jc w:val="center"/>
              <w:rPr>
                <w:rFonts w:ascii="Times" w:hAnsi="Times" w:cs="Arial"/>
                <w:color w:val="000000"/>
              </w:rPr>
            </w:pPr>
            <w:r w:rsidRPr="00CC7FE5">
              <w:rPr>
                <w:rFonts w:ascii="Times" w:hAnsi="Times" w:cs="Arial"/>
                <w:color w:val="000000"/>
              </w:rPr>
              <w:t xml:space="preserve">3-Jan-2010 </w:t>
            </w:r>
            <w:r w:rsidRPr="00CC7FE5">
              <w:rPr>
                <w:rFonts w:ascii="Times" w:hAnsi="Times" w:cs="Arial"/>
                <w:color w:val="000000"/>
              </w:rPr>
              <w:br/>
              <w:t>($ in millions)</w:t>
            </w:r>
          </w:p>
        </w:tc>
        <w:tc>
          <w:tcPr>
            <w:tcW w:w="1819" w:type="dxa"/>
            <w:tcBorders>
              <w:top w:val="single" w:sz="4" w:space="0" w:color="auto"/>
              <w:bottom w:val="single" w:sz="4" w:space="0" w:color="auto"/>
            </w:tcBorders>
            <w:shd w:val="clear" w:color="auto" w:fill="auto"/>
            <w:tcMar>
              <w:top w:w="29" w:type="dxa"/>
              <w:left w:w="115" w:type="dxa"/>
              <w:bottom w:w="29" w:type="dxa"/>
              <w:right w:w="115" w:type="dxa"/>
            </w:tcMar>
            <w:vAlign w:val="center"/>
          </w:tcPr>
          <w:p w14:paraId="11BBFE9E" w14:textId="77777777" w:rsidR="007379BE" w:rsidRPr="00CC7FE5" w:rsidRDefault="007379BE" w:rsidP="00A706F4">
            <w:pPr>
              <w:pStyle w:val="TableBodyText"/>
              <w:jc w:val="center"/>
              <w:rPr>
                <w:rFonts w:ascii="Times" w:hAnsi="Times" w:cs="Arial"/>
                <w:color w:val="000000"/>
              </w:rPr>
            </w:pPr>
            <w:r w:rsidRPr="00CC7FE5">
              <w:rPr>
                <w:rFonts w:ascii="Times" w:hAnsi="Times" w:cs="Arial"/>
                <w:color w:val="000000"/>
              </w:rPr>
              <w:t xml:space="preserve">4-Jan-2009 </w:t>
            </w:r>
            <w:r w:rsidRPr="00CC7FE5">
              <w:rPr>
                <w:rFonts w:ascii="Times" w:hAnsi="Times" w:cs="Arial"/>
                <w:color w:val="000000"/>
              </w:rPr>
              <w:br/>
              <w:t>($ in millions)</w:t>
            </w:r>
          </w:p>
        </w:tc>
      </w:tr>
      <w:tr w:rsidR="007379BE" w:rsidRPr="00CC7FE5" w14:paraId="3EDCF202" w14:textId="77777777" w:rsidTr="00A706F4">
        <w:tc>
          <w:tcPr>
            <w:tcW w:w="5003" w:type="dxa"/>
            <w:tcBorders>
              <w:top w:val="single" w:sz="4" w:space="0" w:color="auto"/>
            </w:tcBorders>
            <w:shd w:val="clear" w:color="auto" w:fill="auto"/>
            <w:tcMar>
              <w:top w:w="29" w:type="dxa"/>
              <w:left w:w="115" w:type="dxa"/>
              <w:bottom w:w="29" w:type="dxa"/>
              <w:right w:w="115" w:type="dxa"/>
            </w:tcMar>
            <w:vAlign w:val="center"/>
          </w:tcPr>
          <w:p w14:paraId="19499415" w14:textId="77777777" w:rsidR="007379BE" w:rsidRPr="00CC7FE5" w:rsidRDefault="007379BE" w:rsidP="00A706F4">
            <w:pPr>
              <w:pStyle w:val="TableBodyText"/>
              <w:ind w:left="-101"/>
              <w:rPr>
                <w:rFonts w:ascii="Times" w:hAnsi="Times" w:cs="Arial"/>
                <w:color w:val="000000"/>
              </w:rPr>
            </w:pPr>
            <w:r w:rsidRPr="00CC7FE5">
              <w:rPr>
                <w:rFonts w:ascii="Times" w:hAnsi="Times" w:cs="Arial"/>
                <w:color w:val="000000"/>
              </w:rPr>
              <w:t>Total revenues</w:t>
            </w:r>
          </w:p>
        </w:tc>
        <w:tc>
          <w:tcPr>
            <w:tcW w:w="1818" w:type="dxa"/>
            <w:tcBorders>
              <w:top w:val="single" w:sz="4" w:space="0" w:color="auto"/>
            </w:tcBorders>
            <w:shd w:val="clear" w:color="auto" w:fill="auto"/>
            <w:tcMar>
              <w:top w:w="29" w:type="dxa"/>
              <w:left w:w="115" w:type="dxa"/>
              <w:bottom w:w="29" w:type="dxa"/>
              <w:right w:w="115" w:type="dxa"/>
            </w:tcMar>
            <w:vAlign w:val="center"/>
          </w:tcPr>
          <w:p w14:paraId="36C29A68" w14:textId="77777777" w:rsidR="007379BE" w:rsidRPr="00CC7FE5" w:rsidRDefault="007379BE" w:rsidP="00A706F4">
            <w:pPr>
              <w:pStyle w:val="TableBodyText"/>
              <w:ind w:right="514"/>
              <w:jc w:val="right"/>
              <w:rPr>
                <w:rFonts w:ascii="Times" w:hAnsi="Times" w:cs="Arial"/>
                <w:color w:val="000000"/>
              </w:rPr>
            </w:pPr>
            <w:r w:rsidRPr="00CC7FE5">
              <w:rPr>
                <w:rFonts w:ascii="Times" w:hAnsi="Times" w:cs="Arial"/>
                <w:color w:val="000000"/>
              </w:rPr>
              <w:t>4,062.4</w:t>
            </w:r>
          </w:p>
        </w:tc>
        <w:tc>
          <w:tcPr>
            <w:tcW w:w="1819" w:type="dxa"/>
            <w:tcBorders>
              <w:top w:val="single" w:sz="4" w:space="0" w:color="auto"/>
            </w:tcBorders>
            <w:shd w:val="clear" w:color="auto" w:fill="auto"/>
            <w:tcMar>
              <w:top w:w="29" w:type="dxa"/>
              <w:left w:w="115" w:type="dxa"/>
              <w:bottom w:w="29" w:type="dxa"/>
              <w:right w:w="115" w:type="dxa"/>
            </w:tcMar>
            <w:vAlign w:val="center"/>
          </w:tcPr>
          <w:p w14:paraId="62AA6B22" w14:textId="77777777" w:rsidR="007379BE" w:rsidRPr="00CC7FE5" w:rsidRDefault="007379BE" w:rsidP="00A706F4">
            <w:pPr>
              <w:pStyle w:val="TableBodyText"/>
              <w:ind w:right="524"/>
              <w:jc w:val="right"/>
              <w:rPr>
                <w:rFonts w:ascii="Times" w:hAnsi="Times" w:cs="Arial"/>
                <w:color w:val="000000"/>
              </w:rPr>
            </w:pPr>
            <w:r w:rsidRPr="00CC7FE5">
              <w:rPr>
                <w:rFonts w:ascii="Times" w:hAnsi="Times" w:cs="Arial"/>
                <w:color w:val="000000"/>
              </w:rPr>
              <w:t>5,065.4</w:t>
            </w:r>
          </w:p>
        </w:tc>
      </w:tr>
      <w:tr w:rsidR="007379BE" w:rsidRPr="00CC7FE5" w14:paraId="78964A78" w14:textId="77777777" w:rsidTr="00A706F4">
        <w:tc>
          <w:tcPr>
            <w:tcW w:w="5003" w:type="dxa"/>
            <w:shd w:val="clear" w:color="auto" w:fill="auto"/>
            <w:tcMar>
              <w:top w:w="29" w:type="dxa"/>
              <w:left w:w="115" w:type="dxa"/>
              <w:bottom w:w="29" w:type="dxa"/>
              <w:right w:w="115" w:type="dxa"/>
            </w:tcMar>
            <w:vAlign w:val="center"/>
          </w:tcPr>
          <w:p w14:paraId="3D3D1DD4" w14:textId="77777777" w:rsidR="007379BE" w:rsidRPr="00CC7FE5" w:rsidRDefault="007379BE" w:rsidP="00A706F4">
            <w:pPr>
              <w:pStyle w:val="TableBodyText"/>
              <w:ind w:left="-101"/>
              <w:rPr>
                <w:rFonts w:ascii="Times" w:hAnsi="Times" w:cs="Arial"/>
                <w:color w:val="000000"/>
              </w:rPr>
            </w:pPr>
          </w:p>
        </w:tc>
        <w:tc>
          <w:tcPr>
            <w:tcW w:w="1818" w:type="dxa"/>
            <w:shd w:val="clear" w:color="auto" w:fill="auto"/>
            <w:tcMar>
              <w:top w:w="29" w:type="dxa"/>
              <w:left w:w="115" w:type="dxa"/>
              <w:bottom w:w="29" w:type="dxa"/>
              <w:right w:w="115" w:type="dxa"/>
            </w:tcMar>
            <w:vAlign w:val="center"/>
          </w:tcPr>
          <w:p w14:paraId="6CAE2574" w14:textId="77777777" w:rsidR="007379BE" w:rsidRPr="00CC7FE5" w:rsidRDefault="007379BE" w:rsidP="00A706F4">
            <w:pPr>
              <w:pStyle w:val="TableBodyText"/>
              <w:ind w:right="514"/>
              <w:jc w:val="right"/>
              <w:rPr>
                <w:rFonts w:ascii="Times" w:hAnsi="Times" w:cs="Arial"/>
                <w:color w:val="000000"/>
              </w:rPr>
            </w:pPr>
          </w:p>
        </w:tc>
        <w:tc>
          <w:tcPr>
            <w:tcW w:w="1819" w:type="dxa"/>
            <w:shd w:val="clear" w:color="auto" w:fill="auto"/>
            <w:tcMar>
              <w:top w:w="29" w:type="dxa"/>
              <w:left w:w="115" w:type="dxa"/>
              <w:bottom w:w="29" w:type="dxa"/>
              <w:right w:w="115" w:type="dxa"/>
            </w:tcMar>
            <w:vAlign w:val="center"/>
          </w:tcPr>
          <w:p w14:paraId="6FDFD25E" w14:textId="77777777" w:rsidR="007379BE" w:rsidRPr="00CC7FE5" w:rsidRDefault="007379BE" w:rsidP="00A706F4">
            <w:pPr>
              <w:pStyle w:val="TableBodyText"/>
              <w:ind w:right="524"/>
              <w:jc w:val="right"/>
              <w:rPr>
                <w:rFonts w:ascii="Times" w:hAnsi="Times" w:cs="Arial"/>
                <w:color w:val="000000"/>
              </w:rPr>
            </w:pPr>
          </w:p>
        </w:tc>
      </w:tr>
      <w:tr w:rsidR="007379BE" w:rsidRPr="00CC7FE5" w14:paraId="1E3A4086" w14:textId="77777777" w:rsidTr="00A706F4">
        <w:tc>
          <w:tcPr>
            <w:tcW w:w="5003" w:type="dxa"/>
            <w:shd w:val="clear" w:color="auto" w:fill="auto"/>
            <w:tcMar>
              <w:top w:w="29" w:type="dxa"/>
              <w:left w:w="115" w:type="dxa"/>
              <w:bottom w:w="29" w:type="dxa"/>
              <w:right w:w="115" w:type="dxa"/>
            </w:tcMar>
            <w:vAlign w:val="center"/>
          </w:tcPr>
          <w:p w14:paraId="38B3D435" w14:textId="77777777" w:rsidR="007379BE" w:rsidRPr="00CC7FE5" w:rsidRDefault="007379BE" w:rsidP="00A706F4">
            <w:pPr>
              <w:pStyle w:val="TableBodyText"/>
              <w:ind w:left="-101"/>
              <w:rPr>
                <w:rFonts w:ascii="Times" w:hAnsi="Times" w:cs="Arial"/>
                <w:color w:val="000000"/>
              </w:rPr>
            </w:pPr>
            <w:r w:rsidRPr="00CC7FE5">
              <w:rPr>
                <w:rFonts w:ascii="Times" w:hAnsi="Times" w:cs="Arial"/>
                <w:color w:val="000000"/>
              </w:rPr>
              <w:t>Operating expenses</w:t>
            </w:r>
          </w:p>
        </w:tc>
        <w:tc>
          <w:tcPr>
            <w:tcW w:w="1818" w:type="dxa"/>
            <w:shd w:val="clear" w:color="auto" w:fill="auto"/>
            <w:tcMar>
              <w:top w:w="29" w:type="dxa"/>
              <w:left w:w="115" w:type="dxa"/>
              <w:bottom w:w="29" w:type="dxa"/>
              <w:right w:w="115" w:type="dxa"/>
            </w:tcMar>
            <w:vAlign w:val="center"/>
          </w:tcPr>
          <w:p w14:paraId="65E0BD68" w14:textId="77777777" w:rsidR="007379BE" w:rsidRPr="00CC7FE5" w:rsidRDefault="007379BE" w:rsidP="00A706F4">
            <w:pPr>
              <w:pStyle w:val="TableBodyText"/>
              <w:ind w:right="514"/>
              <w:jc w:val="right"/>
              <w:rPr>
                <w:rFonts w:ascii="Times" w:hAnsi="Times" w:cs="Arial"/>
                <w:color w:val="000000"/>
              </w:rPr>
            </w:pPr>
          </w:p>
        </w:tc>
        <w:tc>
          <w:tcPr>
            <w:tcW w:w="1819" w:type="dxa"/>
            <w:shd w:val="clear" w:color="auto" w:fill="auto"/>
            <w:tcMar>
              <w:top w:w="29" w:type="dxa"/>
              <w:left w:w="115" w:type="dxa"/>
              <w:bottom w:w="29" w:type="dxa"/>
              <w:right w:w="115" w:type="dxa"/>
            </w:tcMar>
            <w:vAlign w:val="center"/>
          </w:tcPr>
          <w:p w14:paraId="79CF3BE9" w14:textId="77777777" w:rsidR="007379BE" w:rsidRPr="00CC7FE5" w:rsidRDefault="007379BE" w:rsidP="00A706F4">
            <w:pPr>
              <w:pStyle w:val="TableBodyText"/>
              <w:ind w:right="524"/>
              <w:jc w:val="right"/>
              <w:rPr>
                <w:rFonts w:ascii="Times" w:hAnsi="Times" w:cs="Arial"/>
                <w:color w:val="000000"/>
              </w:rPr>
            </w:pPr>
          </w:p>
        </w:tc>
      </w:tr>
      <w:tr w:rsidR="007379BE" w:rsidRPr="00CC7FE5" w14:paraId="0AADED58" w14:textId="77777777" w:rsidTr="00A706F4">
        <w:tc>
          <w:tcPr>
            <w:tcW w:w="5003" w:type="dxa"/>
            <w:shd w:val="clear" w:color="auto" w:fill="auto"/>
            <w:tcMar>
              <w:top w:w="29" w:type="dxa"/>
              <w:left w:w="115" w:type="dxa"/>
              <w:bottom w:w="29" w:type="dxa"/>
              <w:right w:w="115" w:type="dxa"/>
            </w:tcMar>
            <w:vAlign w:val="center"/>
          </w:tcPr>
          <w:p w14:paraId="3BCA174B" w14:textId="77777777" w:rsidR="007379BE" w:rsidRPr="00CC7FE5" w:rsidRDefault="007379BE" w:rsidP="00A706F4">
            <w:pPr>
              <w:pStyle w:val="TableBodyText"/>
              <w:ind w:left="254"/>
              <w:rPr>
                <w:rFonts w:ascii="Times" w:hAnsi="Times" w:cs="Arial"/>
                <w:color w:val="000000"/>
              </w:rPr>
            </w:pPr>
            <w:r w:rsidRPr="00CC7FE5">
              <w:rPr>
                <w:rFonts w:ascii="Times" w:hAnsi="Times" w:cs="Arial"/>
                <w:color w:val="000000"/>
              </w:rPr>
              <w:t>General and administrative</w:t>
            </w:r>
          </w:p>
        </w:tc>
        <w:tc>
          <w:tcPr>
            <w:tcW w:w="1818" w:type="dxa"/>
            <w:shd w:val="clear" w:color="auto" w:fill="auto"/>
            <w:tcMar>
              <w:top w:w="29" w:type="dxa"/>
              <w:left w:w="115" w:type="dxa"/>
              <w:bottom w:w="29" w:type="dxa"/>
              <w:right w:w="115" w:type="dxa"/>
            </w:tcMar>
            <w:vAlign w:val="center"/>
          </w:tcPr>
          <w:p w14:paraId="52EC5E14" w14:textId="77777777" w:rsidR="007379BE" w:rsidRPr="00CC7FE5" w:rsidRDefault="007379BE" w:rsidP="00A706F4">
            <w:pPr>
              <w:pStyle w:val="TableBodyText"/>
              <w:ind w:right="514"/>
              <w:jc w:val="right"/>
              <w:rPr>
                <w:rFonts w:ascii="Times" w:hAnsi="Times" w:cs="Arial"/>
                <w:color w:val="000000"/>
              </w:rPr>
            </w:pPr>
            <w:r w:rsidRPr="00CC7FE5">
              <w:rPr>
                <w:rFonts w:ascii="Times" w:hAnsi="Times" w:cs="Arial"/>
                <w:color w:val="000000"/>
              </w:rPr>
              <w:t>1,928.7</w:t>
            </w:r>
          </w:p>
        </w:tc>
        <w:tc>
          <w:tcPr>
            <w:tcW w:w="1819" w:type="dxa"/>
            <w:shd w:val="clear" w:color="auto" w:fill="auto"/>
            <w:tcMar>
              <w:top w:w="29" w:type="dxa"/>
              <w:left w:w="115" w:type="dxa"/>
              <w:bottom w:w="29" w:type="dxa"/>
              <w:right w:w="115" w:type="dxa"/>
            </w:tcMar>
            <w:vAlign w:val="center"/>
          </w:tcPr>
          <w:p w14:paraId="50E20A31" w14:textId="77777777" w:rsidR="007379BE" w:rsidRPr="00CC7FE5" w:rsidRDefault="007379BE" w:rsidP="00A706F4">
            <w:pPr>
              <w:pStyle w:val="TableBodyText"/>
              <w:ind w:right="524"/>
              <w:jc w:val="right"/>
              <w:rPr>
                <w:rFonts w:ascii="Times" w:hAnsi="Times" w:cs="Arial"/>
                <w:color w:val="000000"/>
              </w:rPr>
            </w:pPr>
            <w:r w:rsidRPr="00CC7FE5">
              <w:rPr>
                <w:rFonts w:ascii="Times" w:hAnsi="Times" w:cs="Arial"/>
                <w:color w:val="000000"/>
              </w:rPr>
              <w:t>2,235.3</w:t>
            </w:r>
          </w:p>
        </w:tc>
      </w:tr>
      <w:tr w:rsidR="007379BE" w:rsidRPr="00CC7FE5" w14:paraId="5065A327" w14:textId="77777777" w:rsidTr="00A706F4">
        <w:tc>
          <w:tcPr>
            <w:tcW w:w="5003" w:type="dxa"/>
            <w:shd w:val="clear" w:color="auto" w:fill="auto"/>
            <w:tcMar>
              <w:top w:w="29" w:type="dxa"/>
              <w:left w:w="115" w:type="dxa"/>
              <w:bottom w:w="29" w:type="dxa"/>
              <w:right w:w="115" w:type="dxa"/>
            </w:tcMar>
            <w:vAlign w:val="center"/>
          </w:tcPr>
          <w:p w14:paraId="4D76FFE4" w14:textId="77777777" w:rsidR="007379BE" w:rsidRPr="00CC7FE5" w:rsidRDefault="007379BE" w:rsidP="00A706F4">
            <w:pPr>
              <w:pStyle w:val="TableBodyText"/>
              <w:ind w:left="254"/>
              <w:rPr>
                <w:rFonts w:ascii="Times" w:hAnsi="Times" w:cs="Arial"/>
                <w:color w:val="000000"/>
              </w:rPr>
            </w:pPr>
            <w:r w:rsidRPr="00CC7FE5">
              <w:rPr>
                <w:rFonts w:ascii="Times" w:hAnsi="Times" w:cs="Arial"/>
                <w:color w:val="000000"/>
              </w:rPr>
              <w:t>Advertising</w:t>
            </w:r>
          </w:p>
        </w:tc>
        <w:tc>
          <w:tcPr>
            <w:tcW w:w="1818" w:type="dxa"/>
            <w:shd w:val="clear" w:color="auto" w:fill="auto"/>
            <w:tcMar>
              <w:top w:w="29" w:type="dxa"/>
              <w:left w:w="115" w:type="dxa"/>
              <w:bottom w:w="29" w:type="dxa"/>
              <w:right w:w="115" w:type="dxa"/>
            </w:tcMar>
            <w:vAlign w:val="center"/>
          </w:tcPr>
          <w:p w14:paraId="6943AD22" w14:textId="77777777" w:rsidR="007379BE" w:rsidRPr="00CC7FE5" w:rsidRDefault="007379BE" w:rsidP="00A706F4">
            <w:pPr>
              <w:pStyle w:val="TableBodyText"/>
              <w:ind w:right="514"/>
              <w:jc w:val="right"/>
              <w:rPr>
                <w:rFonts w:ascii="Times" w:hAnsi="Times" w:cs="Arial"/>
                <w:color w:val="000000"/>
              </w:rPr>
            </w:pPr>
            <w:r w:rsidRPr="00CC7FE5">
              <w:rPr>
                <w:rFonts w:ascii="Times" w:hAnsi="Times" w:cs="Arial"/>
                <w:color w:val="000000"/>
              </w:rPr>
              <w:t>91.4</w:t>
            </w:r>
          </w:p>
        </w:tc>
        <w:tc>
          <w:tcPr>
            <w:tcW w:w="1819" w:type="dxa"/>
            <w:shd w:val="clear" w:color="auto" w:fill="auto"/>
            <w:tcMar>
              <w:top w:w="29" w:type="dxa"/>
              <w:left w:w="115" w:type="dxa"/>
              <w:bottom w:w="29" w:type="dxa"/>
              <w:right w:w="115" w:type="dxa"/>
            </w:tcMar>
            <w:vAlign w:val="center"/>
          </w:tcPr>
          <w:p w14:paraId="6455F35A" w14:textId="77777777" w:rsidR="007379BE" w:rsidRPr="00CC7FE5" w:rsidRDefault="007379BE" w:rsidP="00A706F4">
            <w:pPr>
              <w:pStyle w:val="TableBodyText"/>
              <w:ind w:right="524"/>
              <w:jc w:val="right"/>
              <w:rPr>
                <w:rFonts w:ascii="Times" w:hAnsi="Times" w:cs="Arial"/>
                <w:color w:val="000000"/>
              </w:rPr>
            </w:pPr>
            <w:r w:rsidRPr="00CC7FE5">
              <w:rPr>
                <w:rFonts w:ascii="Times" w:hAnsi="Times" w:cs="Arial"/>
                <w:color w:val="000000"/>
              </w:rPr>
              <w:t>117.7</w:t>
            </w:r>
          </w:p>
        </w:tc>
      </w:tr>
      <w:tr w:rsidR="007379BE" w:rsidRPr="00CC7FE5" w14:paraId="646B234B" w14:textId="77777777" w:rsidTr="00A706F4">
        <w:tc>
          <w:tcPr>
            <w:tcW w:w="5003" w:type="dxa"/>
            <w:shd w:val="clear" w:color="auto" w:fill="auto"/>
            <w:tcMar>
              <w:top w:w="29" w:type="dxa"/>
              <w:left w:w="115" w:type="dxa"/>
              <w:bottom w:w="29" w:type="dxa"/>
              <w:right w:w="115" w:type="dxa"/>
            </w:tcMar>
            <w:vAlign w:val="center"/>
          </w:tcPr>
          <w:p w14:paraId="6630F8BD" w14:textId="77777777" w:rsidR="007379BE" w:rsidRPr="00CC7FE5" w:rsidRDefault="007379BE" w:rsidP="00A706F4">
            <w:pPr>
              <w:pStyle w:val="TableBodyText"/>
              <w:ind w:left="254"/>
              <w:rPr>
                <w:rFonts w:ascii="Times" w:hAnsi="Times" w:cs="Arial"/>
                <w:color w:val="000000"/>
              </w:rPr>
            </w:pPr>
            <w:r w:rsidRPr="00CC7FE5">
              <w:rPr>
                <w:rFonts w:ascii="Times" w:hAnsi="Times" w:cs="Arial"/>
                <w:color w:val="000000"/>
              </w:rPr>
              <w:t>Depreciation/amortization</w:t>
            </w:r>
          </w:p>
        </w:tc>
        <w:tc>
          <w:tcPr>
            <w:tcW w:w="1818" w:type="dxa"/>
            <w:shd w:val="clear" w:color="auto" w:fill="auto"/>
            <w:tcMar>
              <w:top w:w="29" w:type="dxa"/>
              <w:left w:w="115" w:type="dxa"/>
              <w:bottom w:w="29" w:type="dxa"/>
              <w:right w:w="115" w:type="dxa"/>
            </w:tcMar>
            <w:vAlign w:val="center"/>
          </w:tcPr>
          <w:p w14:paraId="7FC3683D" w14:textId="77777777" w:rsidR="007379BE" w:rsidRPr="00CC7FE5" w:rsidRDefault="007379BE" w:rsidP="00A706F4">
            <w:pPr>
              <w:pStyle w:val="TableBodyText"/>
              <w:ind w:right="514"/>
              <w:jc w:val="right"/>
              <w:rPr>
                <w:rFonts w:ascii="Times" w:hAnsi="Times" w:cs="Arial"/>
                <w:color w:val="000000"/>
              </w:rPr>
            </w:pPr>
            <w:r w:rsidRPr="00CC7FE5">
              <w:rPr>
                <w:rFonts w:ascii="Times" w:hAnsi="Times" w:cs="Arial"/>
                <w:color w:val="000000"/>
              </w:rPr>
              <w:t>144.1</w:t>
            </w:r>
          </w:p>
        </w:tc>
        <w:tc>
          <w:tcPr>
            <w:tcW w:w="1819" w:type="dxa"/>
            <w:shd w:val="clear" w:color="auto" w:fill="auto"/>
            <w:tcMar>
              <w:top w:w="29" w:type="dxa"/>
              <w:left w:w="115" w:type="dxa"/>
              <w:bottom w:w="29" w:type="dxa"/>
              <w:right w:w="115" w:type="dxa"/>
            </w:tcMar>
            <w:vAlign w:val="center"/>
          </w:tcPr>
          <w:p w14:paraId="0682D67D" w14:textId="77777777" w:rsidR="007379BE" w:rsidRPr="00CC7FE5" w:rsidRDefault="007379BE" w:rsidP="00A706F4">
            <w:pPr>
              <w:pStyle w:val="TableBodyText"/>
              <w:ind w:right="524"/>
              <w:jc w:val="right"/>
              <w:rPr>
                <w:rFonts w:ascii="Times" w:hAnsi="Times" w:cs="Arial"/>
                <w:color w:val="000000"/>
              </w:rPr>
            </w:pPr>
            <w:r w:rsidRPr="00CC7FE5">
              <w:rPr>
                <w:rFonts w:ascii="Times" w:hAnsi="Times" w:cs="Arial"/>
                <w:color w:val="000000"/>
              </w:rPr>
              <w:t>146.6</w:t>
            </w:r>
          </w:p>
        </w:tc>
      </w:tr>
      <w:tr w:rsidR="007379BE" w:rsidRPr="00CC7FE5" w14:paraId="405A79A9" w14:textId="77777777" w:rsidTr="00A706F4">
        <w:tc>
          <w:tcPr>
            <w:tcW w:w="5003" w:type="dxa"/>
            <w:shd w:val="clear" w:color="auto" w:fill="auto"/>
            <w:tcMar>
              <w:top w:w="29" w:type="dxa"/>
              <w:left w:w="115" w:type="dxa"/>
              <w:bottom w:w="29" w:type="dxa"/>
              <w:right w:w="115" w:type="dxa"/>
            </w:tcMar>
            <w:vAlign w:val="center"/>
          </w:tcPr>
          <w:p w14:paraId="7D35E2B0" w14:textId="77777777" w:rsidR="007379BE" w:rsidRPr="00CC7FE5" w:rsidRDefault="007379BE" w:rsidP="00A706F4">
            <w:pPr>
              <w:pStyle w:val="TableBodyText"/>
              <w:ind w:left="254"/>
              <w:rPr>
                <w:rFonts w:ascii="Times" w:hAnsi="Times" w:cs="Arial"/>
                <w:color w:val="000000"/>
              </w:rPr>
            </w:pPr>
            <w:r w:rsidRPr="00CC7FE5">
              <w:rPr>
                <w:rFonts w:ascii="Times" w:hAnsi="Times" w:cs="Arial"/>
                <w:color w:val="000000"/>
              </w:rPr>
              <w:t>Impairment of goodwill</w:t>
            </w:r>
          </w:p>
        </w:tc>
        <w:tc>
          <w:tcPr>
            <w:tcW w:w="1818" w:type="dxa"/>
            <w:shd w:val="clear" w:color="auto" w:fill="auto"/>
            <w:tcMar>
              <w:top w:w="29" w:type="dxa"/>
              <w:left w:w="115" w:type="dxa"/>
              <w:bottom w:w="29" w:type="dxa"/>
              <w:right w:w="115" w:type="dxa"/>
            </w:tcMar>
            <w:vAlign w:val="center"/>
          </w:tcPr>
          <w:p w14:paraId="1746701A" w14:textId="77777777" w:rsidR="007379BE" w:rsidRPr="00CC7FE5" w:rsidRDefault="007379BE" w:rsidP="00A706F4">
            <w:pPr>
              <w:pStyle w:val="TableBodyText"/>
              <w:ind w:right="514"/>
              <w:jc w:val="right"/>
              <w:rPr>
                <w:rFonts w:ascii="Times" w:hAnsi="Times" w:cs="Arial"/>
                <w:color w:val="000000"/>
              </w:rPr>
            </w:pPr>
            <w:r w:rsidRPr="00CC7FE5">
              <w:rPr>
                <w:rFonts w:ascii="Times" w:hAnsi="Times" w:cs="Arial"/>
                <w:color w:val="000000"/>
              </w:rPr>
              <w:t>369.2</w:t>
            </w:r>
          </w:p>
        </w:tc>
        <w:tc>
          <w:tcPr>
            <w:tcW w:w="1819" w:type="dxa"/>
            <w:shd w:val="clear" w:color="auto" w:fill="auto"/>
            <w:tcMar>
              <w:top w:w="29" w:type="dxa"/>
              <w:left w:w="115" w:type="dxa"/>
              <w:bottom w:w="29" w:type="dxa"/>
              <w:right w:w="115" w:type="dxa"/>
            </w:tcMar>
            <w:vAlign w:val="center"/>
          </w:tcPr>
          <w:p w14:paraId="04475A29" w14:textId="77777777" w:rsidR="007379BE" w:rsidRPr="00CC7FE5" w:rsidRDefault="007379BE" w:rsidP="00A706F4">
            <w:pPr>
              <w:pStyle w:val="TableBodyText"/>
              <w:ind w:right="524"/>
              <w:jc w:val="right"/>
              <w:rPr>
                <w:rFonts w:ascii="Times" w:hAnsi="Times" w:cs="Arial"/>
                <w:color w:val="000000"/>
              </w:rPr>
            </w:pPr>
            <w:r w:rsidRPr="00CC7FE5">
              <w:rPr>
                <w:rFonts w:ascii="Times" w:hAnsi="Times" w:cs="Arial"/>
                <w:color w:val="000000"/>
              </w:rPr>
              <w:t>435</w:t>
            </w:r>
          </w:p>
        </w:tc>
      </w:tr>
      <w:tr w:rsidR="007379BE" w:rsidRPr="00CC7FE5" w14:paraId="352FE3F9" w14:textId="77777777" w:rsidTr="00A706F4">
        <w:tc>
          <w:tcPr>
            <w:tcW w:w="5003" w:type="dxa"/>
            <w:shd w:val="clear" w:color="auto" w:fill="auto"/>
            <w:tcMar>
              <w:top w:w="29" w:type="dxa"/>
              <w:left w:w="115" w:type="dxa"/>
              <w:bottom w:w="29" w:type="dxa"/>
              <w:right w:w="115" w:type="dxa"/>
            </w:tcMar>
            <w:vAlign w:val="center"/>
          </w:tcPr>
          <w:p w14:paraId="69FA2D05" w14:textId="77777777" w:rsidR="007379BE" w:rsidRPr="00CC7FE5" w:rsidRDefault="007379BE" w:rsidP="00A706F4">
            <w:pPr>
              <w:pStyle w:val="TableBodyText"/>
              <w:ind w:left="-101"/>
              <w:rPr>
                <w:rFonts w:ascii="Times" w:hAnsi="Times" w:cs="Arial"/>
                <w:color w:val="000000"/>
              </w:rPr>
            </w:pPr>
          </w:p>
        </w:tc>
        <w:tc>
          <w:tcPr>
            <w:tcW w:w="1818" w:type="dxa"/>
            <w:shd w:val="clear" w:color="auto" w:fill="auto"/>
            <w:tcMar>
              <w:top w:w="29" w:type="dxa"/>
              <w:left w:w="115" w:type="dxa"/>
              <w:bottom w:w="29" w:type="dxa"/>
              <w:right w:w="115" w:type="dxa"/>
            </w:tcMar>
            <w:vAlign w:val="center"/>
          </w:tcPr>
          <w:p w14:paraId="3D9E16D9" w14:textId="77777777" w:rsidR="007379BE" w:rsidRPr="00CC7FE5" w:rsidRDefault="007379BE" w:rsidP="00A706F4">
            <w:pPr>
              <w:pStyle w:val="TableBodyText"/>
              <w:ind w:right="514"/>
              <w:jc w:val="right"/>
              <w:rPr>
                <w:rFonts w:ascii="Times" w:hAnsi="Times" w:cs="Arial"/>
                <w:color w:val="000000"/>
              </w:rPr>
            </w:pPr>
          </w:p>
        </w:tc>
        <w:tc>
          <w:tcPr>
            <w:tcW w:w="1819" w:type="dxa"/>
            <w:shd w:val="clear" w:color="auto" w:fill="auto"/>
            <w:tcMar>
              <w:top w:w="29" w:type="dxa"/>
              <w:left w:w="115" w:type="dxa"/>
              <w:bottom w:w="29" w:type="dxa"/>
              <w:right w:w="115" w:type="dxa"/>
            </w:tcMar>
            <w:vAlign w:val="center"/>
          </w:tcPr>
          <w:p w14:paraId="74DF4A3C" w14:textId="77777777" w:rsidR="007379BE" w:rsidRPr="00CC7FE5" w:rsidRDefault="007379BE" w:rsidP="00A706F4">
            <w:pPr>
              <w:pStyle w:val="TableBodyText"/>
              <w:ind w:right="524"/>
              <w:jc w:val="right"/>
              <w:rPr>
                <w:rFonts w:ascii="Times" w:hAnsi="Times" w:cs="Arial"/>
                <w:color w:val="000000"/>
              </w:rPr>
            </w:pPr>
          </w:p>
        </w:tc>
      </w:tr>
      <w:tr w:rsidR="007379BE" w:rsidRPr="00CC7FE5" w14:paraId="2ED6C542" w14:textId="77777777" w:rsidTr="00A706F4">
        <w:tc>
          <w:tcPr>
            <w:tcW w:w="5003" w:type="dxa"/>
            <w:shd w:val="clear" w:color="auto" w:fill="auto"/>
            <w:tcMar>
              <w:top w:w="29" w:type="dxa"/>
              <w:left w:w="115" w:type="dxa"/>
              <w:bottom w:w="29" w:type="dxa"/>
              <w:right w:w="115" w:type="dxa"/>
            </w:tcMar>
          </w:tcPr>
          <w:p w14:paraId="09498AD2" w14:textId="77777777" w:rsidR="007379BE" w:rsidRPr="00CC7FE5" w:rsidRDefault="007379BE" w:rsidP="00A706F4">
            <w:pPr>
              <w:pStyle w:val="TableBodyText"/>
              <w:ind w:left="-101"/>
              <w:rPr>
                <w:rFonts w:ascii="Times" w:hAnsi="Times" w:cs="Arial"/>
                <w:color w:val="000000"/>
              </w:rPr>
            </w:pPr>
            <w:r w:rsidRPr="00CC7FE5">
              <w:rPr>
                <w:rFonts w:ascii="Times" w:hAnsi="Times" w:cs="Arial"/>
                <w:color w:val="000000"/>
              </w:rPr>
              <w:t>General and administrative expenses as a percentage of revenue</w:t>
            </w:r>
          </w:p>
        </w:tc>
        <w:tc>
          <w:tcPr>
            <w:tcW w:w="1818" w:type="dxa"/>
            <w:shd w:val="clear" w:color="auto" w:fill="auto"/>
            <w:tcMar>
              <w:top w:w="29" w:type="dxa"/>
              <w:left w:w="115" w:type="dxa"/>
              <w:bottom w:w="29" w:type="dxa"/>
              <w:right w:w="115" w:type="dxa"/>
            </w:tcMar>
          </w:tcPr>
          <w:p w14:paraId="655F5914" w14:textId="77777777" w:rsidR="007379BE" w:rsidRPr="00CC7FE5" w:rsidRDefault="007379BE" w:rsidP="00A706F4">
            <w:pPr>
              <w:pStyle w:val="TableBodyText"/>
              <w:ind w:right="514"/>
              <w:jc w:val="right"/>
              <w:rPr>
                <w:rFonts w:ascii="Times" w:hAnsi="Times" w:cs="Arial"/>
                <w:color w:val="000000"/>
              </w:rPr>
            </w:pPr>
            <w:r w:rsidRPr="00CC7FE5">
              <w:rPr>
                <w:rFonts w:ascii="Times" w:hAnsi="Times" w:cs="Arial"/>
                <w:color w:val="000000"/>
              </w:rPr>
              <w:t>47.48%</w:t>
            </w:r>
          </w:p>
        </w:tc>
        <w:tc>
          <w:tcPr>
            <w:tcW w:w="1819" w:type="dxa"/>
            <w:shd w:val="clear" w:color="auto" w:fill="auto"/>
            <w:tcMar>
              <w:top w:w="29" w:type="dxa"/>
              <w:left w:w="115" w:type="dxa"/>
              <w:bottom w:w="29" w:type="dxa"/>
              <w:right w:w="115" w:type="dxa"/>
            </w:tcMar>
          </w:tcPr>
          <w:p w14:paraId="15E9365A" w14:textId="77777777" w:rsidR="007379BE" w:rsidRPr="00CC7FE5" w:rsidRDefault="007379BE" w:rsidP="00A706F4">
            <w:pPr>
              <w:pStyle w:val="TableBodyText"/>
              <w:ind w:right="524"/>
              <w:jc w:val="right"/>
              <w:rPr>
                <w:rFonts w:ascii="Times" w:hAnsi="Times" w:cs="Arial"/>
                <w:color w:val="000000"/>
              </w:rPr>
            </w:pPr>
            <w:r w:rsidRPr="00CC7FE5">
              <w:rPr>
                <w:rFonts w:ascii="Times" w:hAnsi="Times" w:cs="Arial"/>
                <w:color w:val="000000"/>
              </w:rPr>
              <w:t>44.13%</w:t>
            </w:r>
          </w:p>
        </w:tc>
      </w:tr>
    </w:tbl>
    <w:p w14:paraId="005A2F0D" w14:textId="77777777" w:rsidR="007379BE" w:rsidRPr="00CC7FE5" w:rsidRDefault="007379BE" w:rsidP="007379BE">
      <w:pPr>
        <w:pStyle w:val="ExhibitSourceandNote"/>
        <w:rPr>
          <w:rFonts w:ascii="Times" w:hAnsi="Times" w:cs="Arial"/>
        </w:rPr>
      </w:pPr>
      <w:r w:rsidRPr="00CC7FE5">
        <w:rPr>
          <w:rFonts w:ascii="Times" w:hAnsi="Times" w:cs="Arial"/>
          <w:i/>
        </w:rPr>
        <w:t>Source:</w:t>
      </w:r>
      <w:r w:rsidRPr="00CC7FE5">
        <w:rPr>
          <w:rFonts w:ascii="Times" w:hAnsi="Times" w:cs="Arial"/>
        </w:rPr>
        <w:t xml:space="preserve"> Blockbuster 2009 Annual Report.</w:t>
      </w:r>
    </w:p>
    <w:p w14:paraId="1ECBB06F" w14:textId="77777777" w:rsidR="007379BE" w:rsidRPr="00CC7FE5" w:rsidRDefault="007379BE" w:rsidP="00CA7B44">
      <w:pPr>
        <w:rPr>
          <w:rFonts w:ascii="Times" w:hAnsi="Times"/>
        </w:rPr>
      </w:pPr>
    </w:p>
    <w:p w14:paraId="073C5A56" w14:textId="77777777" w:rsidR="007A5C00" w:rsidRPr="00CC7FE5" w:rsidRDefault="007A5C00" w:rsidP="007A5C00">
      <w:pPr>
        <w:rPr>
          <w:rFonts w:ascii="Times" w:hAnsi="Times"/>
        </w:rPr>
      </w:pPr>
    </w:p>
    <w:p w14:paraId="31624619" w14:textId="77777777" w:rsidR="007A5C00" w:rsidRPr="00CC7FE5" w:rsidRDefault="007A5C00" w:rsidP="007A5C00">
      <w:pPr>
        <w:rPr>
          <w:rFonts w:ascii="Times" w:hAnsi="Times"/>
        </w:rPr>
      </w:pPr>
    </w:p>
    <w:sectPr w:rsidR="007A5C00" w:rsidRPr="00CC7FE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BE991" w14:textId="77777777" w:rsidR="00445802" w:rsidRDefault="00445802" w:rsidP="007379BE">
      <w:pPr>
        <w:spacing w:after="0" w:line="240" w:lineRule="auto"/>
      </w:pPr>
      <w:r>
        <w:separator/>
      </w:r>
    </w:p>
  </w:endnote>
  <w:endnote w:type="continuationSeparator" w:id="0">
    <w:p w14:paraId="7223F886" w14:textId="77777777" w:rsidR="00445802" w:rsidRDefault="00445802" w:rsidP="00737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8476C" w14:textId="77777777" w:rsidR="004D5E6B" w:rsidRDefault="004D5E6B" w:rsidP="008876E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9035D1" w14:textId="77777777" w:rsidR="004D5E6B" w:rsidRDefault="004D5E6B" w:rsidP="004D5E6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8E335" w14:textId="77777777" w:rsidR="004D5E6B" w:rsidRDefault="004D5E6B" w:rsidP="008876E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4631">
      <w:rPr>
        <w:rStyle w:val="PageNumber"/>
        <w:noProof/>
      </w:rPr>
      <w:t>3</w:t>
    </w:r>
    <w:r>
      <w:rPr>
        <w:rStyle w:val="PageNumber"/>
      </w:rPr>
      <w:fldChar w:fldCharType="end"/>
    </w:r>
  </w:p>
  <w:p w14:paraId="25FE4361" w14:textId="556E3F8C" w:rsidR="004D5E6B" w:rsidRDefault="004D5E6B" w:rsidP="004D5E6B">
    <w:pPr>
      <w:pStyle w:val="Footer"/>
      <w:ind w:right="360"/>
    </w:pPr>
    <w:r>
      <w:t>Chapter 2 Case Study</w:t>
    </w:r>
    <w:r>
      <w:tab/>
    </w:r>
    <w:proofErr w:type="gramStart"/>
    <w:r>
      <w:t>The</w:t>
    </w:r>
    <w:proofErr w:type="gramEnd"/>
    <w:r>
      <w:t xml:space="preserve"> Demise of Blockbuster</w: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01CBC" w14:textId="77777777" w:rsidR="004D5E6B" w:rsidRDefault="004D5E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4EE7E" w14:textId="77777777" w:rsidR="00445802" w:rsidRDefault="00445802" w:rsidP="007379BE">
      <w:pPr>
        <w:spacing w:after="0" w:line="240" w:lineRule="auto"/>
      </w:pPr>
      <w:r>
        <w:separator/>
      </w:r>
    </w:p>
  </w:footnote>
  <w:footnote w:type="continuationSeparator" w:id="0">
    <w:p w14:paraId="2A9F989B" w14:textId="77777777" w:rsidR="00445802" w:rsidRDefault="00445802" w:rsidP="007379BE">
      <w:pPr>
        <w:spacing w:after="0" w:line="240" w:lineRule="auto"/>
      </w:pPr>
      <w:r>
        <w:continuationSeparator/>
      </w:r>
    </w:p>
  </w:footnote>
  <w:footnote w:id="1">
    <w:p w14:paraId="04A9519D" w14:textId="77777777" w:rsidR="007379BE" w:rsidRDefault="007379BE" w:rsidP="007379BE">
      <w:pPr>
        <w:pStyle w:val="FootnoteText"/>
      </w:pPr>
      <w:r>
        <w:rPr>
          <w:rStyle w:val="FootnoteReference"/>
        </w:rPr>
        <w:footnoteRef/>
      </w:r>
      <w:r>
        <w:t xml:space="preserve"> Blockbuster 2009 Annual Report.</w:t>
      </w:r>
    </w:p>
  </w:footnote>
  <w:footnote w:id="2">
    <w:p w14:paraId="6EACA1AA" w14:textId="77777777" w:rsidR="007379BE" w:rsidRDefault="007379BE" w:rsidP="007379BE">
      <w:pPr>
        <w:pStyle w:val="FootnoteText"/>
      </w:pPr>
      <w:r>
        <w:rPr>
          <w:rStyle w:val="FootnoteReference"/>
        </w:rPr>
        <w:footnoteRef/>
      </w:r>
      <w:r>
        <w:t xml:space="preserve"> Netflix 2009 Annual Report.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74CFC" w14:textId="77777777" w:rsidR="004D5E6B" w:rsidRDefault="004D5E6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78622" w14:textId="77777777" w:rsidR="004D5E6B" w:rsidRDefault="004D5E6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F827" w14:textId="77777777" w:rsidR="004D5E6B" w:rsidRDefault="004D5E6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BD5B7B"/>
    <w:multiLevelType w:val="hybridMultilevel"/>
    <w:tmpl w:val="29E22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C00"/>
    <w:rsid w:val="001C3BD9"/>
    <w:rsid w:val="002136E3"/>
    <w:rsid w:val="00311B93"/>
    <w:rsid w:val="00360F88"/>
    <w:rsid w:val="00397B7D"/>
    <w:rsid w:val="00415DC7"/>
    <w:rsid w:val="00445802"/>
    <w:rsid w:val="00494631"/>
    <w:rsid w:val="004D5E6B"/>
    <w:rsid w:val="005E4084"/>
    <w:rsid w:val="00716DD3"/>
    <w:rsid w:val="007379BE"/>
    <w:rsid w:val="007A5C00"/>
    <w:rsid w:val="00A05484"/>
    <w:rsid w:val="00A66D26"/>
    <w:rsid w:val="00B74179"/>
    <w:rsid w:val="00BF55C1"/>
    <w:rsid w:val="00CA7B44"/>
    <w:rsid w:val="00CC7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B85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7A5C00"/>
    <w:pPr>
      <w:keepNext/>
      <w:spacing w:before="240" w:after="240" w:line="240" w:lineRule="auto"/>
      <w:jc w:val="both"/>
      <w:outlineLvl w:val="1"/>
    </w:pPr>
    <w:rPr>
      <w:rFonts w:ascii="Helvetica" w:eastAsia="Times New Roman" w:hAnsi="Helvetica" w:cs="Times New Roman"/>
      <w:b/>
      <w:i/>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A5C00"/>
    <w:rPr>
      <w:rFonts w:ascii="Helvetica" w:eastAsia="Times New Roman" w:hAnsi="Helvetica" w:cs="Times New Roman"/>
      <w:b/>
      <w:i/>
      <w:sz w:val="24"/>
      <w:szCs w:val="28"/>
    </w:rPr>
  </w:style>
  <w:style w:type="paragraph" w:styleId="ListParagraph">
    <w:name w:val="List Paragraph"/>
    <w:basedOn w:val="Normal"/>
    <w:uiPriority w:val="34"/>
    <w:qFormat/>
    <w:rsid w:val="007A5C00"/>
    <w:pPr>
      <w:ind w:left="720"/>
      <w:contextualSpacing/>
    </w:pPr>
  </w:style>
  <w:style w:type="paragraph" w:customStyle="1" w:styleId="TableBodyText">
    <w:name w:val="Table Body Text"/>
    <w:rsid w:val="007379BE"/>
    <w:pPr>
      <w:spacing w:after="0" w:line="240" w:lineRule="auto"/>
    </w:pPr>
    <w:rPr>
      <w:rFonts w:ascii="Helvetica" w:eastAsia="Times" w:hAnsi="Helvetica" w:cs="Times New Roman"/>
      <w:noProof/>
      <w:sz w:val="16"/>
      <w:szCs w:val="16"/>
    </w:rPr>
  </w:style>
  <w:style w:type="paragraph" w:customStyle="1" w:styleId="ExhibitTitle">
    <w:name w:val="Exhibit Title"/>
    <w:basedOn w:val="Heading2"/>
    <w:link w:val="ExhibitTitleChar"/>
    <w:rsid w:val="007379BE"/>
    <w:pPr>
      <w:keepLines/>
      <w:suppressAutoHyphens/>
      <w:spacing w:before="0" w:after="40"/>
      <w:jc w:val="left"/>
    </w:pPr>
    <w:rPr>
      <w:rFonts w:eastAsia="Times"/>
      <w:i w:val="0"/>
      <w:noProof/>
      <w:szCs w:val="32"/>
    </w:rPr>
  </w:style>
  <w:style w:type="character" w:customStyle="1" w:styleId="ExhibitTitleChar">
    <w:name w:val="Exhibit Title Char"/>
    <w:link w:val="ExhibitTitle"/>
    <w:rsid w:val="007379BE"/>
    <w:rPr>
      <w:rFonts w:ascii="Helvetica" w:eastAsia="Times" w:hAnsi="Helvetica" w:cs="Times New Roman"/>
      <w:b/>
      <w:noProof/>
      <w:sz w:val="24"/>
      <w:szCs w:val="32"/>
    </w:rPr>
  </w:style>
  <w:style w:type="paragraph" w:styleId="FootnoteText">
    <w:name w:val="footnote text"/>
    <w:link w:val="FootnoteTextChar"/>
    <w:rsid w:val="007379BE"/>
    <w:pPr>
      <w:keepLines/>
      <w:spacing w:after="40" w:line="240" w:lineRule="auto"/>
      <w:jc w:val="both"/>
    </w:pPr>
    <w:rPr>
      <w:rFonts w:ascii="Times" w:eastAsia="Times" w:hAnsi="Times" w:cs="Times New Roman"/>
      <w:noProof/>
      <w:sz w:val="16"/>
      <w:szCs w:val="20"/>
    </w:rPr>
  </w:style>
  <w:style w:type="character" w:customStyle="1" w:styleId="FootnoteTextChar">
    <w:name w:val="Footnote Text Char"/>
    <w:basedOn w:val="DefaultParagraphFont"/>
    <w:link w:val="FootnoteText"/>
    <w:rsid w:val="007379BE"/>
    <w:rPr>
      <w:rFonts w:ascii="Times" w:eastAsia="Times" w:hAnsi="Times" w:cs="Times New Roman"/>
      <w:noProof/>
      <w:sz w:val="16"/>
      <w:szCs w:val="20"/>
    </w:rPr>
  </w:style>
  <w:style w:type="character" w:styleId="FootnoteReference">
    <w:name w:val="footnote reference"/>
    <w:rsid w:val="007379BE"/>
    <w:rPr>
      <w:vertAlign w:val="superscript"/>
    </w:rPr>
  </w:style>
  <w:style w:type="paragraph" w:customStyle="1" w:styleId="ExhibitSourceandNote">
    <w:name w:val="Exhibit Source and Note"/>
    <w:basedOn w:val="TableBodyText"/>
    <w:rsid w:val="007379BE"/>
    <w:pPr>
      <w:spacing w:before="120"/>
    </w:pPr>
    <w:rPr>
      <w:rFonts w:eastAsia="Times New Roman"/>
      <w:sz w:val="14"/>
      <w:szCs w:val="14"/>
    </w:rPr>
  </w:style>
  <w:style w:type="paragraph" w:styleId="Header">
    <w:name w:val="header"/>
    <w:basedOn w:val="Normal"/>
    <w:link w:val="HeaderChar"/>
    <w:uiPriority w:val="99"/>
    <w:unhideWhenUsed/>
    <w:rsid w:val="004D5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E6B"/>
  </w:style>
  <w:style w:type="paragraph" w:styleId="Footer">
    <w:name w:val="footer"/>
    <w:basedOn w:val="Normal"/>
    <w:link w:val="FooterChar"/>
    <w:uiPriority w:val="99"/>
    <w:unhideWhenUsed/>
    <w:rsid w:val="004D5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E6B"/>
  </w:style>
  <w:style w:type="character" w:styleId="PageNumber">
    <w:name w:val="page number"/>
    <w:basedOn w:val="DefaultParagraphFont"/>
    <w:uiPriority w:val="99"/>
    <w:semiHidden/>
    <w:unhideWhenUsed/>
    <w:rsid w:val="004D5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942</Words>
  <Characters>5374</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Kellogg School of Management</Company>
  <LinksUpToDate>false</LinksUpToDate>
  <CharactersWithSpaces>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Sunil Chopra</dc:creator>
  <cp:lastModifiedBy>Microsoft Office User</cp:lastModifiedBy>
  <cp:revision>4</cp:revision>
  <cp:lastPrinted>2015-09-25T18:01:00Z</cp:lastPrinted>
  <dcterms:created xsi:type="dcterms:W3CDTF">2015-09-25T18:07:00Z</dcterms:created>
  <dcterms:modified xsi:type="dcterms:W3CDTF">2015-09-25T18:44:00Z</dcterms:modified>
</cp:coreProperties>
</file>