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5B34" w:rsidRPr="005051DE" w:rsidRDefault="00C420BE" w:rsidP="005337E5">
      <w:pPr>
        <w:pBdr>
          <w:bottom w:val="single" w:sz="12" w:space="1" w:color="auto"/>
        </w:pBdr>
        <w:rPr>
          <w:b/>
          <w:bCs/>
          <w:spacing w:val="20"/>
        </w:rPr>
      </w:pPr>
      <w:r>
        <w:rPr>
          <w:b/>
          <w:bCs/>
          <w:spacing w:val="20"/>
        </w:rPr>
        <w:t>INTRODUCTION</w:t>
      </w:r>
    </w:p>
    <w:p w:rsidR="00EA0465" w:rsidRDefault="00EA0465" w:rsidP="00EA0465">
      <w:pPr>
        <w:rPr>
          <w:b/>
          <w:bCs/>
          <w:sz w:val="28"/>
          <w:szCs w:val="28"/>
        </w:rPr>
      </w:pPr>
    </w:p>
    <w:p w:rsidR="00B64C67" w:rsidRDefault="00A92E6A" w:rsidP="00493047">
      <w:r>
        <w:tab/>
      </w:r>
      <w:r w:rsidR="00186310">
        <w:t xml:space="preserve">Avon Products is an iconic American brand of beauty products marketed directly to women. The company has a rich history and broad global reach, but social, economic, and demographic shifts have given the company’s leaders cause to rethink Avon’s business model and strategic direction. </w:t>
      </w:r>
      <w:r w:rsidR="00B64C67">
        <w:t xml:space="preserve"> </w:t>
      </w:r>
    </w:p>
    <w:p w:rsidR="00543C98" w:rsidRDefault="00543C98" w:rsidP="00EB1F8B"/>
    <w:p w:rsidR="00543C98" w:rsidRDefault="00D30741" w:rsidP="00EB1F8B">
      <w:r>
        <w:tab/>
      </w:r>
      <w:r w:rsidR="00186310">
        <w:t>After a brief introduction, the case describes how the company was founded and evolved throughout the twentieth century</w:t>
      </w:r>
      <w:r w:rsidR="00A1490F">
        <w:t>.</w:t>
      </w:r>
      <w:r w:rsidR="00186310">
        <w:t xml:space="preserve"> To support an internal analysis, the case reviews Avon’s products and brands; vision, mission, and values; supply chain practices; competitive and selling strategies; top executive leaders; and financial reports. The external environment is also covered, including general environmental conditions and information on the industry and competitors.</w:t>
      </w:r>
    </w:p>
    <w:p w:rsidR="00A1490F" w:rsidRDefault="00A1490F" w:rsidP="00EB1F8B"/>
    <w:p w:rsidR="00A1490F" w:rsidRDefault="00A1490F" w:rsidP="00EB1F8B">
      <w:r>
        <w:tab/>
      </w:r>
      <w:r w:rsidR="00186310">
        <w:t xml:space="preserve">Over the past decade, Andrea Jung has attempted to reshape Avon’s strategy to better fit present times. Her initiatives have achieved mixed results and somewhat limited success. Seeing the need to re-correct, the company’s board of directors has again decided to bring in new leadership at the top. As Sherilyn McCoy begins her tenure as Avon’s </w:t>
      </w:r>
      <w:r w:rsidR="00193533">
        <w:t xml:space="preserve">new </w:t>
      </w:r>
      <w:r w:rsidR="00186310">
        <w:t>CEO, this case analysis is suited to determine strategic fit and to address corporate governance mechanisms need</w:t>
      </w:r>
      <w:r w:rsidR="00FB1C9C">
        <w:t>ed</w:t>
      </w:r>
      <w:r w:rsidR="00186310">
        <w:t xml:space="preserve"> to </w:t>
      </w:r>
      <w:r w:rsidR="00FB1C9C">
        <w:t xml:space="preserve">ensure that the company operates in ways that will best serve its shareholders’ interests. </w:t>
      </w:r>
    </w:p>
    <w:p w:rsidR="007538FA" w:rsidRDefault="007538FA" w:rsidP="00EB1F8B"/>
    <w:p w:rsidR="0027318B" w:rsidRDefault="00FB1C9C" w:rsidP="008F4449">
      <w:pPr>
        <w:pStyle w:val="ListParagraph"/>
        <w:numPr>
          <w:ilvl w:val="0"/>
          <w:numId w:val="34"/>
        </w:numPr>
        <w:spacing w:after="120"/>
      </w:pPr>
      <w:r>
        <w:t xml:space="preserve">Conduct a SWOT analysis to highlight the most important factors that </w:t>
      </w:r>
      <w:r w:rsidR="00193533">
        <w:t xml:space="preserve">should be considered when formulating Avon’s strategy. </w:t>
      </w:r>
    </w:p>
    <w:p w:rsidR="0027318B" w:rsidRDefault="00FB1C9C" w:rsidP="00A92E6A">
      <w:pPr>
        <w:pStyle w:val="ListParagraph"/>
        <w:numPr>
          <w:ilvl w:val="0"/>
          <w:numId w:val="7"/>
        </w:numPr>
        <w:spacing w:after="120"/>
        <w:ind w:left="720"/>
      </w:pPr>
      <w:r>
        <w:t>Compare and contrast Jung’s strategy with McCoy’s new strategy.</w:t>
      </w:r>
      <w:r w:rsidR="008F4449">
        <w:t xml:space="preserve"> </w:t>
      </w:r>
    </w:p>
    <w:p w:rsidR="0027318B" w:rsidRDefault="00FB1C9C" w:rsidP="00A92E6A">
      <w:pPr>
        <w:pStyle w:val="ListParagraph"/>
        <w:numPr>
          <w:ilvl w:val="0"/>
          <w:numId w:val="7"/>
        </w:numPr>
        <w:spacing w:after="120"/>
        <w:ind w:left="720"/>
      </w:pPr>
      <w:r>
        <w:t>Did Jung’s strategy fit the situation? Why or why not?</w:t>
      </w:r>
      <w:r w:rsidR="008F4449">
        <w:t xml:space="preserve"> </w:t>
      </w:r>
      <w:r w:rsidR="003665AD">
        <w:t xml:space="preserve">Does McCoy’s strategy fit the current situation? Explain your answer. What suggestions can </w:t>
      </w:r>
      <w:r w:rsidR="0016598F">
        <w:t>be derived from the analysis</w:t>
      </w:r>
      <w:r w:rsidR="003665AD">
        <w:t xml:space="preserve"> to enhance McCoy’s strategic plans?</w:t>
      </w:r>
    </w:p>
    <w:p w:rsidR="0016598F" w:rsidRDefault="0016598F" w:rsidP="0016598F">
      <w:pPr>
        <w:pStyle w:val="ListParagraph"/>
        <w:numPr>
          <w:ilvl w:val="0"/>
          <w:numId w:val="7"/>
        </w:numPr>
        <w:ind w:left="720"/>
        <w:contextualSpacing w:val="0"/>
      </w:pPr>
      <w:r w:rsidRPr="0016598F">
        <w:t>Discuss Avon’s decision to retain Jung as the chairman of the board. Do you believe this is a good decision? What is the potential downside of keeping the former CEO in th</w:t>
      </w:r>
      <w:r w:rsidR="00080DC9">
        <w:t>is</w:t>
      </w:r>
      <w:r w:rsidRPr="0016598F">
        <w:t xml:space="preserve"> leadership role?</w:t>
      </w:r>
    </w:p>
    <w:p w:rsidR="0016598F" w:rsidRPr="0016598F" w:rsidRDefault="0016598F" w:rsidP="0016598F">
      <w:pPr>
        <w:rPr>
          <w:sz w:val="28"/>
        </w:rPr>
      </w:pPr>
    </w:p>
    <w:p w:rsidR="002D6F5B" w:rsidRPr="005051DE" w:rsidRDefault="002D6F5B" w:rsidP="002D6F5B">
      <w:pPr>
        <w:pBdr>
          <w:bottom w:val="single" w:sz="12" w:space="1" w:color="auto"/>
        </w:pBdr>
        <w:rPr>
          <w:b/>
          <w:bCs/>
          <w:spacing w:val="20"/>
        </w:rPr>
      </w:pPr>
      <w:r>
        <w:rPr>
          <w:b/>
          <w:bCs/>
          <w:spacing w:val="20"/>
        </w:rPr>
        <w:t>ANALYSIS</w:t>
      </w:r>
    </w:p>
    <w:p w:rsidR="008F4449" w:rsidRDefault="008F4449" w:rsidP="00EB1F8B">
      <w:pPr>
        <w:rPr>
          <w:b/>
          <w:bCs/>
          <w:spacing w:val="20"/>
        </w:rPr>
      </w:pPr>
    </w:p>
    <w:p w:rsidR="002D6F5B" w:rsidRPr="00FB1C9C" w:rsidRDefault="00FB1C9C" w:rsidP="00193533">
      <w:pPr>
        <w:pStyle w:val="ListParagraph"/>
        <w:numPr>
          <w:ilvl w:val="0"/>
          <w:numId w:val="7"/>
        </w:numPr>
        <w:rPr>
          <w:b/>
          <w:i/>
        </w:rPr>
      </w:pPr>
      <w:r w:rsidRPr="00FB1C9C">
        <w:rPr>
          <w:b/>
          <w:i/>
        </w:rPr>
        <w:t xml:space="preserve">Conduct a SWOT analysis to highlight the most important factors that </w:t>
      </w:r>
      <w:r w:rsidR="00193533" w:rsidRPr="00193533">
        <w:rPr>
          <w:b/>
          <w:i/>
        </w:rPr>
        <w:t>should be considered w</w:t>
      </w:r>
      <w:r w:rsidR="00193533">
        <w:rPr>
          <w:b/>
          <w:i/>
        </w:rPr>
        <w:t>hen formulating Avon’s strategy</w:t>
      </w:r>
      <w:r w:rsidRPr="00FB1C9C">
        <w:rPr>
          <w:b/>
          <w:i/>
        </w:rPr>
        <w:t>.</w:t>
      </w:r>
    </w:p>
    <w:p w:rsidR="00193533" w:rsidRDefault="00193533" w:rsidP="00193533">
      <w:pPr>
        <w:rPr>
          <w:bCs/>
        </w:rPr>
      </w:pPr>
    </w:p>
    <w:p w:rsidR="00193533" w:rsidRDefault="003665AD" w:rsidP="00193533">
      <w:pPr>
        <w:rPr>
          <w:bCs/>
        </w:rPr>
      </w:pPr>
      <w:r>
        <w:rPr>
          <w:bCs/>
        </w:rPr>
        <w:tab/>
        <w:t xml:space="preserve">The case includes extensive material on Avon’s internal environment. The company’s organizational strengths and weaknesses are outlined on the following pages; and selective entries from Avon’s balance sheet and income statement are noted to support the analysis. </w:t>
      </w:r>
    </w:p>
    <w:p w:rsidR="00B64C67" w:rsidRDefault="00B64C67" w:rsidP="00B64C67"/>
    <w:p w:rsidR="0016598F" w:rsidRDefault="0016598F" w:rsidP="00B64C67"/>
    <w:p w:rsidR="0016598F" w:rsidRDefault="0016598F" w:rsidP="00B64C67"/>
    <w:p w:rsidR="0016598F" w:rsidRDefault="0016598F" w:rsidP="00B64C67"/>
    <w:tbl>
      <w:tblPr>
        <w:tblW w:w="7513" w:type="dxa"/>
        <w:jc w:val="center"/>
        <w:tblInd w:w="-1537" w:type="dxa"/>
        <w:tblLook w:val="04A0" w:firstRow="1" w:lastRow="0" w:firstColumn="1" w:lastColumn="0" w:noHBand="0" w:noVBand="1"/>
      </w:tblPr>
      <w:tblGrid>
        <w:gridCol w:w="7513"/>
      </w:tblGrid>
      <w:tr w:rsidR="00193533" w:rsidRPr="00574704" w:rsidTr="00193533">
        <w:trPr>
          <w:trHeight w:val="315"/>
          <w:jc w:val="center"/>
        </w:trPr>
        <w:tc>
          <w:tcPr>
            <w:tcW w:w="7513" w:type="dxa"/>
            <w:tcBorders>
              <w:top w:val="nil"/>
              <w:left w:val="nil"/>
              <w:bottom w:val="single" w:sz="12" w:space="0" w:color="auto"/>
              <w:right w:val="nil"/>
            </w:tcBorders>
            <w:shd w:val="clear" w:color="auto" w:fill="auto"/>
            <w:vAlign w:val="bottom"/>
          </w:tcPr>
          <w:p w:rsidR="00193533" w:rsidRPr="00574704" w:rsidRDefault="00193533" w:rsidP="00193533">
            <w:pPr>
              <w:jc w:val="center"/>
              <w:rPr>
                <w:rFonts w:ascii="Calibri" w:eastAsia="Times New Roman" w:hAnsi="Calibri" w:cs="Calibri"/>
                <w:b/>
                <w:color w:val="000000"/>
                <w:sz w:val="22"/>
                <w:szCs w:val="22"/>
                <w:lang w:eastAsia="en-US"/>
              </w:rPr>
            </w:pPr>
            <w:r>
              <w:rPr>
                <w:rFonts w:ascii="Calibri" w:eastAsia="Times New Roman" w:hAnsi="Calibri" w:cs="Calibri"/>
                <w:b/>
                <w:color w:val="000000"/>
                <w:sz w:val="22"/>
                <w:szCs w:val="22"/>
                <w:lang w:eastAsia="en-US"/>
              </w:rPr>
              <w:lastRenderedPageBreak/>
              <w:t>Strength</w:t>
            </w:r>
            <w:r w:rsidRPr="00574704">
              <w:rPr>
                <w:rFonts w:ascii="Calibri" w:eastAsia="Times New Roman" w:hAnsi="Calibri" w:cs="Calibri"/>
                <w:b/>
                <w:color w:val="000000"/>
                <w:sz w:val="22"/>
                <w:szCs w:val="22"/>
                <w:lang w:eastAsia="en-US"/>
              </w:rPr>
              <w:t>s</w:t>
            </w:r>
          </w:p>
        </w:tc>
      </w:tr>
      <w:tr w:rsidR="00193533" w:rsidRPr="00574704" w:rsidTr="00193533">
        <w:trPr>
          <w:trHeight w:val="75"/>
          <w:jc w:val="center"/>
        </w:trPr>
        <w:tc>
          <w:tcPr>
            <w:tcW w:w="7513" w:type="dxa"/>
            <w:tcBorders>
              <w:top w:val="single" w:sz="12" w:space="0" w:color="auto"/>
              <w:left w:val="nil"/>
              <w:bottom w:val="single" w:sz="4" w:space="0" w:color="auto"/>
              <w:right w:val="nil"/>
            </w:tcBorders>
            <w:shd w:val="clear" w:color="auto" w:fill="auto"/>
            <w:vAlign w:val="bottom"/>
          </w:tcPr>
          <w:p w:rsidR="00193533" w:rsidRPr="00574704" w:rsidRDefault="00193533" w:rsidP="00193533">
            <w:pPr>
              <w:jc w:val="center"/>
              <w:rPr>
                <w:rFonts w:ascii="DilleniaUPC" w:eastAsia="Times New Roman" w:hAnsi="DilleniaUPC" w:cs="DilleniaUPC"/>
                <w:color w:val="000000"/>
                <w:sz w:val="16"/>
                <w:szCs w:val="16"/>
                <w:lang w:eastAsia="en-US"/>
              </w:rPr>
            </w:pPr>
            <w:r w:rsidRPr="0014460E">
              <w:rPr>
                <w:rFonts w:ascii="DilleniaUPC" w:eastAsia="Times New Roman" w:hAnsi="DilleniaUPC" w:cs="DilleniaUPC"/>
                <w:color w:val="000000"/>
                <w:sz w:val="16"/>
                <w:szCs w:val="16"/>
                <w:lang w:eastAsia="en-US"/>
              </w:rPr>
              <w:t xml:space="preserve">  </w:t>
            </w:r>
          </w:p>
        </w:tc>
      </w:tr>
      <w:tr w:rsidR="00193533" w:rsidRPr="00574704" w:rsidTr="00193533">
        <w:trPr>
          <w:trHeight w:val="70"/>
          <w:jc w:val="center"/>
        </w:trPr>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193533" w:rsidRPr="00574704" w:rsidRDefault="00811A65" w:rsidP="00193533">
            <w:pP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World’s largest direct seller – history as the leading global beauty company</w:t>
            </w:r>
          </w:p>
        </w:tc>
      </w:tr>
      <w:tr w:rsidR="00193533" w:rsidRPr="00574704" w:rsidTr="00193533">
        <w:trPr>
          <w:trHeight w:val="75"/>
          <w:jc w:val="center"/>
        </w:trPr>
        <w:tc>
          <w:tcPr>
            <w:tcW w:w="7513" w:type="dxa"/>
            <w:tcBorders>
              <w:top w:val="nil"/>
              <w:left w:val="nil"/>
              <w:bottom w:val="single" w:sz="4" w:space="0" w:color="auto"/>
              <w:right w:val="nil"/>
            </w:tcBorders>
            <w:shd w:val="clear" w:color="auto" w:fill="auto"/>
            <w:vAlign w:val="bottom"/>
          </w:tcPr>
          <w:p w:rsidR="00193533" w:rsidRPr="00574704" w:rsidRDefault="00193533" w:rsidP="00193533">
            <w:pPr>
              <w:rPr>
                <w:rFonts w:ascii="DilleniaUPC" w:eastAsia="Times New Roman" w:hAnsi="DilleniaUPC" w:cs="DilleniaUPC"/>
                <w:color w:val="000000"/>
                <w:sz w:val="16"/>
                <w:szCs w:val="16"/>
                <w:lang w:eastAsia="en-US"/>
              </w:rPr>
            </w:pPr>
            <w:r w:rsidRPr="00574704">
              <w:rPr>
                <w:rFonts w:ascii="DilleniaUPC" w:eastAsia="Times New Roman" w:hAnsi="DilleniaUPC" w:cs="DilleniaUPC"/>
                <w:color w:val="000000"/>
                <w:sz w:val="16"/>
                <w:szCs w:val="16"/>
                <w:lang w:eastAsia="en-US"/>
              </w:rPr>
              <w:t> </w:t>
            </w:r>
          </w:p>
        </w:tc>
      </w:tr>
      <w:tr w:rsidR="003665AD" w:rsidRPr="00574704" w:rsidTr="003665AD">
        <w:trPr>
          <w:trHeight w:val="70"/>
          <w:jc w:val="center"/>
        </w:trPr>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3665AD" w:rsidRPr="00574704" w:rsidRDefault="003665AD" w:rsidP="003665AD">
            <w:pP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6.4 million active sales representatives worldwide</w:t>
            </w:r>
          </w:p>
        </w:tc>
      </w:tr>
      <w:tr w:rsidR="003665AD" w:rsidRPr="00574704" w:rsidTr="003665AD">
        <w:trPr>
          <w:trHeight w:val="75"/>
          <w:jc w:val="center"/>
        </w:trPr>
        <w:tc>
          <w:tcPr>
            <w:tcW w:w="7513" w:type="dxa"/>
            <w:tcBorders>
              <w:top w:val="nil"/>
              <w:left w:val="nil"/>
              <w:bottom w:val="single" w:sz="4" w:space="0" w:color="auto"/>
              <w:right w:val="nil"/>
            </w:tcBorders>
            <w:shd w:val="clear" w:color="auto" w:fill="auto"/>
            <w:vAlign w:val="bottom"/>
          </w:tcPr>
          <w:p w:rsidR="003665AD" w:rsidRPr="00574704" w:rsidRDefault="003665AD" w:rsidP="003665AD">
            <w:pPr>
              <w:rPr>
                <w:rFonts w:ascii="DilleniaUPC" w:eastAsia="Times New Roman" w:hAnsi="DilleniaUPC" w:cs="DilleniaUPC"/>
                <w:color w:val="000000"/>
                <w:sz w:val="16"/>
                <w:szCs w:val="16"/>
                <w:lang w:eastAsia="en-US"/>
              </w:rPr>
            </w:pPr>
            <w:r w:rsidRPr="00574704">
              <w:rPr>
                <w:rFonts w:ascii="DilleniaUPC" w:eastAsia="Times New Roman" w:hAnsi="DilleniaUPC" w:cs="DilleniaUPC"/>
                <w:color w:val="000000"/>
                <w:sz w:val="16"/>
                <w:szCs w:val="16"/>
                <w:lang w:eastAsia="en-US"/>
              </w:rPr>
              <w:t> </w:t>
            </w:r>
          </w:p>
        </w:tc>
      </w:tr>
      <w:tr w:rsidR="00193533" w:rsidRPr="00574704" w:rsidTr="00811A65">
        <w:trPr>
          <w:trHeight w:val="72"/>
          <w:jc w:val="center"/>
        </w:trPr>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193533" w:rsidRPr="00574704" w:rsidRDefault="00811A65" w:rsidP="00811A65">
            <w:pP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 xml:space="preserve">Extensive product line of beauty, fashion, and home products – beauty segment represents 73% of revenue – gift, decorative, and apparel products are complementary </w:t>
            </w:r>
          </w:p>
        </w:tc>
      </w:tr>
      <w:tr w:rsidR="00193533" w:rsidRPr="00574704" w:rsidTr="00193533">
        <w:trPr>
          <w:trHeight w:val="75"/>
          <w:jc w:val="center"/>
        </w:trPr>
        <w:tc>
          <w:tcPr>
            <w:tcW w:w="7513" w:type="dxa"/>
            <w:tcBorders>
              <w:top w:val="nil"/>
              <w:left w:val="nil"/>
              <w:bottom w:val="single" w:sz="4" w:space="0" w:color="auto"/>
              <w:right w:val="nil"/>
            </w:tcBorders>
            <w:shd w:val="clear" w:color="auto" w:fill="auto"/>
            <w:vAlign w:val="bottom"/>
          </w:tcPr>
          <w:p w:rsidR="00193533" w:rsidRPr="00574704" w:rsidRDefault="00193533" w:rsidP="00193533">
            <w:pPr>
              <w:rPr>
                <w:rFonts w:ascii="DilleniaUPC" w:eastAsia="Times New Roman" w:hAnsi="DilleniaUPC" w:cs="DilleniaUPC"/>
                <w:color w:val="000000"/>
                <w:sz w:val="16"/>
                <w:szCs w:val="16"/>
                <w:lang w:eastAsia="en-US"/>
              </w:rPr>
            </w:pPr>
            <w:r w:rsidRPr="00574704">
              <w:rPr>
                <w:rFonts w:ascii="DilleniaUPC" w:eastAsia="Times New Roman" w:hAnsi="DilleniaUPC" w:cs="DilleniaUPC"/>
                <w:color w:val="000000"/>
                <w:sz w:val="16"/>
                <w:szCs w:val="16"/>
                <w:lang w:eastAsia="en-US"/>
              </w:rPr>
              <w:t> </w:t>
            </w:r>
          </w:p>
        </w:tc>
      </w:tr>
      <w:tr w:rsidR="00193533" w:rsidRPr="00574704" w:rsidTr="00193533">
        <w:trPr>
          <w:trHeight w:val="70"/>
          <w:jc w:val="center"/>
        </w:trPr>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193533" w:rsidRPr="00574704" w:rsidRDefault="00811A65" w:rsidP="00193533">
            <w:pP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 xml:space="preserve">Differentiation through personalized selling model </w:t>
            </w:r>
            <w:r w:rsidR="003665AD">
              <w:rPr>
                <w:rFonts w:ascii="Calibri" w:eastAsia="Times New Roman" w:hAnsi="Calibri" w:cs="Calibri"/>
                <w:color w:val="000000"/>
                <w:sz w:val="22"/>
                <w:szCs w:val="22"/>
                <w:lang w:eastAsia="en-US"/>
              </w:rPr>
              <w:t>– relationship marketing</w:t>
            </w:r>
          </w:p>
        </w:tc>
      </w:tr>
      <w:tr w:rsidR="00193533" w:rsidRPr="00574704" w:rsidTr="00193533">
        <w:trPr>
          <w:trHeight w:val="75"/>
          <w:jc w:val="center"/>
        </w:trPr>
        <w:tc>
          <w:tcPr>
            <w:tcW w:w="7513" w:type="dxa"/>
            <w:tcBorders>
              <w:top w:val="nil"/>
              <w:left w:val="nil"/>
              <w:bottom w:val="single" w:sz="4" w:space="0" w:color="auto"/>
              <w:right w:val="nil"/>
            </w:tcBorders>
            <w:shd w:val="clear" w:color="auto" w:fill="auto"/>
            <w:vAlign w:val="bottom"/>
          </w:tcPr>
          <w:p w:rsidR="00193533" w:rsidRPr="00574704" w:rsidRDefault="00193533" w:rsidP="00193533">
            <w:pPr>
              <w:rPr>
                <w:rFonts w:ascii="DilleniaUPC" w:eastAsia="Times New Roman" w:hAnsi="DilleniaUPC" w:cs="DilleniaUPC"/>
                <w:color w:val="000000"/>
                <w:sz w:val="16"/>
                <w:szCs w:val="16"/>
                <w:lang w:eastAsia="en-US"/>
              </w:rPr>
            </w:pPr>
            <w:r w:rsidRPr="00574704">
              <w:rPr>
                <w:rFonts w:ascii="DilleniaUPC" w:eastAsia="Times New Roman" w:hAnsi="DilleniaUPC" w:cs="DilleniaUPC"/>
                <w:color w:val="000000"/>
                <w:sz w:val="16"/>
                <w:szCs w:val="16"/>
                <w:lang w:eastAsia="en-US"/>
              </w:rPr>
              <w:t> </w:t>
            </w:r>
          </w:p>
        </w:tc>
      </w:tr>
      <w:tr w:rsidR="00193533" w:rsidRPr="00574704" w:rsidTr="00193533">
        <w:trPr>
          <w:trHeight w:val="260"/>
          <w:jc w:val="center"/>
        </w:trPr>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193533" w:rsidRPr="00574704" w:rsidRDefault="00811A65" w:rsidP="00193533">
            <w:pP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Focus on empowering and serving women</w:t>
            </w:r>
          </w:p>
        </w:tc>
      </w:tr>
      <w:tr w:rsidR="00193533" w:rsidRPr="00574704" w:rsidTr="00193533">
        <w:trPr>
          <w:trHeight w:val="75"/>
          <w:jc w:val="center"/>
        </w:trPr>
        <w:tc>
          <w:tcPr>
            <w:tcW w:w="7513" w:type="dxa"/>
            <w:tcBorders>
              <w:top w:val="nil"/>
              <w:left w:val="nil"/>
              <w:bottom w:val="single" w:sz="4" w:space="0" w:color="auto"/>
              <w:right w:val="nil"/>
            </w:tcBorders>
            <w:shd w:val="clear" w:color="auto" w:fill="auto"/>
            <w:vAlign w:val="bottom"/>
          </w:tcPr>
          <w:p w:rsidR="00193533" w:rsidRPr="00574704" w:rsidRDefault="00193533" w:rsidP="00193533">
            <w:pPr>
              <w:rPr>
                <w:rFonts w:ascii="DilleniaUPC" w:eastAsia="Times New Roman" w:hAnsi="DilleniaUPC" w:cs="DilleniaUPC"/>
                <w:color w:val="000000"/>
                <w:sz w:val="16"/>
                <w:szCs w:val="16"/>
                <w:lang w:eastAsia="en-US"/>
              </w:rPr>
            </w:pPr>
            <w:r w:rsidRPr="00574704">
              <w:rPr>
                <w:rFonts w:ascii="DilleniaUPC" w:eastAsia="Times New Roman" w:hAnsi="DilleniaUPC" w:cs="DilleniaUPC"/>
                <w:color w:val="000000"/>
                <w:sz w:val="16"/>
                <w:szCs w:val="16"/>
                <w:lang w:eastAsia="en-US"/>
              </w:rPr>
              <w:t> </w:t>
            </w:r>
          </w:p>
        </w:tc>
      </w:tr>
      <w:tr w:rsidR="00193533" w:rsidRPr="00574704" w:rsidTr="00193533">
        <w:trPr>
          <w:trHeight w:val="70"/>
          <w:jc w:val="center"/>
        </w:trPr>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193533" w:rsidRPr="00574704" w:rsidRDefault="00193533" w:rsidP="00811A65">
            <w:pPr>
              <w:rPr>
                <w:rFonts w:ascii="Calibri" w:eastAsia="Times New Roman" w:hAnsi="Calibri" w:cs="Calibri"/>
                <w:color w:val="000000"/>
                <w:sz w:val="22"/>
                <w:szCs w:val="22"/>
                <w:lang w:eastAsia="en-US"/>
              </w:rPr>
            </w:pPr>
            <w:r w:rsidRPr="00574704">
              <w:rPr>
                <w:rFonts w:ascii="Calibri" w:eastAsia="Times New Roman" w:hAnsi="Calibri" w:cs="Calibri"/>
                <w:color w:val="000000"/>
                <w:sz w:val="22"/>
                <w:szCs w:val="22"/>
                <w:lang w:eastAsia="en-US"/>
              </w:rPr>
              <w:t xml:space="preserve">Ability to </w:t>
            </w:r>
            <w:r w:rsidR="00811A65">
              <w:rPr>
                <w:rFonts w:ascii="Calibri" w:eastAsia="Times New Roman" w:hAnsi="Calibri" w:cs="Calibri"/>
                <w:color w:val="000000"/>
                <w:sz w:val="22"/>
                <w:szCs w:val="22"/>
                <w:lang w:eastAsia="en-US"/>
              </w:rPr>
              <w:t xml:space="preserve">build connections </w:t>
            </w:r>
            <w:r w:rsidR="004E7DA0">
              <w:rPr>
                <w:rFonts w:ascii="Calibri" w:eastAsia="Times New Roman" w:hAnsi="Calibri" w:cs="Calibri"/>
                <w:color w:val="000000"/>
                <w:sz w:val="22"/>
                <w:szCs w:val="22"/>
                <w:lang w:eastAsia="en-US"/>
              </w:rPr>
              <w:t>and customer loyalty</w:t>
            </w:r>
          </w:p>
        </w:tc>
      </w:tr>
      <w:tr w:rsidR="00193533" w:rsidRPr="00574704" w:rsidTr="00193533">
        <w:trPr>
          <w:trHeight w:val="75"/>
          <w:jc w:val="center"/>
        </w:trPr>
        <w:tc>
          <w:tcPr>
            <w:tcW w:w="7513" w:type="dxa"/>
            <w:tcBorders>
              <w:top w:val="nil"/>
              <w:left w:val="nil"/>
              <w:bottom w:val="single" w:sz="4" w:space="0" w:color="auto"/>
              <w:right w:val="nil"/>
            </w:tcBorders>
            <w:shd w:val="clear" w:color="auto" w:fill="auto"/>
            <w:vAlign w:val="bottom"/>
          </w:tcPr>
          <w:p w:rsidR="00193533" w:rsidRPr="00574704" w:rsidRDefault="00193533" w:rsidP="00193533">
            <w:pPr>
              <w:rPr>
                <w:rFonts w:ascii="DilleniaUPC" w:eastAsia="Times New Roman" w:hAnsi="DilleniaUPC" w:cs="DilleniaUPC"/>
                <w:color w:val="000000"/>
                <w:sz w:val="16"/>
                <w:szCs w:val="16"/>
                <w:lang w:eastAsia="en-US"/>
              </w:rPr>
            </w:pPr>
            <w:r w:rsidRPr="00574704">
              <w:rPr>
                <w:rFonts w:ascii="DilleniaUPC" w:eastAsia="Times New Roman" w:hAnsi="DilleniaUPC" w:cs="DilleniaUPC"/>
                <w:color w:val="000000"/>
                <w:sz w:val="16"/>
                <w:szCs w:val="16"/>
                <w:lang w:eastAsia="en-US"/>
              </w:rPr>
              <w:t> </w:t>
            </w:r>
          </w:p>
        </w:tc>
      </w:tr>
      <w:tr w:rsidR="00193533" w:rsidRPr="00574704" w:rsidTr="00193533">
        <w:trPr>
          <w:trHeight w:val="70"/>
          <w:jc w:val="center"/>
        </w:trPr>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193533" w:rsidRPr="00574704" w:rsidRDefault="00811A65" w:rsidP="00811A65">
            <w:pP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 xml:space="preserve">$10 billion in sales (2008) </w:t>
            </w:r>
          </w:p>
        </w:tc>
      </w:tr>
      <w:tr w:rsidR="00193533" w:rsidRPr="00574704" w:rsidTr="00193533">
        <w:trPr>
          <w:trHeight w:val="75"/>
          <w:jc w:val="center"/>
        </w:trPr>
        <w:tc>
          <w:tcPr>
            <w:tcW w:w="7513" w:type="dxa"/>
            <w:tcBorders>
              <w:top w:val="nil"/>
              <w:left w:val="nil"/>
              <w:bottom w:val="single" w:sz="4" w:space="0" w:color="auto"/>
              <w:right w:val="nil"/>
            </w:tcBorders>
            <w:shd w:val="clear" w:color="auto" w:fill="auto"/>
            <w:vAlign w:val="bottom"/>
          </w:tcPr>
          <w:p w:rsidR="00193533" w:rsidRPr="00574704" w:rsidRDefault="00193533" w:rsidP="00193533">
            <w:pPr>
              <w:rPr>
                <w:rFonts w:ascii="DilleniaUPC" w:eastAsia="Times New Roman" w:hAnsi="DilleniaUPC" w:cs="DilleniaUPC"/>
                <w:color w:val="000000"/>
                <w:sz w:val="16"/>
                <w:szCs w:val="16"/>
                <w:lang w:eastAsia="en-US"/>
              </w:rPr>
            </w:pPr>
            <w:r w:rsidRPr="00574704">
              <w:rPr>
                <w:rFonts w:ascii="DilleniaUPC" w:eastAsia="Times New Roman" w:hAnsi="DilleniaUPC" w:cs="DilleniaUPC"/>
                <w:color w:val="000000"/>
                <w:sz w:val="16"/>
                <w:szCs w:val="16"/>
                <w:lang w:eastAsia="en-US"/>
              </w:rPr>
              <w:t> </w:t>
            </w:r>
          </w:p>
        </w:tc>
      </w:tr>
      <w:tr w:rsidR="00193533" w:rsidRPr="00574704" w:rsidTr="00193533">
        <w:trPr>
          <w:trHeight w:val="305"/>
          <w:jc w:val="center"/>
        </w:trPr>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193533" w:rsidRPr="00574704" w:rsidRDefault="00811A65" w:rsidP="00193533">
            <w:pP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Celebrity endorsements and product offerings</w:t>
            </w:r>
          </w:p>
        </w:tc>
      </w:tr>
      <w:tr w:rsidR="00193533" w:rsidRPr="00574704" w:rsidTr="00193533">
        <w:trPr>
          <w:trHeight w:val="75"/>
          <w:jc w:val="center"/>
        </w:trPr>
        <w:tc>
          <w:tcPr>
            <w:tcW w:w="7513" w:type="dxa"/>
            <w:tcBorders>
              <w:top w:val="nil"/>
              <w:left w:val="nil"/>
              <w:bottom w:val="single" w:sz="4" w:space="0" w:color="auto"/>
              <w:right w:val="nil"/>
            </w:tcBorders>
            <w:shd w:val="clear" w:color="auto" w:fill="auto"/>
            <w:vAlign w:val="bottom"/>
          </w:tcPr>
          <w:p w:rsidR="00193533" w:rsidRPr="00574704" w:rsidRDefault="00193533" w:rsidP="00193533">
            <w:pPr>
              <w:rPr>
                <w:rFonts w:ascii="DilleniaUPC" w:eastAsia="Times New Roman" w:hAnsi="DilleniaUPC" w:cs="DilleniaUPC"/>
                <w:color w:val="000000"/>
                <w:sz w:val="16"/>
                <w:szCs w:val="16"/>
                <w:lang w:eastAsia="en-US"/>
              </w:rPr>
            </w:pPr>
            <w:r w:rsidRPr="00574704">
              <w:rPr>
                <w:rFonts w:ascii="DilleniaUPC" w:eastAsia="Times New Roman" w:hAnsi="DilleniaUPC" w:cs="DilleniaUPC"/>
                <w:color w:val="000000"/>
                <w:sz w:val="16"/>
                <w:szCs w:val="16"/>
                <w:lang w:eastAsia="en-US"/>
              </w:rPr>
              <w:t> </w:t>
            </w:r>
          </w:p>
        </w:tc>
      </w:tr>
      <w:tr w:rsidR="00193533" w:rsidRPr="00574704" w:rsidTr="00193533">
        <w:trPr>
          <w:trHeight w:val="197"/>
          <w:jc w:val="center"/>
        </w:trPr>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193533" w:rsidRPr="00574704" w:rsidRDefault="00811A65" w:rsidP="00193533">
            <w:pP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 xml:space="preserve">Global reach – 83% of revenue generated outside of the U.S. – </w:t>
            </w:r>
            <w:r w:rsidR="0016598F">
              <w:rPr>
                <w:rFonts w:ascii="Calibri" w:eastAsia="Times New Roman" w:hAnsi="Calibri" w:cs="Calibri"/>
                <w:color w:val="000000"/>
                <w:sz w:val="22"/>
                <w:szCs w:val="22"/>
                <w:lang w:eastAsia="en-US"/>
              </w:rPr>
              <w:t xml:space="preserve">strong </w:t>
            </w:r>
            <w:r>
              <w:rPr>
                <w:rFonts w:ascii="Calibri" w:eastAsia="Times New Roman" w:hAnsi="Calibri" w:cs="Calibri"/>
                <w:color w:val="000000"/>
                <w:sz w:val="22"/>
                <w:szCs w:val="22"/>
                <w:lang w:eastAsia="en-US"/>
              </w:rPr>
              <w:t>position in international markets</w:t>
            </w:r>
          </w:p>
        </w:tc>
      </w:tr>
      <w:tr w:rsidR="00193533" w:rsidRPr="00574704" w:rsidTr="00193533">
        <w:trPr>
          <w:trHeight w:val="75"/>
          <w:jc w:val="center"/>
        </w:trPr>
        <w:tc>
          <w:tcPr>
            <w:tcW w:w="7513" w:type="dxa"/>
            <w:tcBorders>
              <w:top w:val="nil"/>
              <w:left w:val="nil"/>
              <w:bottom w:val="single" w:sz="4" w:space="0" w:color="auto"/>
              <w:right w:val="nil"/>
            </w:tcBorders>
            <w:shd w:val="clear" w:color="auto" w:fill="auto"/>
            <w:vAlign w:val="bottom"/>
          </w:tcPr>
          <w:p w:rsidR="00193533" w:rsidRPr="00574704" w:rsidRDefault="00193533" w:rsidP="00193533">
            <w:pPr>
              <w:rPr>
                <w:rFonts w:ascii="DilleniaUPC" w:eastAsia="Times New Roman" w:hAnsi="DilleniaUPC" w:cs="DilleniaUPC"/>
                <w:color w:val="000000"/>
                <w:sz w:val="16"/>
                <w:szCs w:val="16"/>
                <w:lang w:eastAsia="en-US"/>
              </w:rPr>
            </w:pPr>
            <w:r w:rsidRPr="00574704">
              <w:rPr>
                <w:rFonts w:ascii="DilleniaUPC" w:eastAsia="Times New Roman" w:hAnsi="DilleniaUPC" w:cs="DilleniaUPC"/>
                <w:color w:val="000000"/>
                <w:sz w:val="16"/>
                <w:szCs w:val="16"/>
                <w:lang w:eastAsia="en-US"/>
              </w:rPr>
              <w:t> </w:t>
            </w:r>
          </w:p>
        </w:tc>
      </w:tr>
      <w:tr w:rsidR="00193533" w:rsidRPr="00574704" w:rsidTr="00193533">
        <w:trPr>
          <w:trHeight w:val="70"/>
          <w:jc w:val="center"/>
        </w:trPr>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193533" w:rsidRPr="00574704" w:rsidRDefault="00811A65" w:rsidP="00193533">
            <w:pP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In-house manufacturing and packaging of beauty products</w:t>
            </w:r>
          </w:p>
        </w:tc>
      </w:tr>
      <w:tr w:rsidR="00193533" w:rsidRPr="00574704" w:rsidTr="00193533">
        <w:trPr>
          <w:trHeight w:val="80"/>
          <w:jc w:val="center"/>
        </w:trPr>
        <w:tc>
          <w:tcPr>
            <w:tcW w:w="7513" w:type="dxa"/>
            <w:tcBorders>
              <w:top w:val="nil"/>
              <w:bottom w:val="single" w:sz="4" w:space="0" w:color="auto"/>
            </w:tcBorders>
            <w:shd w:val="clear" w:color="auto" w:fill="auto"/>
            <w:vAlign w:val="bottom"/>
          </w:tcPr>
          <w:p w:rsidR="00193533" w:rsidRPr="00574704" w:rsidRDefault="00193533" w:rsidP="00193533">
            <w:pPr>
              <w:rPr>
                <w:rFonts w:ascii="DilleniaUPC" w:eastAsia="Times New Roman" w:hAnsi="DilleniaUPC" w:cs="DilleniaUPC"/>
                <w:color w:val="000000"/>
                <w:sz w:val="16"/>
                <w:szCs w:val="16"/>
                <w:lang w:eastAsia="en-US"/>
              </w:rPr>
            </w:pPr>
            <w:r w:rsidRPr="00574704">
              <w:rPr>
                <w:rFonts w:ascii="DilleniaUPC" w:eastAsia="Times New Roman" w:hAnsi="DilleniaUPC" w:cs="DilleniaUPC"/>
                <w:color w:val="000000"/>
                <w:sz w:val="16"/>
                <w:szCs w:val="16"/>
                <w:lang w:eastAsia="en-US"/>
              </w:rPr>
              <w:t> </w:t>
            </w:r>
          </w:p>
        </w:tc>
      </w:tr>
      <w:tr w:rsidR="00193533" w:rsidRPr="00574704" w:rsidTr="00193533">
        <w:trPr>
          <w:trHeight w:val="278"/>
          <w:jc w:val="center"/>
        </w:trPr>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193533" w:rsidRPr="00574704" w:rsidRDefault="00811A65" w:rsidP="003665AD">
            <w:pP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 xml:space="preserve">Global supplier orientation – </w:t>
            </w:r>
            <w:r w:rsidR="003665AD">
              <w:rPr>
                <w:rFonts w:ascii="Calibri" w:eastAsia="Times New Roman" w:hAnsi="Calibri" w:cs="Calibri"/>
                <w:color w:val="000000"/>
                <w:sz w:val="22"/>
                <w:szCs w:val="22"/>
                <w:lang w:eastAsia="en-US"/>
              </w:rPr>
              <w:t>e</w:t>
            </w:r>
            <w:r>
              <w:rPr>
                <w:rFonts w:ascii="Calibri" w:eastAsia="Times New Roman" w:hAnsi="Calibri" w:cs="Calibri"/>
                <w:color w:val="000000"/>
                <w:sz w:val="22"/>
                <w:szCs w:val="22"/>
                <w:lang w:eastAsia="en-US"/>
              </w:rPr>
              <w:t xml:space="preserve">fficient, cost-sensitive ERP system </w:t>
            </w:r>
            <w:r w:rsidR="004E7DA0">
              <w:rPr>
                <w:rFonts w:ascii="Calibri" w:eastAsia="Times New Roman" w:hAnsi="Calibri" w:cs="Calibri"/>
                <w:color w:val="000000"/>
                <w:sz w:val="22"/>
                <w:szCs w:val="22"/>
                <w:lang w:eastAsia="en-US"/>
              </w:rPr>
              <w:t>– economies of scale used to sustain value price points</w:t>
            </w:r>
          </w:p>
        </w:tc>
      </w:tr>
      <w:tr w:rsidR="00193533" w:rsidRPr="00574704" w:rsidTr="00193533">
        <w:trPr>
          <w:trHeight w:val="75"/>
          <w:jc w:val="center"/>
        </w:trPr>
        <w:tc>
          <w:tcPr>
            <w:tcW w:w="7513" w:type="dxa"/>
            <w:tcBorders>
              <w:top w:val="nil"/>
              <w:left w:val="nil"/>
              <w:bottom w:val="single" w:sz="4" w:space="0" w:color="auto"/>
              <w:right w:val="nil"/>
            </w:tcBorders>
            <w:shd w:val="clear" w:color="auto" w:fill="auto"/>
            <w:vAlign w:val="bottom"/>
          </w:tcPr>
          <w:p w:rsidR="00193533" w:rsidRPr="00574704" w:rsidRDefault="00193533" w:rsidP="00193533">
            <w:pPr>
              <w:rPr>
                <w:rFonts w:ascii="DilleniaUPC" w:eastAsia="Times New Roman" w:hAnsi="DilleniaUPC" w:cs="DilleniaUPC"/>
                <w:color w:val="000000"/>
                <w:sz w:val="16"/>
                <w:szCs w:val="16"/>
                <w:lang w:eastAsia="en-US"/>
              </w:rPr>
            </w:pPr>
            <w:r w:rsidRPr="00574704">
              <w:rPr>
                <w:rFonts w:ascii="DilleniaUPC" w:eastAsia="Times New Roman" w:hAnsi="DilleniaUPC" w:cs="DilleniaUPC"/>
                <w:color w:val="000000"/>
                <w:sz w:val="16"/>
                <w:szCs w:val="16"/>
                <w:lang w:eastAsia="en-US"/>
              </w:rPr>
              <w:t> </w:t>
            </w:r>
          </w:p>
        </w:tc>
      </w:tr>
      <w:tr w:rsidR="00193533" w:rsidRPr="00574704" w:rsidTr="00193533">
        <w:trPr>
          <w:trHeight w:val="300"/>
          <w:jc w:val="center"/>
        </w:trPr>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193533" w:rsidRPr="00574704" w:rsidRDefault="004E7DA0" w:rsidP="004E7DA0">
            <w:pP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Innovative, proprietary products – delivery of “first-to-market” products with visible consumer benefits – research and development capabilities</w:t>
            </w:r>
          </w:p>
        </w:tc>
      </w:tr>
      <w:tr w:rsidR="0016598F" w:rsidRPr="00574704" w:rsidTr="007E312A">
        <w:trPr>
          <w:trHeight w:val="75"/>
          <w:jc w:val="center"/>
        </w:trPr>
        <w:tc>
          <w:tcPr>
            <w:tcW w:w="7513" w:type="dxa"/>
            <w:tcBorders>
              <w:top w:val="nil"/>
              <w:left w:val="nil"/>
              <w:bottom w:val="single" w:sz="4" w:space="0" w:color="auto"/>
              <w:right w:val="nil"/>
            </w:tcBorders>
            <w:shd w:val="clear" w:color="auto" w:fill="auto"/>
            <w:vAlign w:val="bottom"/>
          </w:tcPr>
          <w:p w:rsidR="0016598F" w:rsidRPr="00574704" w:rsidRDefault="0016598F" w:rsidP="007E312A">
            <w:pPr>
              <w:rPr>
                <w:rFonts w:ascii="DilleniaUPC" w:eastAsia="Times New Roman" w:hAnsi="DilleniaUPC" w:cs="DilleniaUPC"/>
                <w:color w:val="000000"/>
                <w:sz w:val="16"/>
                <w:szCs w:val="16"/>
                <w:lang w:eastAsia="en-US"/>
              </w:rPr>
            </w:pPr>
            <w:r w:rsidRPr="00574704">
              <w:rPr>
                <w:rFonts w:ascii="DilleniaUPC" w:eastAsia="Times New Roman" w:hAnsi="DilleniaUPC" w:cs="DilleniaUPC"/>
                <w:color w:val="000000"/>
                <w:sz w:val="16"/>
                <w:szCs w:val="16"/>
                <w:lang w:eastAsia="en-US"/>
              </w:rPr>
              <w:t> </w:t>
            </w:r>
          </w:p>
        </w:tc>
      </w:tr>
      <w:tr w:rsidR="00193533" w:rsidRPr="00AD7212" w:rsidTr="00193533">
        <w:trPr>
          <w:trHeight w:val="300"/>
          <w:jc w:val="center"/>
        </w:trPr>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193533" w:rsidRPr="00AD7212" w:rsidRDefault="004E7DA0" w:rsidP="004E7DA0">
            <w:pP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Representative Value Proposition (RPV) – supportive online technologies</w:t>
            </w:r>
          </w:p>
        </w:tc>
      </w:tr>
      <w:tr w:rsidR="0016598F" w:rsidRPr="00574704" w:rsidTr="007E312A">
        <w:trPr>
          <w:trHeight w:val="75"/>
          <w:jc w:val="center"/>
        </w:trPr>
        <w:tc>
          <w:tcPr>
            <w:tcW w:w="7513" w:type="dxa"/>
            <w:tcBorders>
              <w:top w:val="nil"/>
              <w:left w:val="nil"/>
              <w:bottom w:val="single" w:sz="4" w:space="0" w:color="auto"/>
              <w:right w:val="nil"/>
            </w:tcBorders>
            <w:shd w:val="clear" w:color="auto" w:fill="auto"/>
            <w:vAlign w:val="bottom"/>
          </w:tcPr>
          <w:p w:rsidR="0016598F" w:rsidRPr="00574704" w:rsidRDefault="0016598F" w:rsidP="007E312A">
            <w:pPr>
              <w:rPr>
                <w:rFonts w:ascii="DilleniaUPC" w:eastAsia="Times New Roman" w:hAnsi="DilleniaUPC" w:cs="DilleniaUPC"/>
                <w:color w:val="000000"/>
                <w:sz w:val="16"/>
                <w:szCs w:val="16"/>
                <w:lang w:eastAsia="en-US"/>
              </w:rPr>
            </w:pPr>
            <w:r w:rsidRPr="00574704">
              <w:rPr>
                <w:rFonts w:ascii="DilleniaUPC" w:eastAsia="Times New Roman" w:hAnsi="DilleniaUPC" w:cs="DilleniaUPC"/>
                <w:color w:val="000000"/>
                <w:sz w:val="16"/>
                <w:szCs w:val="16"/>
                <w:lang w:eastAsia="en-US"/>
              </w:rPr>
              <w:t> </w:t>
            </w:r>
          </w:p>
        </w:tc>
      </w:tr>
      <w:tr w:rsidR="004E7DA0" w:rsidRPr="00AD7212" w:rsidTr="009A31EB">
        <w:trPr>
          <w:trHeight w:val="300"/>
          <w:jc w:val="center"/>
        </w:trPr>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4E7DA0" w:rsidRPr="00AD7212" w:rsidRDefault="004E7DA0" w:rsidP="009A31EB">
            <w:pP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Mergers and acquisitions to diversify product lines</w:t>
            </w:r>
          </w:p>
        </w:tc>
      </w:tr>
    </w:tbl>
    <w:p w:rsidR="003665AD" w:rsidRDefault="003665AD" w:rsidP="00B64C67"/>
    <w:p w:rsidR="00684ACD" w:rsidRDefault="00684ACD" w:rsidP="00B64C67"/>
    <w:tbl>
      <w:tblPr>
        <w:tblW w:w="7513" w:type="dxa"/>
        <w:jc w:val="center"/>
        <w:tblInd w:w="-1537" w:type="dxa"/>
        <w:tblLook w:val="04A0" w:firstRow="1" w:lastRow="0" w:firstColumn="1" w:lastColumn="0" w:noHBand="0" w:noVBand="1"/>
      </w:tblPr>
      <w:tblGrid>
        <w:gridCol w:w="7513"/>
      </w:tblGrid>
      <w:tr w:rsidR="00193533" w:rsidRPr="00574704" w:rsidTr="00193533">
        <w:trPr>
          <w:trHeight w:val="315"/>
          <w:jc w:val="center"/>
        </w:trPr>
        <w:tc>
          <w:tcPr>
            <w:tcW w:w="7513" w:type="dxa"/>
            <w:tcBorders>
              <w:top w:val="nil"/>
              <w:left w:val="nil"/>
              <w:bottom w:val="single" w:sz="12" w:space="0" w:color="auto"/>
              <w:right w:val="nil"/>
            </w:tcBorders>
            <w:shd w:val="clear" w:color="auto" w:fill="auto"/>
            <w:vAlign w:val="bottom"/>
          </w:tcPr>
          <w:p w:rsidR="00193533" w:rsidRPr="00574704" w:rsidRDefault="00193533" w:rsidP="00193533">
            <w:pPr>
              <w:jc w:val="center"/>
              <w:rPr>
                <w:rFonts w:ascii="Calibri" w:eastAsia="Times New Roman" w:hAnsi="Calibri" w:cs="Calibri"/>
                <w:b/>
                <w:color w:val="000000"/>
                <w:sz w:val="22"/>
                <w:szCs w:val="22"/>
                <w:lang w:eastAsia="en-US"/>
              </w:rPr>
            </w:pPr>
            <w:r w:rsidRPr="00574704">
              <w:rPr>
                <w:rFonts w:ascii="Calibri" w:eastAsia="Times New Roman" w:hAnsi="Calibri" w:cs="Calibri"/>
                <w:b/>
                <w:color w:val="000000"/>
                <w:sz w:val="22"/>
                <w:szCs w:val="22"/>
                <w:lang w:eastAsia="en-US"/>
              </w:rPr>
              <w:t>Weaknesses</w:t>
            </w:r>
          </w:p>
        </w:tc>
      </w:tr>
      <w:tr w:rsidR="00193533" w:rsidRPr="00574704" w:rsidTr="00193533">
        <w:trPr>
          <w:trHeight w:val="75"/>
          <w:jc w:val="center"/>
        </w:trPr>
        <w:tc>
          <w:tcPr>
            <w:tcW w:w="7513" w:type="dxa"/>
            <w:tcBorders>
              <w:top w:val="single" w:sz="12" w:space="0" w:color="auto"/>
              <w:left w:val="nil"/>
              <w:bottom w:val="single" w:sz="4" w:space="0" w:color="auto"/>
              <w:right w:val="nil"/>
            </w:tcBorders>
            <w:shd w:val="clear" w:color="auto" w:fill="auto"/>
            <w:vAlign w:val="bottom"/>
          </w:tcPr>
          <w:p w:rsidR="00193533" w:rsidRPr="00574704" w:rsidRDefault="00193533" w:rsidP="00193533">
            <w:pPr>
              <w:jc w:val="center"/>
              <w:rPr>
                <w:rFonts w:ascii="DilleniaUPC" w:eastAsia="Times New Roman" w:hAnsi="DilleniaUPC" w:cs="DilleniaUPC"/>
                <w:color w:val="000000"/>
                <w:sz w:val="16"/>
                <w:szCs w:val="16"/>
                <w:lang w:eastAsia="en-US"/>
              </w:rPr>
            </w:pPr>
            <w:r w:rsidRPr="0014460E">
              <w:rPr>
                <w:rFonts w:ascii="DilleniaUPC" w:eastAsia="Times New Roman" w:hAnsi="DilleniaUPC" w:cs="DilleniaUPC"/>
                <w:color w:val="000000"/>
                <w:sz w:val="16"/>
                <w:szCs w:val="16"/>
                <w:lang w:eastAsia="en-US"/>
              </w:rPr>
              <w:t xml:space="preserve">  </w:t>
            </w:r>
          </w:p>
        </w:tc>
      </w:tr>
      <w:tr w:rsidR="00193533" w:rsidRPr="00574704" w:rsidTr="00193533">
        <w:trPr>
          <w:trHeight w:val="70"/>
          <w:jc w:val="center"/>
        </w:trPr>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193533" w:rsidRPr="00574704" w:rsidRDefault="004E7DA0" w:rsidP="00193533">
            <w:pP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Share price – down more than 50% over past 2 years</w:t>
            </w:r>
            <w:r w:rsidR="003665AD">
              <w:rPr>
                <w:rFonts w:ascii="Calibri" w:eastAsia="Times New Roman" w:hAnsi="Calibri" w:cs="Calibri"/>
                <w:color w:val="000000"/>
                <w:sz w:val="22"/>
                <w:szCs w:val="22"/>
                <w:lang w:eastAsia="en-US"/>
              </w:rPr>
              <w:t xml:space="preserve"> – decline in shareholder equity*</w:t>
            </w:r>
          </w:p>
        </w:tc>
      </w:tr>
      <w:tr w:rsidR="00193533" w:rsidRPr="00574704" w:rsidTr="00193533">
        <w:trPr>
          <w:trHeight w:val="75"/>
          <w:jc w:val="center"/>
        </w:trPr>
        <w:tc>
          <w:tcPr>
            <w:tcW w:w="7513" w:type="dxa"/>
            <w:tcBorders>
              <w:top w:val="nil"/>
              <w:left w:val="nil"/>
              <w:bottom w:val="single" w:sz="4" w:space="0" w:color="auto"/>
              <w:right w:val="nil"/>
            </w:tcBorders>
            <w:shd w:val="clear" w:color="auto" w:fill="auto"/>
            <w:vAlign w:val="bottom"/>
          </w:tcPr>
          <w:p w:rsidR="00193533" w:rsidRPr="00574704" w:rsidRDefault="00193533" w:rsidP="00193533">
            <w:pPr>
              <w:rPr>
                <w:rFonts w:ascii="DilleniaUPC" w:eastAsia="Times New Roman" w:hAnsi="DilleniaUPC" w:cs="DilleniaUPC"/>
                <w:color w:val="000000"/>
                <w:sz w:val="16"/>
                <w:szCs w:val="16"/>
                <w:lang w:eastAsia="en-US"/>
              </w:rPr>
            </w:pPr>
            <w:r w:rsidRPr="00574704">
              <w:rPr>
                <w:rFonts w:ascii="DilleniaUPC" w:eastAsia="Times New Roman" w:hAnsi="DilleniaUPC" w:cs="DilleniaUPC"/>
                <w:color w:val="000000"/>
                <w:sz w:val="16"/>
                <w:szCs w:val="16"/>
                <w:lang w:eastAsia="en-US"/>
              </w:rPr>
              <w:t> </w:t>
            </w:r>
          </w:p>
        </w:tc>
      </w:tr>
      <w:tr w:rsidR="00193533" w:rsidRPr="00574704" w:rsidTr="004E7DA0">
        <w:trPr>
          <w:trHeight w:val="72"/>
          <w:jc w:val="center"/>
        </w:trPr>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193533" w:rsidRPr="00574704" w:rsidRDefault="003665AD" w:rsidP="00193533">
            <w:pP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High l</w:t>
            </w:r>
            <w:r w:rsidR="004E7DA0">
              <w:rPr>
                <w:rFonts w:ascii="Calibri" w:eastAsia="Times New Roman" w:hAnsi="Calibri" w:cs="Calibri"/>
                <w:color w:val="000000"/>
                <w:sz w:val="22"/>
                <w:szCs w:val="22"/>
                <w:lang w:eastAsia="en-US"/>
              </w:rPr>
              <w:t>egal fees and costs – corruption and compliance charges</w:t>
            </w:r>
          </w:p>
        </w:tc>
      </w:tr>
      <w:tr w:rsidR="00193533" w:rsidRPr="00574704" w:rsidTr="00193533">
        <w:trPr>
          <w:trHeight w:val="75"/>
          <w:jc w:val="center"/>
        </w:trPr>
        <w:tc>
          <w:tcPr>
            <w:tcW w:w="7513" w:type="dxa"/>
            <w:tcBorders>
              <w:top w:val="nil"/>
              <w:left w:val="nil"/>
              <w:bottom w:val="single" w:sz="4" w:space="0" w:color="auto"/>
              <w:right w:val="nil"/>
            </w:tcBorders>
            <w:shd w:val="clear" w:color="auto" w:fill="auto"/>
            <w:vAlign w:val="bottom"/>
          </w:tcPr>
          <w:p w:rsidR="00193533" w:rsidRPr="00574704" w:rsidRDefault="00193533" w:rsidP="00193533">
            <w:pPr>
              <w:rPr>
                <w:rFonts w:ascii="DilleniaUPC" w:eastAsia="Times New Roman" w:hAnsi="DilleniaUPC" w:cs="DilleniaUPC"/>
                <w:color w:val="000000"/>
                <w:sz w:val="16"/>
                <w:szCs w:val="16"/>
                <w:lang w:eastAsia="en-US"/>
              </w:rPr>
            </w:pPr>
            <w:r w:rsidRPr="00574704">
              <w:rPr>
                <w:rFonts w:ascii="DilleniaUPC" w:eastAsia="Times New Roman" w:hAnsi="DilleniaUPC" w:cs="DilleniaUPC"/>
                <w:color w:val="000000"/>
                <w:sz w:val="16"/>
                <w:szCs w:val="16"/>
                <w:lang w:eastAsia="en-US"/>
              </w:rPr>
              <w:t> </w:t>
            </w:r>
          </w:p>
        </w:tc>
      </w:tr>
      <w:tr w:rsidR="00193533" w:rsidRPr="00574704" w:rsidTr="00193533">
        <w:trPr>
          <w:trHeight w:val="70"/>
          <w:jc w:val="center"/>
        </w:trPr>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193533" w:rsidRPr="00574704" w:rsidRDefault="004E7DA0" w:rsidP="003665AD">
            <w:pP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Business design based on by-gone social structure – adjustments in</w:t>
            </w:r>
            <w:r w:rsidR="003665AD">
              <w:rPr>
                <w:rFonts w:ascii="Calibri" w:eastAsia="Times New Roman" w:hAnsi="Calibri" w:cs="Calibri"/>
                <w:color w:val="000000"/>
                <w:sz w:val="22"/>
                <w:szCs w:val="22"/>
                <w:lang w:eastAsia="en-US"/>
              </w:rPr>
              <w:t>adequate</w:t>
            </w:r>
            <w:r>
              <w:rPr>
                <w:rFonts w:ascii="Calibri" w:eastAsia="Times New Roman" w:hAnsi="Calibri" w:cs="Calibri"/>
                <w:color w:val="000000"/>
                <w:sz w:val="22"/>
                <w:szCs w:val="22"/>
                <w:lang w:eastAsia="en-US"/>
              </w:rPr>
              <w:t xml:space="preserve"> to sustain a competitive advantage</w:t>
            </w:r>
          </w:p>
        </w:tc>
      </w:tr>
      <w:tr w:rsidR="00193533" w:rsidRPr="00574704" w:rsidTr="004737CA">
        <w:trPr>
          <w:trHeight w:val="75"/>
          <w:jc w:val="center"/>
        </w:trPr>
        <w:tc>
          <w:tcPr>
            <w:tcW w:w="7513" w:type="dxa"/>
            <w:tcBorders>
              <w:top w:val="nil"/>
              <w:left w:val="nil"/>
              <w:bottom w:val="single" w:sz="4" w:space="0" w:color="auto"/>
              <w:right w:val="nil"/>
            </w:tcBorders>
            <w:shd w:val="clear" w:color="auto" w:fill="auto"/>
            <w:vAlign w:val="bottom"/>
          </w:tcPr>
          <w:p w:rsidR="00193533" w:rsidRPr="00574704" w:rsidRDefault="00193533" w:rsidP="00193533">
            <w:pPr>
              <w:rPr>
                <w:rFonts w:ascii="DilleniaUPC" w:eastAsia="Times New Roman" w:hAnsi="DilleniaUPC" w:cs="DilleniaUPC"/>
                <w:color w:val="000000"/>
                <w:sz w:val="16"/>
                <w:szCs w:val="16"/>
                <w:lang w:eastAsia="en-US"/>
              </w:rPr>
            </w:pPr>
            <w:r w:rsidRPr="00574704">
              <w:rPr>
                <w:rFonts w:ascii="DilleniaUPC" w:eastAsia="Times New Roman" w:hAnsi="DilleniaUPC" w:cs="DilleniaUPC"/>
                <w:color w:val="000000"/>
                <w:sz w:val="16"/>
                <w:szCs w:val="16"/>
                <w:lang w:eastAsia="en-US"/>
              </w:rPr>
              <w:t> </w:t>
            </w:r>
          </w:p>
        </w:tc>
      </w:tr>
      <w:tr w:rsidR="00193533" w:rsidRPr="00574704" w:rsidTr="004737CA">
        <w:trPr>
          <w:trHeight w:val="70"/>
          <w:jc w:val="center"/>
        </w:trPr>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193533" w:rsidRPr="00574704" w:rsidRDefault="004E7DA0" w:rsidP="003665AD">
            <w:pP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Less than 10% of sales generated in Asia Pacific region – largest and fastest growing econom</w:t>
            </w:r>
            <w:r w:rsidR="003665AD">
              <w:rPr>
                <w:rFonts w:ascii="Calibri" w:eastAsia="Times New Roman" w:hAnsi="Calibri" w:cs="Calibri"/>
                <w:color w:val="000000"/>
                <w:sz w:val="22"/>
                <w:szCs w:val="22"/>
                <w:lang w:eastAsia="en-US"/>
              </w:rPr>
              <w:t>y</w:t>
            </w:r>
            <w:r>
              <w:rPr>
                <w:rFonts w:ascii="Calibri" w:eastAsia="Times New Roman" w:hAnsi="Calibri" w:cs="Calibri"/>
                <w:color w:val="000000"/>
                <w:sz w:val="22"/>
                <w:szCs w:val="22"/>
                <w:lang w:eastAsia="en-US"/>
              </w:rPr>
              <w:t xml:space="preserve"> in the world</w:t>
            </w:r>
          </w:p>
        </w:tc>
      </w:tr>
      <w:tr w:rsidR="00193533" w:rsidRPr="00574704" w:rsidTr="004737CA">
        <w:trPr>
          <w:trHeight w:val="75"/>
          <w:jc w:val="center"/>
        </w:trPr>
        <w:tc>
          <w:tcPr>
            <w:tcW w:w="7513" w:type="dxa"/>
            <w:tcBorders>
              <w:top w:val="single" w:sz="4" w:space="0" w:color="auto"/>
              <w:left w:val="nil"/>
              <w:right w:val="nil"/>
            </w:tcBorders>
            <w:shd w:val="clear" w:color="auto" w:fill="auto"/>
            <w:vAlign w:val="bottom"/>
          </w:tcPr>
          <w:p w:rsidR="00193533" w:rsidRPr="00574704" w:rsidRDefault="0016598F" w:rsidP="0016598F">
            <w:pPr>
              <w:jc w:val="right"/>
              <w:rPr>
                <w:rFonts w:ascii="DilleniaUPC" w:eastAsia="Times New Roman" w:hAnsi="DilleniaUPC" w:cs="DilleniaUPC"/>
                <w:color w:val="000000"/>
                <w:sz w:val="16"/>
                <w:szCs w:val="16"/>
                <w:lang w:eastAsia="en-US"/>
              </w:rPr>
            </w:pPr>
            <w:r>
              <w:rPr>
                <w:rFonts w:ascii="Calibri" w:eastAsia="Times New Roman" w:hAnsi="Calibri" w:cs="Calibri"/>
                <w:b/>
                <w:color w:val="000000"/>
                <w:sz w:val="22"/>
                <w:szCs w:val="22"/>
                <w:lang w:eastAsia="en-US"/>
              </w:rPr>
              <w:t>(</w:t>
            </w:r>
            <w:r w:rsidRPr="003F5D74">
              <w:rPr>
                <w:rFonts w:ascii="Calibri" w:eastAsia="Times New Roman" w:hAnsi="Calibri" w:cs="Calibri"/>
                <w:b/>
                <w:i/>
                <w:color w:val="000000"/>
                <w:sz w:val="22"/>
                <w:szCs w:val="22"/>
                <w:lang w:eastAsia="en-US"/>
              </w:rPr>
              <w:t>cont.</w:t>
            </w:r>
            <w:r>
              <w:rPr>
                <w:rFonts w:ascii="Calibri" w:eastAsia="Times New Roman" w:hAnsi="Calibri" w:cs="Calibri"/>
                <w:b/>
                <w:color w:val="000000"/>
                <w:sz w:val="22"/>
                <w:szCs w:val="22"/>
                <w:lang w:eastAsia="en-US"/>
              </w:rPr>
              <w:t>)</w:t>
            </w:r>
          </w:p>
        </w:tc>
      </w:tr>
      <w:tr w:rsidR="003F5D74" w:rsidRPr="00574704" w:rsidTr="003B2F6B">
        <w:trPr>
          <w:trHeight w:val="315"/>
          <w:jc w:val="center"/>
        </w:trPr>
        <w:tc>
          <w:tcPr>
            <w:tcW w:w="7513" w:type="dxa"/>
            <w:tcBorders>
              <w:top w:val="nil"/>
              <w:left w:val="nil"/>
              <w:bottom w:val="single" w:sz="12" w:space="0" w:color="auto"/>
              <w:right w:val="nil"/>
            </w:tcBorders>
            <w:shd w:val="clear" w:color="auto" w:fill="auto"/>
            <w:vAlign w:val="bottom"/>
          </w:tcPr>
          <w:p w:rsidR="003F5D74" w:rsidRPr="00574704" w:rsidRDefault="003F5D74" w:rsidP="003B2F6B">
            <w:pPr>
              <w:jc w:val="center"/>
              <w:rPr>
                <w:rFonts w:ascii="Calibri" w:eastAsia="Times New Roman" w:hAnsi="Calibri" w:cs="Calibri"/>
                <w:b/>
                <w:color w:val="000000"/>
                <w:sz w:val="22"/>
                <w:szCs w:val="22"/>
                <w:lang w:eastAsia="en-US"/>
              </w:rPr>
            </w:pPr>
            <w:r w:rsidRPr="00574704">
              <w:rPr>
                <w:rFonts w:ascii="Calibri" w:eastAsia="Times New Roman" w:hAnsi="Calibri" w:cs="Calibri"/>
                <w:b/>
                <w:color w:val="000000"/>
                <w:sz w:val="22"/>
                <w:szCs w:val="22"/>
                <w:lang w:eastAsia="en-US"/>
              </w:rPr>
              <w:lastRenderedPageBreak/>
              <w:t>Weaknesses</w:t>
            </w:r>
            <w:r>
              <w:rPr>
                <w:rFonts w:ascii="Calibri" w:eastAsia="Times New Roman" w:hAnsi="Calibri" w:cs="Calibri"/>
                <w:b/>
                <w:color w:val="000000"/>
                <w:sz w:val="22"/>
                <w:szCs w:val="22"/>
                <w:lang w:eastAsia="en-US"/>
              </w:rPr>
              <w:t xml:space="preserve"> (</w:t>
            </w:r>
            <w:r w:rsidRPr="003F5D74">
              <w:rPr>
                <w:rFonts w:ascii="Calibri" w:eastAsia="Times New Roman" w:hAnsi="Calibri" w:cs="Calibri"/>
                <w:b/>
                <w:i/>
                <w:color w:val="000000"/>
                <w:sz w:val="22"/>
                <w:szCs w:val="22"/>
                <w:lang w:eastAsia="en-US"/>
              </w:rPr>
              <w:t>cont.</w:t>
            </w:r>
            <w:r>
              <w:rPr>
                <w:rFonts w:ascii="Calibri" w:eastAsia="Times New Roman" w:hAnsi="Calibri" w:cs="Calibri"/>
                <w:b/>
                <w:color w:val="000000"/>
                <w:sz w:val="22"/>
                <w:szCs w:val="22"/>
                <w:lang w:eastAsia="en-US"/>
              </w:rPr>
              <w:t>)</w:t>
            </w:r>
          </w:p>
        </w:tc>
      </w:tr>
      <w:tr w:rsidR="003F5D74" w:rsidRPr="00574704" w:rsidTr="003B2F6B">
        <w:trPr>
          <w:trHeight w:val="75"/>
          <w:jc w:val="center"/>
        </w:trPr>
        <w:tc>
          <w:tcPr>
            <w:tcW w:w="7513" w:type="dxa"/>
            <w:tcBorders>
              <w:top w:val="single" w:sz="12" w:space="0" w:color="auto"/>
              <w:left w:val="nil"/>
              <w:bottom w:val="single" w:sz="4" w:space="0" w:color="auto"/>
              <w:right w:val="nil"/>
            </w:tcBorders>
            <w:shd w:val="clear" w:color="auto" w:fill="auto"/>
            <w:vAlign w:val="bottom"/>
          </w:tcPr>
          <w:p w:rsidR="003F5D74" w:rsidRPr="00574704" w:rsidRDefault="003F5D74" w:rsidP="003B2F6B">
            <w:pPr>
              <w:jc w:val="center"/>
              <w:rPr>
                <w:rFonts w:ascii="DilleniaUPC" w:eastAsia="Times New Roman" w:hAnsi="DilleniaUPC" w:cs="DilleniaUPC"/>
                <w:color w:val="000000"/>
                <w:sz w:val="16"/>
                <w:szCs w:val="16"/>
                <w:lang w:eastAsia="en-US"/>
              </w:rPr>
            </w:pPr>
            <w:r w:rsidRPr="0014460E">
              <w:rPr>
                <w:rFonts w:ascii="DilleniaUPC" w:eastAsia="Times New Roman" w:hAnsi="DilleniaUPC" w:cs="DilleniaUPC"/>
                <w:color w:val="000000"/>
                <w:sz w:val="16"/>
                <w:szCs w:val="16"/>
                <w:lang w:eastAsia="en-US"/>
              </w:rPr>
              <w:t xml:space="preserve">  </w:t>
            </w:r>
          </w:p>
        </w:tc>
      </w:tr>
      <w:tr w:rsidR="0016598F" w:rsidRPr="00574704" w:rsidTr="007E312A">
        <w:trPr>
          <w:trHeight w:val="260"/>
          <w:jc w:val="center"/>
        </w:trPr>
        <w:tc>
          <w:tcPr>
            <w:tcW w:w="7513" w:type="dxa"/>
            <w:tcBorders>
              <w:left w:val="single" w:sz="4" w:space="0" w:color="auto"/>
              <w:bottom w:val="single" w:sz="4" w:space="0" w:color="auto"/>
              <w:right w:val="single" w:sz="4" w:space="0" w:color="auto"/>
            </w:tcBorders>
            <w:shd w:val="clear" w:color="auto" w:fill="auto"/>
            <w:vAlign w:val="bottom"/>
          </w:tcPr>
          <w:p w:rsidR="0016598F" w:rsidRPr="00574704" w:rsidRDefault="0016598F" w:rsidP="007E312A">
            <w:pP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Higher costs associated with operating in some foreign countries</w:t>
            </w:r>
          </w:p>
        </w:tc>
      </w:tr>
      <w:tr w:rsidR="0016598F" w:rsidRPr="00574704" w:rsidTr="007E312A">
        <w:trPr>
          <w:trHeight w:val="75"/>
          <w:jc w:val="center"/>
        </w:trPr>
        <w:tc>
          <w:tcPr>
            <w:tcW w:w="7513" w:type="dxa"/>
            <w:tcBorders>
              <w:top w:val="nil"/>
              <w:left w:val="nil"/>
              <w:bottom w:val="single" w:sz="4" w:space="0" w:color="auto"/>
              <w:right w:val="nil"/>
            </w:tcBorders>
            <w:shd w:val="clear" w:color="auto" w:fill="auto"/>
            <w:vAlign w:val="bottom"/>
          </w:tcPr>
          <w:p w:rsidR="0016598F" w:rsidRPr="00574704" w:rsidRDefault="0016598F" w:rsidP="007E312A">
            <w:pPr>
              <w:rPr>
                <w:rFonts w:ascii="DilleniaUPC" w:eastAsia="Times New Roman" w:hAnsi="DilleniaUPC" w:cs="DilleniaUPC"/>
                <w:color w:val="000000"/>
                <w:sz w:val="16"/>
                <w:szCs w:val="16"/>
                <w:lang w:eastAsia="en-US"/>
              </w:rPr>
            </w:pPr>
            <w:r w:rsidRPr="00574704">
              <w:rPr>
                <w:rFonts w:ascii="DilleniaUPC" w:eastAsia="Times New Roman" w:hAnsi="DilleniaUPC" w:cs="DilleniaUPC"/>
                <w:color w:val="000000"/>
                <w:sz w:val="16"/>
                <w:szCs w:val="16"/>
                <w:lang w:eastAsia="en-US"/>
              </w:rPr>
              <w:t> </w:t>
            </w:r>
          </w:p>
        </w:tc>
      </w:tr>
      <w:tr w:rsidR="0016598F" w:rsidRPr="00574704" w:rsidTr="007E312A">
        <w:trPr>
          <w:trHeight w:val="70"/>
          <w:jc w:val="center"/>
        </w:trPr>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16598F" w:rsidRPr="00574704" w:rsidRDefault="0016598F" w:rsidP="007E312A">
            <w:pP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Difficulties recruiting quality representatives</w:t>
            </w:r>
          </w:p>
        </w:tc>
      </w:tr>
      <w:tr w:rsidR="0016598F" w:rsidRPr="00574704" w:rsidTr="007E312A">
        <w:trPr>
          <w:trHeight w:val="75"/>
          <w:jc w:val="center"/>
        </w:trPr>
        <w:tc>
          <w:tcPr>
            <w:tcW w:w="7513" w:type="dxa"/>
            <w:tcBorders>
              <w:top w:val="nil"/>
              <w:left w:val="nil"/>
              <w:bottom w:val="single" w:sz="4" w:space="0" w:color="auto"/>
              <w:right w:val="nil"/>
            </w:tcBorders>
            <w:shd w:val="clear" w:color="auto" w:fill="auto"/>
            <w:vAlign w:val="bottom"/>
          </w:tcPr>
          <w:p w:rsidR="0016598F" w:rsidRPr="00574704" w:rsidRDefault="0016598F" w:rsidP="007E312A">
            <w:pPr>
              <w:rPr>
                <w:rFonts w:ascii="DilleniaUPC" w:eastAsia="Times New Roman" w:hAnsi="DilleniaUPC" w:cs="DilleniaUPC"/>
                <w:color w:val="000000"/>
                <w:sz w:val="16"/>
                <w:szCs w:val="16"/>
                <w:lang w:eastAsia="en-US"/>
              </w:rPr>
            </w:pPr>
            <w:r w:rsidRPr="00574704">
              <w:rPr>
                <w:rFonts w:ascii="DilleniaUPC" w:eastAsia="Times New Roman" w:hAnsi="DilleniaUPC" w:cs="DilleniaUPC"/>
                <w:color w:val="000000"/>
                <w:sz w:val="16"/>
                <w:szCs w:val="16"/>
                <w:lang w:eastAsia="en-US"/>
              </w:rPr>
              <w:t> </w:t>
            </w:r>
          </w:p>
        </w:tc>
      </w:tr>
      <w:tr w:rsidR="00193533" w:rsidRPr="00574704" w:rsidTr="00193533">
        <w:trPr>
          <w:trHeight w:val="70"/>
          <w:jc w:val="center"/>
        </w:trPr>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193533" w:rsidRPr="00574704" w:rsidRDefault="004A13E0" w:rsidP="003F5D74">
            <w:pP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 xml:space="preserve">Instability of product line – </w:t>
            </w:r>
            <w:r w:rsidR="003F5D74">
              <w:rPr>
                <w:rFonts w:ascii="Calibri" w:eastAsia="Times New Roman" w:hAnsi="Calibri" w:cs="Calibri"/>
                <w:color w:val="000000"/>
                <w:sz w:val="22"/>
                <w:szCs w:val="22"/>
                <w:lang w:eastAsia="en-US"/>
              </w:rPr>
              <w:t xml:space="preserve">frequent </w:t>
            </w:r>
            <w:r>
              <w:rPr>
                <w:rFonts w:ascii="Calibri" w:eastAsia="Times New Roman" w:hAnsi="Calibri" w:cs="Calibri"/>
                <w:color w:val="000000"/>
                <w:sz w:val="22"/>
                <w:szCs w:val="22"/>
                <w:lang w:eastAsia="en-US"/>
              </w:rPr>
              <w:t xml:space="preserve">changes </w:t>
            </w:r>
            <w:r w:rsidR="003F5D74">
              <w:rPr>
                <w:rFonts w:ascii="Calibri" w:eastAsia="Times New Roman" w:hAnsi="Calibri" w:cs="Calibri"/>
                <w:color w:val="000000"/>
                <w:sz w:val="22"/>
                <w:szCs w:val="22"/>
                <w:lang w:eastAsia="en-US"/>
              </w:rPr>
              <w:t xml:space="preserve">are impacting service, product knowledge, confidence, and loyalty </w:t>
            </w:r>
          </w:p>
        </w:tc>
      </w:tr>
      <w:tr w:rsidR="00193533" w:rsidRPr="00574704" w:rsidTr="00193533">
        <w:trPr>
          <w:trHeight w:val="75"/>
          <w:jc w:val="center"/>
        </w:trPr>
        <w:tc>
          <w:tcPr>
            <w:tcW w:w="7513" w:type="dxa"/>
            <w:tcBorders>
              <w:top w:val="nil"/>
              <w:left w:val="nil"/>
              <w:bottom w:val="single" w:sz="4" w:space="0" w:color="auto"/>
              <w:right w:val="nil"/>
            </w:tcBorders>
            <w:shd w:val="clear" w:color="auto" w:fill="auto"/>
            <w:vAlign w:val="bottom"/>
          </w:tcPr>
          <w:p w:rsidR="00193533" w:rsidRPr="00574704" w:rsidRDefault="00193533" w:rsidP="00193533">
            <w:pPr>
              <w:rPr>
                <w:rFonts w:ascii="DilleniaUPC" w:eastAsia="Times New Roman" w:hAnsi="DilleniaUPC" w:cs="DilleniaUPC"/>
                <w:color w:val="000000"/>
                <w:sz w:val="16"/>
                <w:szCs w:val="16"/>
                <w:lang w:eastAsia="en-US"/>
              </w:rPr>
            </w:pPr>
            <w:r w:rsidRPr="00574704">
              <w:rPr>
                <w:rFonts w:ascii="DilleniaUPC" w:eastAsia="Times New Roman" w:hAnsi="DilleniaUPC" w:cs="DilleniaUPC"/>
                <w:color w:val="000000"/>
                <w:sz w:val="16"/>
                <w:szCs w:val="16"/>
                <w:lang w:eastAsia="en-US"/>
              </w:rPr>
              <w:t> </w:t>
            </w:r>
          </w:p>
        </w:tc>
      </w:tr>
      <w:tr w:rsidR="00193533" w:rsidRPr="00574704" w:rsidTr="00193533">
        <w:trPr>
          <w:trHeight w:val="305"/>
          <w:jc w:val="center"/>
        </w:trPr>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193533" w:rsidRPr="00574704" w:rsidRDefault="004A13E0" w:rsidP="00193533">
            <w:pP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Dependence on highly competitive beauty segment (73% of revenue)</w:t>
            </w:r>
          </w:p>
        </w:tc>
      </w:tr>
      <w:tr w:rsidR="00193533" w:rsidRPr="00574704" w:rsidTr="00193533">
        <w:trPr>
          <w:trHeight w:val="75"/>
          <w:jc w:val="center"/>
        </w:trPr>
        <w:tc>
          <w:tcPr>
            <w:tcW w:w="7513" w:type="dxa"/>
            <w:tcBorders>
              <w:top w:val="nil"/>
              <w:left w:val="nil"/>
              <w:bottom w:val="single" w:sz="4" w:space="0" w:color="auto"/>
              <w:right w:val="nil"/>
            </w:tcBorders>
            <w:shd w:val="clear" w:color="auto" w:fill="auto"/>
            <w:vAlign w:val="bottom"/>
          </w:tcPr>
          <w:p w:rsidR="00193533" w:rsidRPr="00574704" w:rsidRDefault="00193533" w:rsidP="00193533">
            <w:pPr>
              <w:rPr>
                <w:rFonts w:ascii="DilleniaUPC" w:eastAsia="Times New Roman" w:hAnsi="DilleniaUPC" w:cs="DilleniaUPC"/>
                <w:color w:val="000000"/>
                <w:sz w:val="16"/>
                <w:szCs w:val="16"/>
                <w:lang w:eastAsia="en-US"/>
              </w:rPr>
            </w:pPr>
            <w:r w:rsidRPr="00574704">
              <w:rPr>
                <w:rFonts w:ascii="DilleniaUPC" w:eastAsia="Times New Roman" w:hAnsi="DilleniaUPC" w:cs="DilleniaUPC"/>
                <w:color w:val="000000"/>
                <w:sz w:val="16"/>
                <w:szCs w:val="16"/>
                <w:lang w:eastAsia="en-US"/>
              </w:rPr>
              <w:t> </w:t>
            </w:r>
          </w:p>
        </w:tc>
      </w:tr>
      <w:tr w:rsidR="00193533" w:rsidRPr="00574704" w:rsidTr="00193533">
        <w:trPr>
          <w:trHeight w:val="197"/>
          <w:jc w:val="center"/>
        </w:trPr>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193533" w:rsidRPr="00574704" w:rsidRDefault="00FA7E40" w:rsidP="00193533">
            <w:pP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Difficulties implementing ERP in Brazil</w:t>
            </w:r>
          </w:p>
        </w:tc>
      </w:tr>
      <w:tr w:rsidR="00193533" w:rsidRPr="00574704" w:rsidTr="00193533">
        <w:trPr>
          <w:trHeight w:val="75"/>
          <w:jc w:val="center"/>
        </w:trPr>
        <w:tc>
          <w:tcPr>
            <w:tcW w:w="7513" w:type="dxa"/>
            <w:tcBorders>
              <w:top w:val="nil"/>
              <w:left w:val="nil"/>
              <w:bottom w:val="single" w:sz="4" w:space="0" w:color="auto"/>
              <w:right w:val="nil"/>
            </w:tcBorders>
            <w:shd w:val="clear" w:color="auto" w:fill="auto"/>
            <w:vAlign w:val="bottom"/>
          </w:tcPr>
          <w:p w:rsidR="00193533" w:rsidRPr="00574704" w:rsidRDefault="00193533" w:rsidP="00193533">
            <w:pPr>
              <w:rPr>
                <w:rFonts w:ascii="DilleniaUPC" w:eastAsia="Times New Roman" w:hAnsi="DilleniaUPC" w:cs="DilleniaUPC"/>
                <w:color w:val="000000"/>
                <w:sz w:val="16"/>
                <w:szCs w:val="16"/>
                <w:lang w:eastAsia="en-US"/>
              </w:rPr>
            </w:pPr>
            <w:r w:rsidRPr="00574704">
              <w:rPr>
                <w:rFonts w:ascii="DilleniaUPC" w:eastAsia="Times New Roman" w:hAnsi="DilleniaUPC" w:cs="DilleniaUPC"/>
                <w:color w:val="000000"/>
                <w:sz w:val="16"/>
                <w:szCs w:val="16"/>
                <w:lang w:eastAsia="en-US"/>
              </w:rPr>
              <w:t> </w:t>
            </w:r>
          </w:p>
        </w:tc>
      </w:tr>
      <w:tr w:rsidR="00193533" w:rsidRPr="00574704" w:rsidTr="00193533">
        <w:trPr>
          <w:trHeight w:val="70"/>
          <w:jc w:val="center"/>
        </w:trPr>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193533" w:rsidRPr="00574704" w:rsidRDefault="00FA7E40" w:rsidP="00193533">
            <w:pP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 xml:space="preserve">Diminishing brand </w:t>
            </w:r>
            <w:r w:rsidR="0016598F">
              <w:rPr>
                <w:rFonts w:ascii="Calibri" w:eastAsia="Times New Roman" w:hAnsi="Calibri" w:cs="Calibri"/>
                <w:color w:val="000000"/>
                <w:sz w:val="22"/>
                <w:szCs w:val="22"/>
                <w:lang w:eastAsia="en-US"/>
              </w:rPr>
              <w:t xml:space="preserve">and representative </w:t>
            </w:r>
            <w:r>
              <w:rPr>
                <w:rFonts w:ascii="Calibri" w:eastAsia="Times New Roman" w:hAnsi="Calibri" w:cs="Calibri"/>
                <w:color w:val="000000"/>
                <w:sz w:val="22"/>
                <w:szCs w:val="22"/>
                <w:lang w:eastAsia="en-US"/>
              </w:rPr>
              <w:t xml:space="preserve">image in U.S. </w:t>
            </w:r>
          </w:p>
        </w:tc>
      </w:tr>
      <w:tr w:rsidR="00193533" w:rsidRPr="00574704" w:rsidTr="00193533">
        <w:trPr>
          <w:trHeight w:val="80"/>
          <w:jc w:val="center"/>
        </w:trPr>
        <w:tc>
          <w:tcPr>
            <w:tcW w:w="7513" w:type="dxa"/>
            <w:tcBorders>
              <w:top w:val="nil"/>
              <w:bottom w:val="single" w:sz="4" w:space="0" w:color="auto"/>
            </w:tcBorders>
            <w:shd w:val="clear" w:color="auto" w:fill="auto"/>
            <w:vAlign w:val="bottom"/>
          </w:tcPr>
          <w:p w:rsidR="00193533" w:rsidRPr="00574704" w:rsidRDefault="00193533" w:rsidP="00193533">
            <w:pPr>
              <w:rPr>
                <w:rFonts w:ascii="DilleniaUPC" w:eastAsia="Times New Roman" w:hAnsi="DilleniaUPC" w:cs="DilleniaUPC"/>
                <w:color w:val="000000"/>
                <w:sz w:val="16"/>
                <w:szCs w:val="16"/>
                <w:lang w:eastAsia="en-US"/>
              </w:rPr>
            </w:pPr>
            <w:r w:rsidRPr="00574704">
              <w:rPr>
                <w:rFonts w:ascii="DilleniaUPC" w:eastAsia="Times New Roman" w:hAnsi="DilleniaUPC" w:cs="DilleniaUPC"/>
                <w:color w:val="000000"/>
                <w:sz w:val="16"/>
                <w:szCs w:val="16"/>
                <w:lang w:eastAsia="en-US"/>
              </w:rPr>
              <w:t> </w:t>
            </w:r>
          </w:p>
        </w:tc>
      </w:tr>
      <w:tr w:rsidR="00193533" w:rsidRPr="00574704" w:rsidTr="00193533">
        <w:trPr>
          <w:trHeight w:val="278"/>
          <w:jc w:val="center"/>
        </w:trPr>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193533" w:rsidRPr="00574704" w:rsidRDefault="00FA7E40" w:rsidP="0016598F">
            <w:pP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Loss of domestic representatives</w:t>
            </w:r>
            <w:r w:rsidR="003F5D74">
              <w:rPr>
                <w:rFonts w:ascii="Calibri" w:eastAsia="Times New Roman" w:hAnsi="Calibri" w:cs="Calibri"/>
                <w:color w:val="000000"/>
                <w:sz w:val="22"/>
                <w:szCs w:val="22"/>
                <w:lang w:eastAsia="en-US"/>
              </w:rPr>
              <w:t>**</w:t>
            </w:r>
            <w:r>
              <w:rPr>
                <w:rFonts w:ascii="Calibri" w:eastAsia="Times New Roman" w:hAnsi="Calibri" w:cs="Calibri"/>
                <w:color w:val="000000"/>
                <w:sz w:val="22"/>
                <w:szCs w:val="22"/>
                <w:lang w:eastAsia="en-US"/>
              </w:rPr>
              <w:t xml:space="preserve"> – ineffective policies</w:t>
            </w:r>
            <w:r w:rsidR="0016598F">
              <w:rPr>
                <w:rFonts w:ascii="Calibri" w:eastAsia="Times New Roman" w:hAnsi="Calibri" w:cs="Calibri"/>
                <w:color w:val="000000"/>
                <w:sz w:val="22"/>
                <w:szCs w:val="22"/>
                <w:lang w:eastAsia="en-US"/>
              </w:rPr>
              <w:t xml:space="preserve">, </w:t>
            </w:r>
            <w:r>
              <w:rPr>
                <w:rFonts w:ascii="Calibri" w:eastAsia="Times New Roman" w:hAnsi="Calibri" w:cs="Calibri"/>
                <w:color w:val="000000"/>
                <w:sz w:val="22"/>
                <w:szCs w:val="22"/>
                <w:lang w:eastAsia="en-US"/>
              </w:rPr>
              <w:t>poor relationships and product knowledge</w:t>
            </w:r>
            <w:r w:rsidR="0016598F">
              <w:rPr>
                <w:rFonts w:ascii="Calibri" w:eastAsia="Times New Roman" w:hAnsi="Calibri" w:cs="Calibri"/>
                <w:color w:val="000000"/>
                <w:sz w:val="22"/>
                <w:szCs w:val="22"/>
                <w:lang w:eastAsia="en-US"/>
              </w:rPr>
              <w:t xml:space="preserve">, and </w:t>
            </w:r>
            <w:r>
              <w:rPr>
                <w:rFonts w:ascii="Calibri" w:eastAsia="Times New Roman" w:hAnsi="Calibri" w:cs="Calibri"/>
                <w:color w:val="000000"/>
                <w:sz w:val="22"/>
                <w:szCs w:val="22"/>
                <w:lang w:eastAsia="en-US"/>
              </w:rPr>
              <w:t>disadvantaged and discontented sales force</w:t>
            </w:r>
          </w:p>
        </w:tc>
      </w:tr>
      <w:tr w:rsidR="00C10879" w:rsidRPr="00574704" w:rsidTr="003665AD">
        <w:trPr>
          <w:trHeight w:val="80"/>
          <w:jc w:val="center"/>
        </w:trPr>
        <w:tc>
          <w:tcPr>
            <w:tcW w:w="7513" w:type="dxa"/>
            <w:tcBorders>
              <w:top w:val="nil"/>
              <w:bottom w:val="single" w:sz="4" w:space="0" w:color="auto"/>
            </w:tcBorders>
            <w:shd w:val="clear" w:color="auto" w:fill="auto"/>
            <w:vAlign w:val="bottom"/>
          </w:tcPr>
          <w:p w:rsidR="00C10879" w:rsidRPr="00574704" w:rsidRDefault="00C10879" w:rsidP="003665AD">
            <w:pPr>
              <w:rPr>
                <w:rFonts w:ascii="DilleniaUPC" w:eastAsia="Times New Roman" w:hAnsi="DilleniaUPC" w:cs="DilleniaUPC"/>
                <w:color w:val="000000"/>
                <w:sz w:val="16"/>
                <w:szCs w:val="16"/>
                <w:lang w:eastAsia="en-US"/>
              </w:rPr>
            </w:pPr>
            <w:r w:rsidRPr="00574704">
              <w:rPr>
                <w:rFonts w:ascii="DilleniaUPC" w:eastAsia="Times New Roman" w:hAnsi="DilleniaUPC" w:cs="DilleniaUPC"/>
                <w:color w:val="000000"/>
                <w:sz w:val="16"/>
                <w:szCs w:val="16"/>
                <w:lang w:eastAsia="en-US"/>
              </w:rPr>
              <w:t> </w:t>
            </w:r>
          </w:p>
        </w:tc>
      </w:tr>
      <w:tr w:rsidR="00C10879" w:rsidRPr="00574704" w:rsidTr="00C10879">
        <w:trPr>
          <w:trHeight w:val="278"/>
          <w:jc w:val="center"/>
        </w:trPr>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C10879" w:rsidRPr="00574704" w:rsidRDefault="0016598F" w:rsidP="0016598F">
            <w:pP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Poor f</w:t>
            </w:r>
            <w:r w:rsidR="00C10879">
              <w:rPr>
                <w:rFonts w:ascii="Calibri" w:eastAsia="Times New Roman" w:hAnsi="Calibri" w:cs="Calibri"/>
                <w:color w:val="000000"/>
                <w:sz w:val="22"/>
                <w:szCs w:val="22"/>
                <w:lang w:eastAsia="en-US"/>
              </w:rPr>
              <w:t>inancial performance and profitability</w:t>
            </w:r>
            <w:r w:rsidR="003F5D74">
              <w:rPr>
                <w:rFonts w:ascii="Calibri" w:eastAsia="Times New Roman" w:hAnsi="Calibri" w:cs="Calibri"/>
                <w:color w:val="000000"/>
                <w:sz w:val="22"/>
                <w:szCs w:val="22"/>
                <w:lang w:eastAsia="en-US"/>
              </w:rPr>
              <w:t>***</w:t>
            </w:r>
            <w:r w:rsidR="00C10879">
              <w:rPr>
                <w:rFonts w:ascii="Calibri" w:eastAsia="Times New Roman" w:hAnsi="Calibri" w:cs="Calibri"/>
                <w:color w:val="000000"/>
                <w:sz w:val="22"/>
                <w:szCs w:val="22"/>
                <w:lang w:eastAsia="en-US"/>
              </w:rPr>
              <w:t xml:space="preserve"> – falling income, </w:t>
            </w:r>
            <w:r>
              <w:rPr>
                <w:rFonts w:ascii="Calibri" w:eastAsia="Times New Roman" w:hAnsi="Calibri" w:cs="Calibri"/>
                <w:color w:val="000000"/>
                <w:sz w:val="22"/>
                <w:szCs w:val="22"/>
                <w:lang w:eastAsia="en-US"/>
              </w:rPr>
              <w:t>weakened</w:t>
            </w:r>
            <w:r w:rsidR="00C10879">
              <w:rPr>
                <w:rFonts w:ascii="Calibri" w:eastAsia="Times New Roman" w:hAnsi="Calibri" w:cs="Calibri"/>
                <w:color w:val="000000"/>
                <w:sz w:val="22"/>
                <w:szCs w:val="22"/>
                <w:lang w:eastAsia="en-US"/>
              </w:rPr>
              <w:t xml:space="preserve"> cash flow, rising cost</w:t>
            </w:r>
            <w:r>
              <w:rPr>
                <w:rFonts w:ascii="Calibri" w:eastAsia="Times New Roman" w:hAnsi="Calibri" w:cs="Calibri"/>
                <w:color w:val="000000"/>
                <w:sz w:val="22"/>
                <w:szCs w:val="22"/>
                <w:lang w:eastAsia="en-US"/>
              </w:rPr>
              <w:t>s</w:t>
            </w:r>
            <w:r w:rsidR="00C10879">
              <w:rPr>
                <w:rFonts w:ascii="Calibri" w:eastAsia="Times New Roman" w:hAnsi="Calibri" w:cs="Calibri"/>
                <w:color w:val="000000"/>
                <w:sz w:val="22"/>
                <w:szCs w:val="22"/>
                <w:lang w:eastAsia="en-US"/>
              </w:rPr>
              <w:t xml:space="preserve"> of </w:t>
            </w:r>
            <w:r w:rsidR="003F5D74">
              <w:rPr>
                <w:rFonts w:ascii="Calibri" w:eastAsia="Times New Roman" w:hAnsi="Calibri" w:cs="Calibri"/>
                <w:color w:val="000000"/>
                <w:sz w:val="22"/>
                <w:szCs w:val="22"/>
                <w:lang w:eastAsia="en-US"/>
              </w:rPr>
              <w:t>sales (as a percentage of revenue), diminished margins, and waning</w:t>
            </w:r>
            <w:r w:rsidR="00C10879">
              <w:rPr>
                <w:rFonts w:ascii="Calibri" w:eastAsia="Times New Roman" w:hAnsi="Calibri" w:cs="Calibri"/>
                <w:color w:val="000000"/>
                <w:sz w:val="22"/>
                <w:szCs w:val="22"/>
                <w:lang w:eastAsia="en-US"/>
              </w:rPr>
              <w:t xml:space="preserve"> profitability</w:t>
            </w:r>
          </w:p>
        </w:tc>
      </w:tr>
      <w:tr w:rsidR="00C10879" w:rsidRPr="00574704" w:rsidTr="003665AD">
        <w:trPr>
          <w:trHeight w:val="80"/>
          <w:jc w:val="center"/>
        </w:trPr>
        <w:tc>
          <w:tcPr>
            <w:tcW w:w="7513" w:type="dxa"/>
            <w:tcBorders>
              <w:top w:val="nil"/>
              <w:bottom w:val="single" w:sz="4" w:space="0" w:color="auto"/>
            </w:tcBorders>
            <w:shd w:val="clear" w:color="auto" w:fill="auto"/>
            <w:vAlign w:val="bottom"/>
          </w:tcPr>
          <w:p w:rsidR="00C10879" w:rsidRPr="00574704" w:rsidRDefault="00C10879" w:rsidP="003665AD">
            <w:pPr>
              <w:rPr>
                <w:rFonts w:ascii="DilleniaUPC" w:eastAsia="Times New Roman" w:hAnsi="DilleniaUPC" w:cs="DilleniaUPC"/>
                <w:color w:val="000000"/>
                <w:sz w:val="16"/>
                <w:szCs w:val="16"/>
                <w:lang w:eastAsia="en-US"/>
              </w:rPr>
            </w:pPr>
            <w:r w:rsidRPr="00574704">
              <w:rPr>
                <w:rFonts w:ascii="DilleniaUPC" w:eastAsia="Times New Roman" w:hAnsi="DilleniaUPC" w:cs="DilleniaUPC"/>
                <w:color w:val="000000"/>
                <w:sz w:val="16"/>
                <w:szCs w:val="16"/>
                <w:lang w:eastAsia="en-US"/>
              </w:rPr>
              <w:t> </w:t>
            </w:r>
          </w:p>
        </w:tc>
      </w:tr>
      <w:tr w:rsidR="00C10879" w:rsidRPr="00574704" w:rsidTr="00C10879">
        <w:trPr>
          <w:trHeight w:val="278"/>
          <w:jc w:val="center"/>
        </w:trPr>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C10879" w:rsidRPr="00C10879" w:rsidRDefault="003F5D74" w:rsidP="003F5D74">
            <w:pP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Little attention to local cultures and trends in international markets – vulnerable to competitors and unidentified or evolving needs</w:t>
            </w:r>
          </w:p>
        </w:tc>
      </w:tr>
    </w:tbl>
    <w:p w:rsidR="00FB1C9C" w:rsidRDefault="00FB1C9C" w:rsidP="00B64C67"/>
    <w:p w:rsidR="0016598F" w:rsidRDefault="0016598F" w:rsidP="00B64C67"/>
    <w:p w:rsidR="00FB1C9C" w:rsidRPr="001F5832" w:rsidRDefault="001F5832" w:rsidP="00B64C67">
      <w:pPr>
        <w:rPr>
          <w:b/>
        </w:rPr>
      </w:pPr>
      <w:r>
        <w:t xml:space="preserve">  </w:t>
      </w:r>
      <w:r w:rsidRPr="001F5832">
        <w:rPr>
          <w:b/>
        </w:rPr>
        <w:t>Balance Sheet</w:t>
      </w:r>
    </w:p>
    <w:tbl>
      <w:tblPr>
        <w:tblW w:w="8137" w:type="dxa"/>
        <w:jc w:val="center"/>
        <w:tblInd w:w="-4" w:type="dxa"/>
        <w:tblBorders>
          <w:top w:val="single" w:sz="8" w:space="0" w:color="auto"/>
        </w:tblBorders>
        <w:tblLook w:val="04A0" w:firstRow="1" w:lastRow="0" w:firstColumn="1" w:lastColumn="0" w:noHBand="0" w:noVBand="1"/>
      </w:tblPr>
      <w:tblGrid>
        <w:gridCol w:w="4831"/>
        <w:gridCol w:w="1026"/>
        <w:gridCol w:w="1320"/>
        <w:gridCol w:w="960"/>
      </w:tblGrid>
      <w:tr w:rsidR="001F5832" w:rsidRPr="001F5832" w:rsidTr="00EE7374">
        <w:trPr>
          <w:trHeight w:val="315"/>
          <w:jc w:val="center"/>
        </w:trPr>
        <w:tc>
          <w:tcPr>
            <w:tcW w:w="4831" w:type="dxa"/>
            <w:tcBorders>
              <w:top w:val="single" w:sz="8" w:space="0" w:color="auto"/>
              <w:bottom w:val="single" w:sz="8" w:space="0" w:color="auto"/>
            </w:tcBorders>
            <w:shd w:val="clear" w:color="auto" w:fill="auto"/>
            <w:vAlign w:val="center"/>
            <w:hideMark/>
          </w:tcPr>
          <w:p w:rsidR="001F5832" w:rsidRPr="003E7796" w:rsidRDefault="001F5832" w:rsidP="003B2F6B">
            <w:pPr>
              <w:rPr>
                <w:rFonts w:ascii="Calibri" w:eastAsia="Times New Roman" w:hAnsi="Calibri"/>
                <w:bCs/>
                <w:color w:val="000000"/>
                <w:sz w:val="20"/>
                <w:szCs w:val="20"/>
                <w:lang w:eastAsia="en-US"/>
              </w:rPr>
            </w:pPr>
            <w:r w:rsidRPr="003E7796">
              <w:rPr>
                <w:rFonts w:ascii="Calibri" w:eastAsia="Times New Roman" w:hAnsi="Calibri"/>
                <w:bCs/>
                <w:color w:val="000000"/>
                <w:sz w:val="20"/>
                <w:szCs w:val="20"/>
                <w:lang w:eastAsia="en-US"/>
              </w:rPr>
              <w:t>(USD $) In Millions, unless otherwise specified</w:t>
            </w:r>
          </w:p>
        </w:tc>
        <w:tc>
          <w:tcPr>
            <w:tcW w:w="1026" w:type="dxa"/>
            <w:tcBorders>
              <w:top w:val="single" w:sz="8" w:space="0" w:color="auto"/>
              <w:bottom w:val="single" w:sz="8" w:space="0" w:color="auto"/>
            </w:tcBorders>
            <w:shd w:val="clear" w:color="auto" w:fill="auto"/>
            <w:vAlign w:val="center"/>
            <w:hideMark/>
          </w:tcPr>
          <w:p w:rsidR="001F5832" w:rsidRPr="003E7796" w:rsidRDefault="001F5832" w:rsidP="003B2F6B">
            <w:pPr>
              <w:jc w:val="center"/>
              <w:rPr>
                <w:rFonts w:ascii="Calibri" w:eastAsia="Times New Roman" w:hAnsi="Calibri"/>
                <w:bCs/>
                <w:color w:val="000000"/>
                <w:sz w:val="20"/>
                <w:szCs w:val="20"/>
                <w:lang w:eastAsia="en-US"/>
              </w:rPr>
            </w:pPr>
            <w:r w:rsidRPr="003E7796">
              <w:rPr>
                <w:rFonts w:ascii="Calibri" w:eastAsia="Times New Roman" w:hAnsi="Calibri"/>
                <w:bCs/>
                <w:color w:val="000000"/>
                <w:sz w:val="20"/>
                <w:szCs w:val="20"/>
                <w:lang w:eastAsia="en-US"/>
              </w:rPr>
              <w:t>2012</w:t>
            </w:r>
          </w:p>
        </w:tc>
        <w:tc>
          <w:tcPr>
            <w:tcW w:w="1320" w:type="dxa"/>
            <w:tcBorders>
              <w:top w:val="single" w:sz="8" w:space="0" w:color="auto"/>
              <w:bottom w:val="single" w:sz="8" w:space="0" w:color="auto"/>
            </w:tcBorders>
            <w:shd w:val="clear" w:color="auto" w:fill="auto"/>
            <w:vAlign w:val="center"/>
            <w:hideMark/>
          </w:tcPr>
          <w:p w:rsidR="001F5832" w:rsidRPr="003E7796" w:rsidRDefault="001F5832" w:rsidP="003B2F6B">
            <w:pPr>
              <w:jc w:val="center"/>
              <w:rPr>
                <w:rFonts w:ascii="Calibri" w:eastAsia="Times New Roman" w:hAnsi="Calibri"/>
                <w:bCs/>
                <w:color w:val="000000"/>
                <w:sz w:val="20"/>
                <w:szCs w:val="20"/>
                <w:lang w:eastAsia="en-US"/>
              </w:rPr>
            </w:pPr>
            <w:r w:rsidRPr="003E7796">
              <w:rPr>
                <w:rFonts w:ascii="Calibri" w:eastAsia="Times New Roman" w:hAnsi="Calibri"/>
                <w:bCs/>
                <w:color w:val="000000"/>
                <w:sz w:val="20"/>
                <w:szCs w:val="20"/>
                <w:lang w:eastAsia="en-US"/>
              </w:rPr>
              <w:t>2011</w:t>
            </w:r>
          </w:p>
        </w:tc>
        <w:tc>
          <w:tcPr>
            <w:tcW w:w="960" w:type="dxa"/>
            <w:tcBorders>
              <w:top w:val="single" w:sz="8" w:space="0" w:color="auto"/>
              <w:bottom w:val="single" w:sz="8" w:space="0" w:color="auto"/>
            </w:tcBorders>
            <w:shd w:val="clear" w:color="auto" w:fill="auto"/>
            <w:noWrap/>
            <w:vAlign w:val="center"/>
            <w:hideMark/>
          </w:tcPr>
          <w:p w:rsidR="001F5832" w:rsidRPr="001F5832" w:rsidRDefault="001F5832" w:rsidP="00EE7374">
            <w:pPr>
              <w:jc w:val="center"/>
              <w:rPr>
                <w:rFonts w:ascii="Calibri" w:eastAsia="Times New Roman" w:hAnsi="Calibri"/>
                <w:color w:val="000000"/>
                <w:sz w:val="20"/>
                <w:szCs w:val="20"/>
                <w:lang w:eastAsia="en-US"/>
              </w:rPr>
            </w:pPr>
            <w:r w:rsidRPr="001F5832">
              <w:rPr>
                <w:rFonts w:ascii="Calibri" w:eastAsia="Times New Roman" w:hAnsi="Calibri"/>
                <w:color w:val="000000"/>
                <w:sz w:val="20"/>
                <w:szCs w:val="20"/>
                <w:lang w:eastAsia="en-US"/>
              </w:rPr>
              <w:t>% Chg</w:t>
            </w:r>
          </w:p>
        </w:tc>
      </w:tr>
      <w:tr w:rsidR="001F5832" w:rsidRPr="009C5E3C" w:rsidTr="00EE7374">
        <w:trPr>
          <w:trHeight w:val="302"/>
          <w:jc w:val="center"/>
        </w:trPr>
        <w:tc>
          <w:tcPr>
            <w:tcW w:w="4831" w:type="dxa"/>
            <w:tcBorders>
              <w:top w:val="single" w:sz="8" w:space="0" w:color="auto"/>
            </w:tcBorders>
            <w:shd w:val="clear" w:color="auto" w:fill="auto"/>
            <w:vAlign w:val="center"/>
            <w:hideMark/>
          </w:tcPr>
          <w:p w:rsidR="001F5832" w:rsidRPr="003E7796" w:rsidRDefault="001F5832" w:rsidP="003B2F6B">
            <w:pPr>
              <w:rPr>
                <w:rFonts w:ascii="Calibri" w:eastAsia="Times New Roman" w:hAnsi="Calibri"/>
                <w:bCs/>
                <w:color w:val="000000"/>
                <w:sz w:val="20"/>
                <w:szCs w:val="20"/>
                <w:lang w:eastAsia="en-US"/>
              </w:rPr>
            </w:pPr>
            <w:r w:rsidRPr="003E7796">
              <w:rPr>
                <w:rFonts w:ascii="Calibri" w:eastAsia="Times New Roman" w:hAnsi="Calibri"/>
                <w:bCs/>
                <w:color w:val="000000"/>
                <w:sz w:val="20"/>
                <w:szCs w:val="20"/>
                <w:lang w:eastAsia="en-US"/>
              </w:rPr>
              <w:t>Current Assets</w:t>
            </w:r>
          </w:p>
        </w:tc>
        <w:tc>
          <w:tcPr>
            <w:tcW w:w="1026" w:type="dxa"/>
            <w:tcBorders>
              <w:top w:val="single" w:sz="8" w:space="0" w:color="auto"/>
            </w:tcBorders>
            <w:shd w:val="clear" w:color="auto" w:fill="auto"/>
            <w:hideMark/>
          </w:tcPr>
          <w:p w:rsidR="001F5832" w:rsidRPr="003E7796" w:rsidRDefault="001F5832" w:rsidP="003B2F6B">
            <w:pPr>
              <w:rPr>
                <w:rFonts w:ascii="Calibri" w:eastAsia="Times New Roman" w:hAnsi="Calibri"/>
                <w:color w:val="000000"/>
                <w:sz w:val="22"/>
                <w:szCs w:val="22"/>
                <w:lang w:eastAsia="en-US"/>
              </w:rPr>
            </w:pPr>
          </w:p>
        </w:tc>
        <w:tc>
          <w:tcPr>
            <w:tcW w:w="1320" w:type="dxa"/>
            <w:tcBorders>
              <w:top w:val="single" w:sz="8" w:space="0" w:color="auto"/>
            </w:tcBorders>
            <w:shd w:val="clear" w:color="auto" w:fill="auto"/>
            <w:hideMark/>
          </w:tcPr>
          <w:p w:rsidR="001F5832" w:rsidRPr="003E7796" w:rsidRDefault="001F5832" w:rsidP="003B2F6B">
            <w:pPr>
              <w:rPr>
                <w:rFonts w:ascii="Calibri" w:eastAsia="Times New Roman" w:hAnsi="Calibri"/>
                <w:color w:val="000000"/>
                <w:sz w:val="22"/>
                <w:szCs w:val="22"/>
                <w:lang w:eastAsia="en-US"/>
              </w:rPr>
            </w:pPr>
          </w:p>
        </w:tc>
        <w:tc>
          <w:tcPr>
            <w:tcW w:w="960" w:type="dxa"/>
            <w:tcBorders>
              <w:top w:val="single" w:sz="8" w:space="0" w:color="auto"/>
            </w:tcBorders>
            <w:shd w:val="clear" w:color="auto" w:fill="auto"/>
            <w:noWrap/>
            <w:vAlign w:val="bottom"/>
            <w:hideMark/>
          </w:tcPr>
          <w:p w:rsidR="001F5832" w:rsidRPr="003E7796" w:rsidRDefault="001F5832" w:rsidP="003B2F6B">
            <w:pPr>
              <w:rPr>
                <w:rFonts w:ascii="Calibri" w:eastAsia="Times New Roman" w:hAnsi="Calibri"/>
                <w:color w:val="000000"/>
                <w:sz w:val="22"/>
                <w:szCs w:val="22"/>
                <w:lang w:eastAsia="en-US"/>
              </w:rPr>
            </w:pPr>
          </w:p>
        </w:tc>
      </w:tr>
      <w:tr w:rsidR="001F5832" w:rsidRPr="00EE7374" w:rsidTr="00EE7374">
        <w:trPr>
          <w:trHeight w:val="302"/>
          <w:jc w:val="center"/>
        </w:trPr>
        <w:tc>
          <w:tcPr>
            <w:tcW w:w="4831" w:type="dxa"/>
            <w:shd w:val="clear" w:color="auto" w:fill="auto"/>
            <w:vAlign w:val="center"/>
            <w:hideMark/>
          </w:tcPr>
          <w:p w:rsidR="001F5832" w:rsidRPr="00EE7374" w:rsidRDefault="00EE7374" w:rsidP="003B2F6B">
            <w:pPr>
              <w:rPr>
                <w:rFonts w:ascii="Calibri" w:eastAsia="Times New Roman" w:hAnsi="Calibri"/>
                <w:bCs/>
                <w:color w:val="000000"/>
                <w:sz w:val="20"/>
                <w:szCs w:val="20"/>
                <w:lang w:eastAsia="en-US"/>
              </w:rPr>
            </w:pPr>
            <w:r>
              <w:rPr>
                <w:rFonts w:ascii="Calibri" w:eastAsia="Times New Roman" w:hAnsi="Calibri"/>
                <w:bCs/>
                <w:color w:val="000000"/>
                <w:sz w:val="20"/>
                <w:szCs w:val="20"/>
                <w:lang w:eastAsia="en-US"/>
              </w:rPr>
              <w:t xml:space="preserve">   </w:t>
            </w:r>
            <w:r w:rsidR="001F5832" w:rsidRPr="00EE7374">
              <w:rPr>
                <w:rFonts w:ascii="Calibri" w:eastAsia="Times New Roman" w:hAnsi="Calibri"/>
                <w:bCs/>
                <w:color w:val="000000"/>
                <w:sz w:val="20"/>
                <w:szCs w:val="20"/>
                <w:lang w:eastAsia="en-US"/>
              </w:rPr>
              <w:t>Cash, including cash equivalents of $762.9 and $623.7</w:t>
            </w:r>
          </w:p>
        </w:tc>
        <w:tc>
          <w:tcPr>
            <w:tcW w:w="1026" w:type="dxa"/>
            <w:shd w:val="clear" w:color="auto" w:fill="auto"/>
            <w:vAlign w:val="center"/>
            <w:hideMark/>
          </w:tcPr>
          <w:p w:rsidR="001F5832" w:rsidRPr="00EE7374" w:rsidRDefault="001F5832" w:rsidP="003B2F6B">
            <w:pPr>
              <w:jc w:val="right"/>
              <w:rPr>
                <w:rFonts w:ascii="Calibri" w:eastAsia="Times New Roman" w:hAnsi="Calibri"/>
                <w:color w:val="000000"/>
                <w:sz w:val="20"/>
                <w:szCs w:val="20"/>
                <w:lang w:eastAsia="en-US"/>
              </w:rPr>
            </w:pPr>
            <w:r w:rsidRPr="00EE7374">
              <w:rPr>
                <w:rFonts w:ascii="Calibri" w:eastAsia="Times New Roman" w:hAnsi="Calibri"/>
                <w:color w:val="000000"/>
                <w:sz w:val="20"/>
                <w:szCs w:val="20"/>
                <w:lang w:eastAsia="en-US"/>
              </w:rPr>
              <w:t xml:space="preserve">$1,209.60 </w:t>
            </w:r>
          </w:p>
        </w:tc>
        <w:tc>
          <w:tcPr>
            <w:tcW w:w="1320" w:type="dxa"/>
            <w:shd w:val="clear" w:color="auto" w:fill="auto"/>
            <w:vAlign w:val="center"/>
            <w:hideMark/>
          </w:tcPr>
          <w:p w:rsidR="001F5832" w:rsidRPr="00EE7374" w:rsidRDefault="001F5832" w:rsidP="003B2F6B">
            <w:pPr>
              <w:jc w:val="right"/>
              <w:rPr>
                <w:rFonts w:ascii="Calibri" w:eastAsia="Times New Roman" w:hAnsi="Calibri"/>
                <w:color w:val="000000"/>
                <w:sz w:val="20"/>
                <w:szCs w:val="20"/>
                <w:lang w:eastAsia="en-US"/>
              </w:rPr>
            </w:pPr>
            <w:r w:rsidRPr="00EE7374">
              <w:rPr>
                <w:rFonts w:ascii="Calibri" w:eastAsia="Times New Roman" w:hAnsi="Calibri"/>
                <w:color w:val="000000"/>
                <w:sz w:val="20"/>
                <w:szCs w:val="20"/>
                <w:lang w:eastAsia="en-US"/>
              </w:rPr>
              <w:t xml:space="preserve">$1,245.10 </w:t>
            </w:r>
          </w:p>
        </w:tc>
        <w:tc>
          <w:tcPr>
            <w:tcW w:w="960" w:type="dxa"/>
            <w:shd w:val="clear" w:color="auto" w:fill="auto"/>
            <w:noWrap/>
            <w:hideMark/>
          </w:tcPr>
          <w:p w:rsidR="001F5832" w:rsidRPr="00EE7374" w:rsidRDefault="001F5832" w:rsidP="00EE7374">
            <w:pPr>
              <w:jc w:val="right"/>
              <w:rPr>
                <w:rFonts w:ascii="Calibri" w:eastAsia="Times New Roman" w:hAnsi="Calibri"/>
                <w:color w:val="000000"/>
                <w:sz w:val="20"/>
                <w:szCs w:val="22"/>
                <w:lang w:eastAsia="en-US"/>
              </w:rPr>
            </w:pPr>
            <w:r w:rsidRPr="00EE7374">
              <w:rPr>
                <w:rFonts w:ascii="Calibri" w:eastAsia="Times New Roman" w:hAnsi="Calibri"/>
                <w:color w:val="000000"/>
                <w:sz w:val="20"/>
                <w:szCs w:val="22"/>
                <w:lang w:eastAsia="en-US"/>
              </w:rPr>
              <w:t>-2.9%</w:t>
            </w:r>
          </w:p>
        </w:tc>
      </w:tr>
      <w:tr w:rsidR="001F5832" w:rsidRPr="00EE7374" w:rsidTr="00EE7374">
        <w:trPr>
          <w:trHeight w:val="302"/>
          <w:jc w:val="center"/>
        </w:trPr>
        <w:tc>
          <w:tcPr>
            <w:tcW w:w="4831" w:type="dxa"/>
            <w:shd w:val="clear" w:color="auto" w:fill="auto"/>
            <w:vAlign w:val="center"/>
            <w:hideMark/>
          </w:tcPr>
          <w:p w:rsidR="001F5832" w:rsidRPr="00EE7374" w:rsidRDefault="00EE7374" w:rsidP="003B2F6B">
            <w:pPr>
              <w:rPr>
                <w:rFonts w:ascii="Calibri" w:eastAsia="Times New Roman" w:hAnsi="Calibri"/>
                <w:bCs/>
                <w:color w:val="000000"/>
                <w:sz w:val="20"/>
                <w:szCs w:val="20"/>
                <w:lang w:eastAsia="en-US"/>
              </w:rPr>
            </w:pPr>
            <w:r w:rsidRPr="00EE7374">
              <w:rPr>
                <w:rFonts w:ascii="Calibri" w:eastAsia="Times New Roman" w:hAnsi="Calibri"/>
                <w:bCs/>
                <w:color w:val="000000"/>
                <w:sz w:val="20"/>
                <w:szCs w:val="20"/>
                <w:lang w:eastAsia="en-US"/>
              </w:rPr>
              <w:t xml:space="preserve">   </w:t>
            </w:r>
            <w:r w:rsidR="001F5832" w:rsidRPr="00EE7374">
              <w:rPr>
                <w:rFonts w:ascii="Calibri" w:eastAsia="Times New Roman" w:hAnsi="Calibri"/>
                <w:bCs/>
                <w:color w:val="000000"/>
                <w:sz w:val="20"/>
                <w:szCs w:val="20"/>
                <w:lang w:eastAsia="en-US"/>
              </w:rPr>
              <w:t>Inventories</w:t>
            </w:r>
          </w:p>
        </w:tc>
        <w:tc>
          <w:tcPr>
            <w:tcW w:w="1026" w:type="dxa"/>
            <w:shd w:val="clear" w:color="auto" w:fill="auto"/>
            <w:vAlign w:val="center"/>
            <w:hideMark/>
          </w:tcPr>
          <w:p w:rsidR="001F5832" w:rsidRPr="00EE7374" w:rsidRDefault="001F5832" w:rsidP="003B2F6B">
            <w:pPr>
              <w:jc w:val="right"/>
              <w:rPr>
                <w:rFonts w:ascii="Calibri" w:eastAsia="Times New Roman" w:hAnsi="Calibri"/>
                <w:color w:val="000000"/>
                <w:sz w:val="20"/>
                <w:szCs w:val="20"/>
                <w:lang w:eastAsia="en-US"/>
              </w:rPr>
            </w:pPr>
            <w:r w:rsidRPr="00EE7374">
              <w:rPr>
                <w:rFonts w:ascii="Calibri" w:eastAsia="Times New Roman" w:hAnsi="Calibri"/>
                <w:color w:val="000000"/>
                <w:sz w:val="20"/>
                <w:szCs w:val="20"/>
                <w:lang w:eastAsia="en-US"/>
              </w:rPr>
              <w:t>1,135.40</w:t>
            </w:r>
          </w:p>
        </w:tc>
        <w:tc>
          <w:tcPr>
            <w:tcW w:w="1320" w:type="dxa"/>
            <w:shd w:val="clear" w:color="auto" w:fill="auto"/>
            <w:vAlign w:val="center"/>
            <w:hideMark/>
          </w:tcPr>
          <w:p w:rsidR="001F5832" w:rsidRPr="00EE7374" w:rsidRDefault="001F5832" w:rsidP="003B2F6B">
            <w:pPr>
              <w:jc w:val="right"/>
              <w:rPr>
                <w:rFonts w:ascii="Calibri" w:eastAsia="Times New Roman" w:hAnsi="Calibri"/>
                <w:color w:val="000000"/>
                <w:sz w:val="20"/>
                <w:szCs w:val="20"/>
                <w:lang w:eastAsia="en-US"/>
              </w:rPr>
            </w:pPr>
            <w:r w:rsidRPr="00EE7374">
              <w:rPr>
                <w:rFonts w:ascii="Calibri" w:eastAsia="Times New Roman" w:hAnsi="Calibri"/>
                <w:color w:val="000000"/>
                <w:sz w:val="20"/>
                <w:szCs w:val="20"/>
                <w:lang w:eastAsia="en-US"/>
              </w:rPr>
              <w:t>1,161.30</w:t>
            </w:r>
          </w:p>
        </w:tc>
        <w:tc>
          <w:tcPr>
            <w:tcW w:w="960" w:type="dxa"/>
            <w:shd w:val="clear" w:color="auto" w:fill="auto"/>
            <w:noWrap/>
            <w:hideMark/>
          </w:tcPr>
          <w:p w:rsidR="001F5832" w:rsidRPr="00EE7374" w:rsidRDefault="001F5832" w:rsidP="00EE7374">
            <w:pPr>
              <w:jc w:val="right"/>
              <w:rPr>
                <w:rFonts w:ascii="Calibri" w:eastAsia="Times New Roman" w:hAnsi="Calibri"/>
                <w:color w:val="000000"/>
                <w:sz w:val="20"/>
                <w:szCs w:val="22"/>
                <w:lang w:eastAsia="en-US"/>
              </w:rPr>
            </w:pPr>
            <w:r w:rsidRPr="00EE7374">
              <w:rPr>
                <w:rFonts w:ascii="Calibri" w:eastAsia="Times New Roman" w:hAnsi="Calibri"/>
                <w:color w:val="000000"/>
                <w:sz w:val="20"/>
                <w:szCs w:val="22"/>
                <w:lang w:eastAsia="en-US"/>
              </w:rPr>
              <w:t>-2.2%</w:t>
            </w:r>
          </w:p>
        </w:tc>
      </w:tr>
      <w:tr w:rsidR="001F5832" w:rsidRPr="00EE7374" w:rsidTr="00EE7374">
        <w:trPr>
          <w:trHeight w:val="302"/>
          <w:jc w:val="center"/>
        </w:trPr>
        <w:tc>
          <w:tcPr>
            <w:tcW w:w="4831" w:type="dxa"/>
            <w:shd w:val="clear" w:color="auto" w:fill="auto"/>
            <w:vAlign w:val="center"/>
            <w:hideMark/>
          </w:tcPr>
          <w:p w:rsidR="001F5832" w:rsidRPr="00EE7374" w:rsidRDefault="001F5832" w:rsidP="003B2F6B">
            <w:pPr>
              <w:rPr>
                <w:rFonts w:ascii="Calibri" w:eastAsia="Times New Roman" w:hAnsi="Calibri"/>
                <w:b/>
                <w:bCs/>
                <w:i/>
                <w:color w:val="000000"/>
                <w:sz w:val="20"/>
                <w:szCs w:val="20"/>
                <w:lang w:eastAsia="en-US"/>
              </w:rPr>
            </w:pPr>
            <w:r w:rsidRPr="00EE7374">
              <w:rPr>
                <w:rFonts w:ascii="Calibri" w:eastAsia="Times New Roman" w:hAnsi="Calibri"/>
                <w:b/>
                <w:bCs/>
                <w:i/>
                <w:color w:val="000000"/>
                <w:sz w:val="20"/>
                <w:szCs w:val="20"/>
                <w:lang w:eastAsia="en-US"/>
              </w:rPr>
              <w:t>Total current assets</w:t>
            </w:r>
          </w:p>
        </w:tc>
        <w:tc>
          <w:tcPr>
            <w:tcW w:w="1026" w:type="dxa"/>
            <w:shd w:val="clear" w:color="auto" w:fill="auto"/>
            <w:vAlign w:val="center"/>
            <w:hideMark/>
          </w:tcPr>
          <w:p w:rsidR="001F5832" w:rsidRPr="00EE7374" w:rsidRDefault="001F5832" w:rsidP="003B2F6B">
            <w:pPr>
              <w:jc w:val="right"/>
              <w:rPr>
                <w:rFonts w:ascii="Calibri" w:eastAsia="Times New Roman" w:hAnsi="Calibri"/>
                <w:color w:val="000000"/>
                <w:sz w:val="20"/>
                <w:szCs w:val="20"/>
                <w:lang w:eastAsia="en-US"/>
              </w:rPr>
            </w:pPr>
            <w:r w:rsidRPr="00EE7374">
              <w:rPr>
                <w:rFonts w:ascii="Calibri" w:eastAsia="Times New Roman" w:hAnsi="Calibri"/>
                <w:color w:val="000000"/>
                <w:sz w:val="20"/>
                <w:szCs w:val="20"/>
                <w:lang w:eastAsia="en-US"/>
              </w:rPr>
              <w:t>3,928.90</w:t>
            </w:r>
          </w:p>
        </w:tc>
        <w:tc>
          <w:tcPr>
            <w:tcW w:w="1320" w:type="dxa"/>
            <w:shd w:val="clear" w:color="auto" w:fill="auto"/>
            <w:vAlign w:val="center"/>
            <w:hideMark/>
          </w:tcPr>
          <w:p w:rsidR="001F5832" w:rsidRPr="00EE7374" w:rsidRDefault="001F5832" w:rsidP="003B2F6B">
            <w:pPr>
              <w:jc w:val="right"/>
              <w:rPr>
                <w:rFonts w:ascii="Calibri" w:eastAsia="Times New Roman" w:hAnsi="Calibri"/>
                <w:color w:val="000000"/>
                <w:sz w:val="20"/>
                <w:szCs w:val="20"/>
                <w:lang w:eastAsia="en-US"/>
              </w:rPr>
            </w:pPr>
            <w:r w:rsidRPr="00EE7374">
              <w:rPr>
                <w:rFonts w:ascii="Calibri" w:eastAsia="Times New Roman" w:hAnsi="Calibri"/>
                <w:color w:val="000000"/>
                <w:sz w:val="20"/>
                <w:szCs w:val="20"/>
                <w:lang w:eastAsia="en-US"/>
              </w:rPr>
              <w:t>4,098.80</w:t>
            </w:r>
          </w:p>
        </w:tc>
        <w:tc>
          <w:tcPr>
            <w:tcW w:w="960" w:type="dxa"/>
            <w:shd w:val="clear" w:color="auto" w:fill="auto"/>
            <w:noWrap/>
            <w:hideMark/>
          </w:tcPr>
          <w:p w:rsidR="001F5832" w:rsidRPr="00EE7374" w:rsidRDefault="001F5832" w:rsidP="00EE7374">
            <w:pPr>
              <w:jc w:val="right"/>
              <w:rPr>
                <w:rFonts w:ascii="Calibri" w:eastAsia="Times New Roman" w:hAnsi="Calibri"/>
                <w:color w:val="000000"/>
                <w:sz w:val="20"/>
                <w:szCs w:val="22"/>
                <w:lang w:eastAsia="en-US"/>
              </w:rPr>
            </w:pPr>
            <w:r w:rsidRPr="00EE7374">
              <w:rPr>
                <w:rFonts w:ascii="Calibri" w:eastAsia="Times New Roman" w:hAnsi="Calibri"/>
                <w:color w:val="000000"/>
                <w:sz w:val="20"/>
                <w:szCs w:val="22"/>
                <w:lang w:eastAsia="en-US"/>
              </w:rPr>
              <w:t>-4.1%</w:t>
            </w:r>
          </w:p>
        </w:tc>
      </w:tr>
      <w:tr w:rsidR="001F5832" w:rsidRPr="00EE7374" w:rsidTr="00EE7374">
        <w:trPr>
          <w:trHeight w:val="302"/>
          <w:jc w:val="center"/>
        </w:trPr>
        <w:tc>
          <w:tcPr>
            <w:tcW w:w="4831" w:type="dxa"/>
            <w:shd w:val="clear" w:color="auto" w:fill="auto"/>
            <w:vAlign w:val="center"/>
            <w:hideMark/>
          </w:tcPr>
          <w:p w:rsidR="001F5832" w:rsidRPr="00EE7374" w:rsidRDefault="001F5832" w:rsidP="003B2F6B">
            <w:pPr>
              <w:rPr>
                <w:rFonts w:ascii="Calibri" w:eastAsia="Times New Roman" w:hAnsi="Calibri"/>
                <w:bCs/>
                <w:color w:val="000000"/>
                <w:sz w:val="20"/>
                <w:szCs w:val="20"/>
                <w:lang w:eastAsia="en-US"/>
              </w:rPr>
            </w:pPr>
            <w:r w:rsidRPr="00EE7374">
              <w:rPr>
                <w:rFonts w:ascii="Calibri" w:eastAsia="Times New Roman" w:hAnsi="Calibri"/>
                <w:bCs/>
                <w:color w:val="000000"/>
                <w:sz w:val="20"/>
                <w:szCs w:val="20"/>
                <w:lang w:eastAsia="en-US"/>
              </w:rPr>
              <w:t>Property, plant and equipment, net, total</w:t>
            </w:r>
          </w:p>
        </w:tc>
        <w:tc>
          <w:tcPr>
            <w:tcW w:w="1026" w:type="dxa"/>
            <w:shd w:val="clear" w:color="auto" w:fill="auto"/>
            <w:vAlign w:val="center"/>
            <w:hideMark/>
          </w:tcPr>
          <w:p w:rsidR="001F5832" w:rsidRPr="00EE7374" w:rsidRDefault="001F5832" w:rsidP="003B2F6B">
            <w:pPr>
              <w:jc w:val="right"/>
              <w:rPr>
                <w:rFonts w:ascii="Calibri" w:eastAsia="Times New Roman" w:hAnsi="Calibri"/>
                <w:color w:val="000000"/>
                <w:sz w:val="20"/>
                <w:szCs w:val="20"/>
                <w:lang w:eastAsia="en-US"/>
              </w:rPr>
            </w:pPr>
            <w:r w:rsidRPr="00EE7374">
              <w:rPr>
                <w:rFonts w:ascii="Calibri" w:eastAsia="Times New Roman" w:hAnsi="Calibri"/>
                <w:color w:val="000000"/>
                <w:sz w:val="20"/>
                <w:szCs w:val="20"/>
                <w:lang w:eastAsia="en-US"/>
              </w:rPr>
              <w:t>1,550.20</w:t>
            </w:r>
          </w:p>
        </w:tc>
        <w:tc>
          <w:tcPr>
            <w:tcW w:w="1320" w:type="dxa"/>
            <w:shd w:val="clear" w:color="auto" w:fill="auto"/>
            <w:vAlign w:val="center"/>
            <w:hideMark/>
          </w:tcPr>
          <w:p w:rsidR="001F5832" w:rsidRPr="00EE7374" w:rsidRDefault="001F5832" w:rsidP="003B2F6B">
            <w:pPr>
              <w:jc w:val="right"/>
              <w:rPr>
                <w:rFonts w:ascii="Calibri" w:eastAsia="Times New Roman" w:hAnsi="Calibri"/>
                <w:color w:val="000000"/>
                <w:sz w:val="20"/>
                <w:szCs w:val="20"/>
                <w:lang w:eastAsia="en-US"/>
              </w:rPr>
            </w:pPr>
            <w:r w:rsidRPr="00EE7374">
              <w:rPr>
                <w:rFonts w:ascii="Calibri" w:eastAsia="Times New Roman" w:hAnsi="Calibri"/>
                <w:color w:val="000000"/>
                <w:sz w:val="20"/>
                <w:szCs w:val="20"/>
                <w:lang w:eastAsia="en-US"/>
              </w:rPr>
              <w:t>1,571.50</w:t>
            </w:r>
          </w:p>
        </w:tc>
        <w:tc>
          <w:tcPr>
            <w:tcW w:w="960" w:type="dxa"/>
            <w:shd w:val="clear" w:color="auto" w:fill="auto"/>
            <w:noWrap/>
            <w:hideMark/>
          </w:tcPr>
          <w:p w:rsidR="001F5832" w:rsidRPr="00EE7374" w:rsidRDefault="001F5832" w:rsidP="00EE7374">
            <w:pPr>
              <w:jc w:val="right"/>
              <w:rPr>
                <w:rFonts w:ascii="Calibri" w:eastAsia="Times New Roman" w:hAnsi="Calibri"/>
                <w:color w:val="000000"/>
                <w:sz w:val="20"/>
                <w:szCs w:val="22"/>
                <w:lang w:eastAsia="en-US"/>
              </w:rPr>
            </w:pPr>
            <w:r w:rsidRPr="00EE7374">
              <w:rPr>
                <w:rFonts w:ascii="Calibri" w:eastAsia="Times New Roman" w:hAnsi="Calibri"/>
                <w:color w:val="000000"/>
                <w:sz w:val="20"/>
                <w:szCs w:val="22"/>
                <w:lang w:eastAsia="en-US"/>
              </w:rPr>
              <w:t>-1.4%</w:t>
            </w:r>
          </w:p>
        </w:tc>
      </w:tr>
      <w:tr w:rsidR="001F5832" w:rsidRPr="00EE7374" w:rsidTr="00EE7374">
        <w:trPr>
          <w:trHeight w:val="302"/>
          <w:jc w:val="center"/>
        </w:trPr>
        <w:tc>
          <w:tcPr>
            <w:tcW w:w="4831" w:type="dxa"/>
            <w:shd w:val="clear" w:color="auto" w:fill="auto"/>
            <w:vAlign w:val="center"/>
            <w:hideMark/>
          </w:tcPr>
          <w:p w:rsidR="001F5832" w:rsidRPr="00EE7374" w:rsidRDefault="001F5832" w:rsidP="003B2F6B">
            <w:pPr>
              <w:rPr>
                <w:rFonts w:ascii="Calibri" w:eastAsia="Times New Roman" w:hAnsi="Calibri"/>
                <w:bCs/>
                <w:color w:val="000000"/>
                <w:sz w:val="20"/>
                <w:szCs w:val="20"/>
                <w:lang w:eastAsia="en-US"/>
              </w:rPr>
            </w:pPr>
            <w:r w:rsidRPr="00EE7374">
              <w:rPr>
                <w:rFonts w:ascii="Calibri" w:eastAsia="Times New Roman" w:hAnsi="Calibri"/>
                <w:bCs/>
                <w:color w:val="000000"/>
                <w:sz w:val="20"/>
                <w:szCs w:val="20"/>
                <w:lang w:eastAsia="en-US"/>
              </w:rPr>
              <w:t>Goodwill</w:t>
            </w:r>
          </w:p>
        </w:tc>
        <w:tc>
          <w:tcPr>
            <w:tcW w:w="1026" w:type="dxa"/>
            <w:shd w:val="clear" w:color="auto" w:fill="auto"/>
            <w:vAlign w:val="center"/>
            <w:hideMark/>
          </w:tcPr>
          <w:p w:rsidR="001F5832" w:rsidRPr="00EE7374" w:rsidRDefault="001F5832" w:rsidP="003B2F6B">
            <w:pPr>
              <w:jc w:val="right"/>
              <w:rPr>
                <w:rFonts w:ascii="Calibri" w:eastAsia="Times New Roman" w:hAnsi="Calibri"/>
                <w:color w:val="000000"/>
                <w:sz w:val="20"/>
                <w:szCs w:val="20"/>
                <w:lang w:eastAsia="en-US"/>
              </w:rPr>
            </w:pPr>
            <w:r w:rsidRPr="00EE7374">
              <w:rPr>
                <w:rFonts w:ascii="Calibri" w:eastAsia="Times New Roman" w:hAnsi="Calibri"/>
                <w:color w:val="000000"/>
                <w:sz w:val="20"/>
                <w:szCs w:val="20"/>
                <w:lang w:eastAsia="en-US"/>
              </w:rPr>
              <w:t>374.9</w:t>
            </w:r>
          </w:p>
        </w:tc>
        <w:tc>
          <w:tcPr>
            <w:tcW w:w="1320" w:type="dxa"/>
            <w:shd w:val="clear" w:color="auto" w:fill="auto"/>
            <w:vAlign w:val="center"/>
            <w:hideMark/>
          </w:tcPr>
          <w:p w:rsidR="001F5832" w:rsidRPr="00EE7374" w:rsidRDefault="001F5832" w:rsidP="003B2F6B">
            <w:pPr>
              <w:jc w:val="right"/>
              <w:rPr>
                <w:rFonts w:ascii="Calibri" w:eastAsia="Times New Roman" w:hAnsi="Calibri"/>
                <w:color w:val="000000"/>
                <w:sz w:val="20"/>
                <w:szCs w:val="20"/>
                <w:lang w:eastAsia="en-US"/>
              </w:rPr>
            </w:pPr>
            <w:r w:rsidRPr="00EE7374">
              <w:rPr>
                <w:rFonts w:ascii="Calibri" w:eastAsia="Times New Roman" w:hAnsi="Calibri"/>
                <w:color w:val="000000"/>
                <w:sz w:val="20"/>
                <w:szCs w:val="20"/>
                <w:lang w:eastAsia="en-US"/>
              </w:rPr>
              <w:t>473.1</w:t>
            </w:r>
          </w:p>
        </w:tc>
        <w:tc>
          <w:tcPr>
            <w:tcW w:w="960" w:type="dxa"/>
            <w:shd w:val="clear" w:color="auto" w:fill="auto"/>
            <w:noWrap/>
            <w:hideMark/>
          </w:tcPr>
          <w:p w:rsidR="001F5832" w:rsidRPr="00EE7374" w:rsidRDefault="001F5832" w:rsidP="00EE7374">
            <w:pPr>
              <w:jc w:val="right"/>
              <w:rPr>
                <w:rFonts w:ascii="Calibri" w:eastAsia="Times New Roman" w:hAnsi="Calibri"/>
                <w:color w:val="000000"/>
                <w:sz w:val="20"/>
                <w:szCs w:val="22"/>
                <w:lang w:eastAsia="en-US"/>
              </w:rPr>
            </w:pPr>
            <w:r w:rsidRPr="00EE7374">
              <w:rPr>
                <w:rFonts w:ascii="Calibri" w:eastAsia="Times New Roman" w:hAnsi="Calibri"/>
                <w:color w:val="000000"/>
                <w:sz w:val="20"/>
                <w:szCs w:val="22"/>
                <w:lang w:eastAsia="en-US"/>
              </w:rPr>
              <w:t>-20.8%</w:t>
            </w:r>
          </w:p>
        </w:tc>
      </w:tr>
      <w:tr w:rsidR="001F5832" w:rsidRPr="00EE7374" w:rsidTr="00EE7374">
        <w:trPr>
          <w:trHeight w:val="302"/>
          <w:jc w:val="center"/>
        </w:trPr>
        <w:tc>
          <w:tcPr>
            <w:tcW w:w="4831" w:type="dxa"/>
            <w:shd w:val="clear" w:color="auto" w:fill="auto"/>
            <w:vAlign w:val="center"/>
            <w:hideMark/>
          </w:tcPr>
          <w:p w:rsidR="001F5832" w:rsidRPr="00EE7374" w:rsidRDefault="001F5832" w:rsidP="003B2F6B">
            <w:pPr>
              <w:rPr>
                <w:rFonts w:ascii="Calibri" w:eastAsia="Times New Roman" w:hAnsi="Calibri"/>
                <w:bCs/>
                <w:color w:val="000000"/>
                <w:sz w:val="20"/>
                <w:szCs w:val="20"/>
                <w:lang w:eastAsia="en-US"/>
              </w:rPr>
            </w:pPr>
            <w:r w:rsidRPr="00EE7374">
              <w:rPr>
                <w:rFonts w:ascii="Calibri" w:eastAsia="Times New Roman" w:hAnsi="Calibri"/>
                <w:bCs/>
                <w:color w:val="000000"/>
                <w:sz w:val="20"/>
                <w:szCs w:val="20"/>
                <w:lang w:eastAsia="en-US"/>
              </w:rPr>
              <w:t>Other assets</w:t>
            </w:r>
          </w:p>
        </w:tc>
        <w:tc>
          <w:tcPr>
            <w:tcW w:w="1026" w:type="dxa"/>
            <w:shd w:val="clear" w:color="auto" w:fill="auto"/>
            <w:vAlign w:val="center"/>
            <w:hideMark/>
          </w:tcPr>
          <w:p w:rsidR="001F5832" w:rsidRPr="00EE7374" w:rsidRDefault="001F5832" w:rsidP="003B2F6B">
            <w:pPr>
              <w:jc w:val="right"/>
              <w:rPr>
                <w:rFonts w:ascii="Calibri" w:eastAsia="Times New Roman" w:hAnsi="Calibri"/>
                <w:color w:val="000000"/>
                <w:sz w:val="20"/>
                <w:szCs w:val="20"/>
                <w:lang w:eastAsia="en-US"/>
              </w:rPr>
            </w:pPr>
            <w:r w:rsidRPr="00EE7374">
              <w:rPr>
                <w:rFonts w:ascii="Calibri" w:eastAsia="Times New Roman" w:hAnsi="Calibri"/>
                <w:color w:val="000000"/>
                <w:sz w:val="20"/>
                <w:szCs w:val="20"/>
                <w:lang w:eastAsia="en-US"/>
              </w:rPr>
              <w:t>1,408.20</w:t>
            </w:r>
          </w:p>
        </w:tc>
        <w:tc>
          <w:tcPr>
            <w:tcW w:w="1320" w:type="dxa"/>
            <w:shd w:val="clear" w:color="auto" w:fill="auto"/>
            <w:vAlign w:val="center"/>
            <w:hideMark/>
          </w:tcPr>
          <w:p w:rsidR="001F5832" w:rsidRPr="00EE7374" w:rsidRDefault="001F5832" w:rsidP="003B2F6B">
            <w:pPr>
              <w:jc w:val="right"/>
              <w:rPr>
                <w:rFonts w:ascii="Calibri" w:eastAsia="Times New Roman" w:hAnsi="Calibri"/>
                <w:color w:val="000000"/>
                <w:sz w:val="20"/>
                <w:szCs w:val="20"/>
                <w:lang w:eastAsia="en-US"/>
              </w:rPr>
            </w:pPr>
            <w:r w:rsidRPr="00EE7374">
              <w:rPr>
                <w:rFonts w:ascii="Calibri" w:eastAsia="Times New Roman" w:hAnsi="Calibri"/>
                <w:color w:val="000000"/>
                <w:sz w:val="20"/>
                <w:szCs w:val="20"/>
                <w:lang w:eastAsia="en-US"/>
              </w:rPr>
              <w:t>1,311.70</w:t>
            </w:r>
          </w:p>
        </w:tc>
        <w:tc>
          <w:tcPr>
            <w:tcW w:w="960" w:type="dxa"/>
            <w:shd w:val="clear" w:color="auto" w:fill="auto"/>
            <w:noWrap/>
            <w:hideMark/>
          </w:tcPr>
          <w:p w:rsidR="001F5832" w:rsidRPr="00EE7374" w:rsidRDefault="001F5832" w:rsidP="00EE7374">
            <w:pPr>
              <w:jc w:val="right"/>
              <w:rPr>
                <w:rFonts w:ascii="Calibri" w:eastAsia="Times New Roman" w:hAnsi="Calibri"/>
                <w:color w:val="000000"/>
                <w:sz w:val="20"/>
                <w:szCs w:val="22"/>
                <w:lang w:eastAsia="en-US"/>
              </w:rPr>
            </w:pPr>
            <w:r w:rsidRPr="00EE7374">
              <w:rPr>
                <w:rFonts w:ascii="Calibri" w:eastAsia="Times New Roman" w:hAnsi="Calibri"/>
                <w:color w:val="000000"/>
                <w:sz w:val="20"/>
                <w:szCs w:val="22"/>
                <w:lang w:eastAsia="en-US"/>
              </w:rPr>
              <w:t>7.4%</w:t>
            </w:r>
          </w:p>
        </w:tc>
      </w:tr>
      <w:tr w:rsidR="001F5832" w:rsidRPr="00EE7374" w:rsidTr="00EE7374">
        <w:trPr>
          <w:trHeight w:val="302"/>
          <w:jc w:val="center"/>
        </w:trPr>
        <w:tc>
          <w:tcPr>
            <w:tcW w:w="4831" w:type="dxa"/>
            <w:shd w:val="clear" w:color="auto" w:fill="auto"/>
            <w:vAlign w:val="center"/>
            <w:hideMark/>
          </w:tcPr>
          <w:p w:rsidR="001F5832" w:rsidRPr="00EE7374" w:rsidRDefault="001F5832" w:rsidP="003B2F6B">
            <w:pPr>
              <w:rPr>
                <w:rFonts w:ascii="Calibri" w:eastAsia="Times New Roman" w:hAnsi="Calibri"/>
                <w:b/>
                <w:bCs/>
                <w:i/>
                <w:color w:val="000000"/>
                <w:sz w:val="20"/>
                <w:szCs w:val="20"/>
                <w:lang w:eastAsia="en-US"/>
              </w:rPr>
            </w:pPr>
            <w:r w:rsidRPr="00EE7374">
              <w:rPr>
                <w:rFonts w:ascii="Calibri" w:eastAsia="Times New Roman" w:hAnsi="Calibri"/>
                <w:b/>
                <w:bCs/>
                <w:i/>
                <w:color w:val="000000"/>
                <w:sz w:val="20"/>
                <w:szCs w:val="20"/>
                <w:lang w:eastAsia="en-US"/>
              </w:rPr>
              <w:t>Total assets</w:t>
            </w:r>
          </w:p>
        </w:tc>
        <w:tc>
          <w:tcPr>
            <w:tcW w:w="1026" w:type="dxa"/>
            <w:shd w:val="clear" w:color="auto" w:fill="auto"/>
            <w:vAlign w:val="center"/>
            <w:hideMark/>
          </w:tcPr>
          <w:p w:rsidR="001F5832" w:rsidRPr="00EE7374" w:rsidRDefault="001F5832" w:rsidP="003B2F6B">
            <w:pPr>
              <w:jc w:val="right"/>
              <w:rPr>
                <w:rFonts w:ascii="Calibri" w:eastAsia="Times New Roman" w:hAnsi="Calibri"/>
                <w:color w:val="000000"/>
                <w:sz w:val="20"/>
                <w:szCs w:val="20"/>
                <w:lang w:eastAsia="en-US"/>
              </w:rPr>
            </w:pPr>
            <w:r w:rsidRPr="00EE7374">
              <w:rPr>
                <w:rFonts w:ascii="Calibri" w:eastAsia="Times New Roman" w:hAnsi="Calibri"/>
                <w:color w:val="000000"/>
                <w:sz w:val="20"/>
                <w:szCs w:val="20"/>
                <w:lang w:eastAsia="en-US"/>
              </w:rPr>
              <w:t>7,382.50</w:t>
            </w:r>
          </w:p>
        </w:tc>
        <w:tc>
          <w:tcPr>
            <w:tcW w:w="1320" w:type="dxa"/>
            <w:shd w:val="clear" w:color="auto" w:fill="auto"/>
            <w:vAlign w:val="center"/>
            <w:hideMark/>
          </w:tcPr>
          <w:p w:rsidR="001F5832" w:rsidRPr="00EE7374" w:rsidRDefault="001F5832" w:rsidP="003B2F6B">
            <w:pPr>
              <w:jc w:val="right"/>
              <w:rPr>
                <w:rFonts w:ascii="Calibri" w:eastAsia="Times New Roman" w:hAnsi="Calibri"/>
                <w:color w:val="000000"/>
                <w:sz w:val="20"/>
                <w:szCs w:val="20"/>
                <w:lang w:eastAsia="en-US"/>
              </w:rPr>
            </w:pPr>
            <w:r w:rsidRPr="00EE7374">
              <w:rPr>
                <w:rFonts w:ascii="Calibri" w:eastAsia="Times New Roman" w:hAnsi="Calibri"/>
                <w:color w:val="000000"/>
                <w:sz w:val="20"/>
                <w:szCs w:val="20"/>
                <w:lang w:eastAsia="en-US"/>
              </w:rPr>
              <w:t>7,735</w:t>
            </w:r>
          </w:p>
        </w:tc>
        <w:tc>
          <w:tcPr>
            <w:tcW w:w="960" w:type="dxa"/>
            <w:shd w:val="clear" w:color="auto" w:fill="auto"/>
            <w:noWrap/>
            <w:hideMark/>
          </w:tcPr>
          <w:p w:rsidR="001F5832" w:rsidRPr="00EE7374" w:rsidRDefault="001F5832" w:rsidP="00EE7374">
            <w:pPr>
              <w:jc w:val="right"/>
              <w:rPr>
                <w:rFonts w:ascii="Calibri" w:eastAsia="Times New Roman" w:hAnsi="Calibri"/>
                <w:color w:val="000000"/>
                <w:sz w:val="20"/>
                <w:szCs w:val="22"/>
                <w:lang w:eastAsia="en-US"/>
              </w:rPr>
            </w:pPr>
            <w:r w:rsidRPr="00EE7374">
              <w:rPr>
                <w:rFonts w:ascii="Calibri" w:eastAsia="Times New Roman" w:hAnsi="Calibri"/>
                <w:color w:val="000000"/>
                <w:sz w:val="20"/>
                <w:szCs w:val="22"/>
                <w:lang w:eastAsia="en-US"/>
              </w:rPr>
              <w:t>-4.6%</w:t>
            </w:r>
          </w:p>
        </w:tc>
      </w:tr>
      <w:tr w:rsidR="001F5832" w:rsidRPr="00EE7374" w:rsidTr="00EE7374">
        <w:trPr>
          <w:trHeight w:val="302"/>
          <w:jc w:val="center"/>
        </w:trPr>
        <w:tc>
          <w:tcPr>
            <w:tcW w:w="4831" w:type="dxa"/>
            <w:shd w:val="clear" w:color="auto" w:fill="auto"/>
            <w:vAlign w:val="center"/>
            <w:hideMark/>
          </w:tcPr>
          <w:p w:rsidR="001F5832" w:rsidRPr="00EE7374" w:rsidRDefault="001F5832" w:rsidP="003B2F6B">
            <w:pPr>
              <w:rPr>
                <w:rFonts w:ascii="Calibri" w:eastAsia="Times New Roman" w:hAnsi="Calibri"/>
                <w:bCs/>
                <w:color w:val="000000"/>
                <w:sz w:val="20"/>
                <w:szCs w:val="20"/>
                <w:lang w:eastAsia="en-US"/>
              </w:rPr>
            </w:pPr>
            <w:r w:rsidRPr="00EE7374">
              <w:rPr>
                <w:rFonts w:ascii="Calibri" w:eastAsia="Times New Roman" w:hAnsi="Calibri"/>
                <w:bCs/>
                <w:color w:val="000000"/>
                <w:sz w:val="20"/>
                <w:szCs w:val="20"/>
                <w:lang w:eastAsia="en-US"/>
              </w:rPr>
              <w:t>Debt maturing within one year</w:t>
            </w:r>
          </w:p>
        </w:tc>
        <w:tc>
          <w:tcPr>
            <w:tcW w:w="1026" w:type="dxa"/>
            <w:shd w:val="clear" w:color="auto" w:fill="auto"/>
            <w:vAlign w:val="center"/>
            <w:hideMark/>
          </w:tcPr>
          <w:p w:rsidR="001F5832" w:rsidRPr="00EE7374" w:rsidRDefault="001F5832" w:rsidP="003B2F6B">
            <w:pPr>
              <w:jc w:val="right"/>
              <w:rPr>
                <w:rFonts w:ascii="Calibri" w:eastAsia="Times New Roman" w:hAnsi="Calibri"/>
                <w:color w:val="000000"/>
                <w:sz w:val="20"/>
                <w:szCs w:val="20"/>
                <w:lang w:eastAsia="en-US"/>
              </w:rPr>
            </w:pPr>
            <w:r w:rsidRPr="00EE7374">
              <w:rPr>
                <w:rFonts w:ascii="Calibri" w:eastAsia="Times New Roman" w:hAnsi="Calibri"/>
                <w:color w:val="000000"/>
                <w:sz w:val="20"/>
                <w:szCs w:val="20"/>
                <w:lang w:eastAsia="en-US"/>
              </w:rPr>
              <w:t>572</w:t>
            </w:r>
          </w:p>
        </w:tc>
        <w:tc>
          <w:tcPr>
            <w:tcW w:w="1320" w:type="dxa"/>
            <w:shd w:val="clear" w:color="auto" w:fill="auto"/>
            <w:vAlign w:val="center"/>
            <w:hideMark/>
          </w:tcPr>
          <w:p w:rsidR="001F5832" w:rsidRPr="00EE7374" w:rsidRDefault="001F5832" w:rsidP="003B2F6B">
            <w:pPr>
              <w:jc w:val="right"/>
              <w:rPr>
                <w:rFonts w:ascii="Calibri" w:eastAsia="Times New Roman" w:hAnsi="Calibri"/>
                <w:color w:val="000000"/>
                <w:sz w:val="20"/>
                <w:szCs w:val="20"/>
                <w:lang w:eastAsia="en-US"/>
              </w:rPr>
            </w:pPr>
            <w:r w:rsidRPr="00EE7374">
              <w:rPr>
                <w:rFonts w:ascii="Calibri" w:eastAsia="Times New Roman" w:hAnsi="Calibri"/>
                <w:color w:val="000000"/>
                <w:sz w:val="20"/>
                <w:szCs w:val="20"/>
                <w:lang w:eastAsia="en-US"/>
              </w:rPr>
              <w:t>849.3</w:t>
            </w:r>
          </w:p>
        </w:tc>
        <w:tc>
          <w:tcPr>
            <w:tcW w:w="960" w:type="dxa"/>
            <w:shd w:val="clear" w:color="auto" w:fill="auto"/>
            <w:noWrap/>
            <w:hideMark/>
          </w:tcPr>
          <w:p w:rsidR="001F5832" w:rsidRPr="00EE7374" w:rsidRDefault="001F5832" w:rsidP="00EE7374">
            <w:pPr>
              <w:jc w:val="right"/>
              <w:rPr>
                <w:rFonts w:ascii="Calibri" w:eastAsia="Times New Roman" w:hAnsi="Calibri"/>
                <w:color w:val="000000"/>
                <w:sz w:val="20"/>
                <w:szCs w:val="22"/>
                <w:lang w:eastAsia="en-US"/>
              </w:rPr>
            </w:pPr>
            <w:r w:rsidRPr="00EE7374">
              <w:rPr>
                <w:rFonts w:ascii="Calibri" w:eastAsia="Times New Roman" w:hAnsi="Calibri"/>
                <w:color w:val="000000"/>
                <w:sz w:val="20"/>
                <w:szCs w:val="22"/>
                <w:lang w:eastAsia="en-US"/>
              </w:rPr>
              <w:t>-32.7%</w:t>
            </w:r>
          </w:p>
        </w:tc>
      </w:tr>
      <w:tr w:rsidR="001F5832" w:rsidRPr="00EE7374" w:rsidTr="00EE7374">
        <w:trPr>
          <w:trHeight w:val="302"/>
          <w:jc w:val="center"/>
        </w:trPr>
        <w:tc>
          <w:tcPr>
            <w:tcW w:w="4831" w:type="dxa"/>
            <w:shd w:val="clear" w:color="auto" w:fill="auto"/>
            <w:vAlign w:val="center"/>
            <w:hideMark/>
          </w:tcPr>
          <w:p w:rsidR="001F5832" w:rsidRPr="00EE7374" w:rsidRDefault="001F5832" w:rsidP="003B2F6B">
            <w:pPr>
              <w:rPr>
                <w:rFonts w:ascii="Calibri" w:eastAsia="Times New Roman" w:hAnsi="Calibri"/>
                <w:b/>
                <w:bCs/>
                <w:i/>
                <w:color w:val="000000"/>
                <w:sz w:val="20"/>
                <w:szCs w:val="20"/>
                <w:lang w:eastAsia="en-US"/>
              </w:rPr>
            </w:pPr>
            <w:r w:rsidRPr="00EE7374">
              <w:rPr>
                <w:rFonts w:ascii="Calibri" w:eastAsia="Times New Roman" w:hAnsi="Calibri"/>
                <w:b/>
                <w:bCs/>
                <w:i/>
                <w:color w:val="000000"/>
                <w:sz w:val="20"/>
                <w:szCs w:val="20"/>
                <w:lang w:eastAsia="en-US"/>
              </w:rPr>
              <w:t>Total current liabilities</w:t>
            </w:r>
          </w:p>
        </w:tc>
        <w:tc>
          <w:tcPr>
            <w:tcW w:w="1026" w:type="dxa"/>
            <w:shd w:val="clear" w:color="auto" w:fill="auto"/>
            <w:vAlign w:val="center"/>
            <w:hideMark/>
          </w:tcPr>
          <w:p w:rsidR="001F5832" w:rsidRPr="00EE7374" w:rsidRDefault="001F5832" w:rsidP="003B2F6B">
            <w:pPr>
              <w:jc w:val="right"/>
              <w:rPr>
                <w:rFonts w:ascii="Calibri" w:eastAsia="Times New Roman" w:hAnsi="Calibri"/>
                <w:color w:val="000000"/>
                <w:sz w:val="20"/>
                <w:szCs w:val="20"/>
                <w:lang w:eastAsia="en-US"/>
              </w:rPr>
            </w:pPr>
            <w:r w:rsidRPr="00EE7374">
              <w:rPr>
                <w:rFonts w:ascii="Calibri" w:eastAsia="Times New Roman" w:hAnsi="Calibri"/>
                <w:color w:val="000000"/>
                <w:sz w:val="20"/>
                <w:szCs w:val="20"/>
                <w:lang w:eastAsia="en-US"/>
              </w:rPr>
              <w:t>2,704.60</w:t>
            </w:r>
          </w:p>
        </w:tc>
        <w:tc>
          <w:tcPr>
            <w:tcW w:w="1320" w:type="dxa"/>
            <w:shd w:val="clear" w:color="auto" w:fill="auto"/>
            <w:vAlign w:val="center"/>
            <w:hideMark/>
          </w:tcPr>
          <w:p w:rsidR="001F5832" w:rsidRPr="00EE7374" w:rsidRDefault="001F5832" w:rsidP="003B2F6B">
            <w:pPr>
              <w:jc w:val="right"/>
              <w:rPr>
                <w:rFonts w:ascii="Calibri" w:eastAsia="Times New Roman" w:hAnsi="Calibri"/>
                <w:color w:val="000000"/>
                <w:sz w:val="20"/>
                <w:szCs w:val="20"/>
                <w:lang w:eastAsia="en-US"/>
              </w:rPr>
            </w:pPr>
            <w:r w:rsidRPr="00EE7374">
              <w:rPr>
                <w:rFonts w:ascii="Calibri" w:eastAsia="Times New Roman" w:hAnsi="Calibri"/>
                <w:color w:val="000000"/>
                <w:sz w:val="20"/>
                <w:szCs w:val="20"/>
                <w:lang w:eastAsia="en-US"/>
              </w:rPr>
              <w:t>2,891</w:t>
            </w:r>
          </w:p>
        </w:tc>
        <w:tc>
          <w:tcPr>
            <w:tcW w:w="960" w:type="dxa"/>
            <w:shd w:val="clear" w:color="auto" w:fill="auto"/>
            <w:noWrap/>
            <w:hideMark/>
          </w:tcPr>
          <w:p w:rsidR="001F5832" w:rsidRPr="00EE7374" w:rsidRDefault="001F5832" w:rsidP="00EE7374">
            <w:pPr>
              <w:jc w:val="right"/>
              <w:rPr>
                <w:rFonts w:ascii="Calibri" w:eastAsia="Times New Roman" w:hAnsi="Calibri"/>
                <w:color w:val="000000"/>
                <w:sz w:val="20"/>
                <w:szCs w:val="22"/>
                <w:lang w:eastAsia="en-US"/>
              </w:rPr>
            </w:pPr>
            <w:r w:rsidRPr="00EE7374">
              <w:rPr>
                <w:rFonts w:ascii="Calibri" w:eastAsia="Times New Roman" w:hAnsi="Calibri"/>
                <w:color w:val="000000"/>
                <w:sz w:val="20"/>
                <w:szCs w:val="22"/>
                <w:lang w:eastAsia="en-US"/>
              </w:rPr>
              <w:t>-6.4%</w:t>
            </w:r>
          </w:p>
        </w:tc>
      </w:tr>
      <w:tr w:rsidR="001F5832" w:rsidRPr="00EE7374" w:rsidTr="00EE7374">
        <w:trPr>
          <w:trHeight w:val="302"/>
          <w:jc w:val="center"/>
        </w:trPr>
        <w:tc>
          <w:tcPr>
            <w:tcW w:w="4831" w:type="dxa"/>
            <w:shd w:val="clear" w:color="auto" w:fill="auto"/>
            <w:vAlign w:val="center"/>
            <w:hideMark/>
          </w:tcPr>
          <w:p w:rsidR="001F5832" w:rsidRPr="00EE7374" w:rsidRDefault="001F5832" w:rsidP="003B2F6B">
            <w:pPr>
              <w:rPr>
                <w:rFonts w:ascii="Calibri" w:eastAsia="Times New Roman" w:hAnsi="Calibri"/>
                <w:bCs/>
                <w:color w:val="000000"/>
                <w:sz w:val="20"/>
                <w:szCs w:val="20"/>
                <w:lang w:eastAsia="en-US"/>
              </w:rPr>
            </w:pPr>
            <w:r w:rsidRPr="00EE7374">
              <w:rPr>
                <w:rFonts w:ascii="Calibri" w:eastAsia="Times New Roman" w:hAnsi="Calibri"/>
                <w:bCs/>
                <w:color w:val="000000"/>
                <w:sz w:val="20"/>
                <w:szCs w:val="20"/>
                <w:lang w:eastAsia="en-US"/>
              </w:rPr>
              <w:t>Long-term debt</w:t>
            </w:r>
          </w:p>
        </w:tc>
        <w:tc>
          <w:tcPr>
            <w:tcW w:w="1026" w:type="dxa"/>
            <w:shd w:val="clear" w:color="auto" w:fill="auto"/>
            <w:vAlign w:val="center"/>
            <w:hideMark/>
          </w:tcPr>
          <w:p w:rsidR="001F5832" w:rsidRPr="00EE7374" w:rsidRDefault="001F5832" w:rsidP="003B2F6B">
            <w:pPr>
              <w:jc w:val="right"/>
              <w:rPr>
                <w:rFonts w:ascii="Calibri" w:eastAsia="Times New Roman" w:hAnsi="Calibri"/>
                <w:color w:val="000000"/>
                <w:sz w:val="20"/>
                <w:szCs w:val="20"/>
                <w:lang w:eastAsia="en-US"/>
              </w:rPr>
            </w:pPr>
            <w:r w:rsidRPr="00EE7374">
              <w:rPr>
                <w:rFonts w:ascii="Calibri" w:eastAsia="Times New Roman" w:hAnsi="Calibri"/>
                <w:color w:val="000000"/>
                <w:sz w:val="20"/>
                <w:szCs w:val="20"/>
                <w:lang w:eastAsia="en-US"/>
              </w:rPr>
              <w:t>2,623.90</w:t>
            </w:r>
          </w:p>
        </w:tc>
        <w:tc>
          <w:tcPr>
            <w:tcW w:w="1320" w:type="dxa"/>
            <w:shd w:val="clear" w:color="auto" w:fill="auto"/>
            <w:vAlign w:val="center"/>
            <w:hideMark/>
          </w:tcPr>
          <w:p w:rsidR="001F5832" w:rsidRPr="00EE7374" w:rsidRDefault="001F5832" w:rsidP="003B2F6B">
            <w:pPr>
              <w:jc w:val="right"/>
              <w:rPr>
                <w:rFonts w:ascii="Calibri" w:eastAsia="Times New Roman" w:hAnsi="Calibri"/>
                <w:color w:val="000000"/>
                <w:sz w:val="20"/>
                <w:szCs w:val="20"/>
                <w:lang w:eastAsia="en-US"/>
              </w:rPr>
            </w:pPr>
            <w:r w:rsidRPr="00EE7374">
              <w:rPr>
                <w:rFonts w:ascii="Calibri" w:eastAsia="Times New Roman" w:hAnsi="Calibri"/>
                <w:color w:val="000000"/>
                <w:sz w:val="20"/>
                <w:szCs w:val="20"/>
                <w:lang w:eastAsia="en-US"/>
              </w:rPr>
              <w:t>2,459.10</w:t>
            </w:r>
          </w:p>
        </w:tc>
        <w:tc>
          <w:tcPr>
            <w:tcW w:w="960" w:type="dxa"/>
            <w:shd w:val="clear" w:color="auto" w:fill="auto"/>
            <w:noWrap/>
            <w:hideMark/>
          </w:tcPr>
          <w:p w:rsidR="001F5832" w:rsidRPr="00EE7374" w:rsidRDefault="001F5832" w:rsidP="00EE7374">
            <w:pPr>
              <w:jc w:val="right"/>
              <w:rPr>
                <w:rFonts w:ascii="Calibri" w:eastAsia="Times New Roman" w:hAnsi="Calibri"/>
                <w:color w:val="000000"/>
                <w:sz w:val="20"/>
                <w:szCs w:val="22"/>
                <w:lang w:eastAsia="en-US"/>
              </w:rPr>
            </w:pPr>
            <w:r w:rsidRPr="00EE7374">
              <w:rPr>
                <w:rFonts w:ascii="Calibri" w:eastAsia="Times New Roman" w:hAnsi="Calibri"/>
                <w:color w:val="000000"/>
                <w:sz w:val="20"/>
                <w:szCs w:val="22"/>
                <w:lang w:eastAsia="en-US"/>
              </w:rPr>
              <w:t>6.7%</w:t>
            </w:r>
          </w:p>
        </w:tc>
      </w:tr>
      <w:tr w:rsidR="001F5832" w:rsidRPr="00EE7374" w:rsidTr="00EE7374">
        <w:trPr>
          <w:trHeight w:val="302"/>
          <w:jc w:val="center"/>
        </w:trPr>
        <w:tc>
          <w:tcPr>
            <w:tcW w:w="4831" w:type="dxa"/>
            <w:shd w:val="clear" w:color="auto" w:fill="auto"/>
            <w:vAlign w:val="center"/>
            <w:hideMark/>
          </w:tcPr>
          <w:p w:rsidR="001F5832" w:rsidRPr="00EE7374" w:rsidRDefault="001F5832" w:rsidP="003B2F6B">
            <w:pPr>
              <w:rPr>
                <w:rFonts w:ascii="Calibri" w:eastAsia="Times New Roman" w:hAnsi="Calibri"/>
                <w:bCs/>
                <w:color w:val="000000"/>
                <w:sz w:val="20"/>
                <w:szCs w:val="20"/>
                <w:lang w:eastAsia="en-US"/>
              </w:rPr>
            </w:pPr>
            <w:r w:rsidRPr="00EE7374">
              <w:rPr>
                <w:rFonts w:ascii="Calibri" w:eastAsia="Times New Roman" w:hAnsi="Calibri"/>
                <w:bCs/>
                <w:color w:val="000000"/>
                <w:sz w:val="20"/>
                <w:szCs w:val="20"/>
                <w:lang w:eastAsia="en-US"/>
              </w:rPr>
              <w:t>Employee benefit plans</w:t>
            </w:r>
          </w:p>
        </w:tc>
        <w:tc>
          <w:tcPr>
            <w:tcW w:w="1026" w:type="dxa"/>
            <w:shd w:val="clear" w:color="auto" w:fill="auto"/>
            <w:vAlign w:val="center"/>
            <w:hideMark/>
          </w:tcPr>
          <w:p w:rsidR="001F5832" w:rsidRPr="00EE7374" w:rsidRDefault="001F5832" w:rsidP="003B2F6B">
            <w:pPr>
              <w:jc w:val="right"/>
              <w:rPr>
                <w:rFonts w:ascii="Calibri" w:eastAsia="Times New Roman" w:hAnsi="Calibri"/>
                <w:color w:val="000000"/>
                <w:sz w:val="20"/>
                <w:szCs w:val="20"/>
                <w:lang w:eastAsia="en-US"/>
              </w:rPr>
            </w:pPr>
            <w:r w:rsidRPr="00EE7374">
              <w:rPr>
                <w:rFonts w:ascii="Calibri" w:eastAsia="Times New Roman" w:hAnsi="Calibri"/>
                <w:color w:val="000000"/>
                <w:sz w:val="20"/>
                <w:szCs w:val="20"/>
                <w:lang w:eastAsia="en-US"/>
              </w:rPr>
              <w:t>637.6</w:t>
            </w:r>
          </w:p>
        </w:tc>
        <w:tc>
          <w:tcPr>
            <w:tcW w:w="1320" w:type="dxa"/>
            <w:shd w:val="clear" w:color="auto" w:fill="auto"/>
            <w:vAlign w:val="center"/>
            <w:hideMark/>
          </w:tcPr>
          <w:p w:rsidR="001F5832" w:rsidRPr="00EE7374" w:rsidRDefault="001F5832" w:rsidP="003B2F6B">
            <w:pPr>
              <w:jc w:val="right"/>
              <w:rPr>
                <w:rFonts w:ascii="Calibri" w:eastAsia="Times New Roman" w:hAnsi="Calibri"/>
                <w:color w:val="000000"/>
                <w:sz w:val="20"/>
                <w:szCs w:val="20"/>
                <w:lang w:eastAsia="en-US"/>
              </w:rPr>
            </w:pPr>
            <w:r w:rsidRPr="00EE7374">
              <w:rPr>
                <w:rFonts w:ascii="Calibri" w:eastAsia="Times New Roman" w:hAnsi="Calibri"/>
                <w:color w:val="000000"/>
                <w:sz w:val="20"/>
                <w:szCs w:val="20"/>
                <w:lang w:eastAsia="en-US"/>
              </w:rPr>
              <w:t>603</w:t>
            </w:r>
          </w:p>
        </w:tc>
        <w:tc>
          <w:tcPr>
            <w:tcW w:w="960" w:type="dxa"/>
            <w:shd w:val="clear" w:color="auto" w:fill="auto"/>
            <w:noWrap/>
            <w:hideMark/>
          </w:tcPr>
          <w:p w:rsidR="001F5832" w:rsidRPr="00EE7374" w:rsidRDefault="001F5832" w:rsidP="00EE7374">
            <w:pPr>
              <w:jc w:val="right"/>
              <w:rPr>
                <w:rFonts w:ascii="Calibri" w:eastAsia="Times New Roman" w:hAnsi="Calibri"/>
                <w:color w:val="000000"/>
                <w:sz w:val="20"/>
                <w:szCs w:val="22"/>
                <w:lang w:eastAsia="en-US"/>
              </w:rPr>
            </w:pPr>
            <w:r w:rsidRPr="00EE7374">
              <w:rPr>
                <w:rFonts w:ascii="Calibri" w:eastAsia="Times New Roman" w:hAnsi="Calibri"/>
                <w:color w:val="000000"/>
                <w:sz w:val="20"/>
                <w:szCs w:val="22"/>
                <w:lang w:eastAsia="en-US"/>
              </w:rPr>
              <w:t>5.7%</w:t>
            </w:r>
          </w:p>
        </w:tc>
      </w:tr>
      <w:tr w:rsidR="001F5832" w:rsidRPr="00EE7374" w:rsidTr="00EE7374">
        <w:trPr>
          <w:trHeight w:val="302"/>
          <w:jc w:val="center"/>
        </w:trPr>
        <w:tc>
          <w:tcPr>
            <w:tcW w:w="4831" w:type="dxa"/>
            <w:shd w:val="clear" w:color="auto" w:fill="auto"/>
            <w:vAlign w:val="center"/>
            <w:hideMark/>
          </w:tcPr>
          <w:p w:rsidR="001F5832" w:rsidRPr="00EE7374" w:rsidRDefault="001F5832" w:rsidP="003B2F6B">
            <w:pPr>
              <w:rPr>
                <w:rFonts w:ascii="Calibri" w:eastAsia="Times New Roman" w:hAnsi="Calibri"/>
                <w:b/>
                <w:bCs/>
                <w:i/>
                <w:color w:val="000000"/>
                <w:sz w:val="20"/>
                <w:szCs w:val="20"/>
                <w:lang w:eastAsia="en-US"/>
              </w:rPr>
            </w:pPr>
            <w:r w:rsidRPr="00EE7374">
              <w:rPr>
                <w:rFonts w:ascii="Calibri" w:eastAsia="Times New Roman" w:hAnsi="Calibri"/>
                <w:b/>
                <w:bCs/>
                <w:i/>
                <w:color w:val="000000"/>
                <w:sz w:val="20"/>
                <w:szCs w:val="20"/>
                <w:lang w:eastAsia="en-US"/>
              </w:rPr>
              <w:t>Total liabilities</w:t>
            </w:r>
          </w:p>
        </w:tc>
        <w:tc>
          <w:tcPr>
            <w:tcW w:w="1026" w:type="dxa"/>
            <w:shd w:val="clear" w:color="auto" w:fill="auto"/>
            <w:vAlign w:val="center"/>
            <w:hideMark/>
          </w:tcPr>
          <w:p w:rsidR="001F5832" w:rsidRPr="00EE7374" w:rsidRDefault="001F5832" w:rsidP="003B2F6B">
            <w:pPr>
              <w:jc w:val="right"/>
              <w:rPr>
                <w:rFonts w:ascii="Calibri" w:eastAsia="Times New Roman" w:hAnsi="Calibri"/>
                <w:color w:val="000000"/>
                <w:sz w:val="20"/>
                <w:szCs w:val="20"/>
                <w:lang w:eastAsia="en-US"/>
              </w:rPr>
            </w:pPr>
            <w:r w:rsidRPr="00EE7374">
              <w:rPr>
                <w:rFonts w:ascii="Calibri" w:eastAsia="Times New Roman" w:hAnsi="Calibri"/>
                <w:color w:val="000000"/>
                <w:sz w:val="20"/>
                <w:szCs w:val="20"/>
                <w:lang w:eastAsia="en-US"/>
              </w:rPr>
              <w:t>6,149.20</w:t>
            </w:r>
          </w:p>
        </w:tc>
        <w:tc>
          <w:tcPr>
            <w:tcW w:w="1320" w:type="dxa"/>
            <w:shd w:val="clear" w:color="auto" w:fill="auto"/>
            <w:vAlign w:val="center"/>
            <w:hideMark/>
          </w:tcPr>
          <w:p w:rsidR="001F5832" w:rsidRPr="00EE7374" w:rsidRDefault="001F5832" w:rsidP="003B2F6B">
            <w:pPr>
              <w:jc w:val="right"/>
              <w:rPr>
                <w:rFonts w:ascii="Calibri" w:eastAsia="Times New Roman" w:hAnsi="Calibri"/>
                <w:color w:val="000000"/>
                <w:sz w:val="20"/>
                <w:szCs w:val="20"/>
                <w:lang w:eastAsia="en-US"/>
              </w:rPr>
            </w:pPr>
            <w:r w:rsidRPr="00EE7374">
              <w:rPr>
                <w:rFonts w:ascii="Calibri" w:eastAsia="Times New Roman" w:hAnsi="Calibri"/>
                <w:color w:val="000000"/>
                <w:sz w:val="20"/>
                <w:szCs w:val="20"/>
                <w:lang w:eastAsia="en-US"/>
              </w:rPr>
              <w:t>6,149.80</w:t>
            </w:r>
          </w:p>
        </w:tc>
        <w:tc>
          <w:tcPr>
            <w:tcW w:w="960" w:type="dxa"/>
            <w:shd w:val="clear" w:color="auto" w:fill="auto"/>
            <w:noWrap/>
            <w:hideMark/>
          </w:tcPr>
          <w:p w:rsidR="001F5832" w:rsidRPr="00EE7374" w:rsidRDefault="001F5832" w:rsidP="00EE7374">
            <w:pPr>
              <w:jc w:val="right"/>
              <w:rPr>
                <w:rFonts w:ascii="Calibri" w:eastAsia="Times New Roman" w:hAnsi="Calibri"/>
                <w:color w:val="000000"/>
                <w:sz w:val="20"/>
                <w:szCs w:val="22"/>
                <w:lang w:eastAsia="en-US"/>
              </w:rPr>
            </w:pPr>
            <w:r w:rsidRPr="00EE7374">
              <w:rPr>
                <w:rFonts w:ascii="Calibri" w:eastAsia="Times New Roman" w:hAnsi="Calibri"/>
                <w:color w:val="000000"/>
                <w:sz w:val="20"/>
                <w:szCs w:val="22"/>
                <w:lang w:eastAsia="en-US"/>
              </w:rPr>
              <w:t>0.0%</w:t>
            </w:r>
          </w:p>
        </w:tc>
      </w:tr>
      <w:tr w:rsidR="001F5832" w:rsidRPr="00EE7374" w:rsidTr="00EE7374">
        <w:trPr>
          <w:trHeight w:val="302"/>
          <w:jc w:val="center"/>
        </w:trPr>
        <w:tc>
          <w:tcPr>
            <w:tcW w:w="4831" w:type="dxa"/>
            <w:shd w:val="clear" w:color="auto" w:fill="auto"/>
            <w:vAlign w:val="center"/>
            <w:hideMark/>
          </w:tcPr>
          <w:p w:rsidR="001F5832" w:rsidRPr="00EE7374" w:rsidRDefault="001F5832" w:rsidP="003B2F6B">
            <w:pPr>
              <w:rPr>
                <w:rFonts w:ascii="Calibri" w:eastAsia="Times New Roman" w:hAnsi="Calibri"/>
                <w:bCs/>
                <w:color w:val="000000"/>
                <w:sz w:val="20"/>
                <w:szCs w:val="20"/>
                <w:lang w:eastAsia="en-US"/>
              </w:rPr>
            </w:pPr>
            <w:r w:rsidRPr="00EE7374">
              <w:rPr>
                <w:rFonts w:ascii="Calibri" w:eastAsia="Times New Roman" w:hAnsi="Calibri"/>
                <w:bCs/>
                <w:color w:val="000000"/>
                <w:sz w:val="20"/>
                <w:szCs w:val="20"/>
                <w:lang w:eastAsia="en-US"/>
              </w:rPr>
              <w:t>Additional paid-in capital</w:t>
            </w:r>
          </w:p>
        </w:tc>
        <w:tc>
          <w:tcPr>
            <w:tcW w:w="1026" w:type="dxa"/>
            <w:shd w:val="clear" w:color="auto" w:fill="auto"/>
            <w:vAlign w:val="center"/>
            <w:hideMark/>
          </w:tcPr>
          <w:p w:rsidR="001F5832" w:rsidRPr="00EE7374" w:rsidRDefault="001F5832" w:rsidP="003B2F6B">
            <w:pPr>
              <w:jc w:val="right"/>
              <w:rPr>
                <w:rFonts w:ascii="Calibri" w:eastAsia="Times New Roman" w:hAnsi="Calibri"/>
                <w:color w:val="000000"/>
                <w:sz w:val="20"/>
                <w:szCs w:val="20"/>
                <w:lang w:eastAsia="en-US"/>
              </w:rPr>
            </w:pPr>
            <w:r w:rsidRPr="00EE7374">
              <w:rPr>
                <w:rFonts w:ascii="Calibri" w:eastAsia="Times New Roman" w:hAnsi="Calibri"/>
                <w:color w:val="000000"/>
                <w:sz w:val="20"/>
                <w:szCs w:val="20"/>
                <w:lang w:eastAsia="en-US"/>
              </w:rPr>
              <w:t>2,119.60</w:t>
            </w:r>
          </w:p>
        </w:tc>
        <w:tc>
          <w:tcPr>
            <w:tcW w:w="1320" w:type="dxa"/>
            <w:shd w:val="clear" w:color="auto" w:fill="auto"/>
            <w:vAlign w:val="center"/>
            <w:hideMark/>
          </w:tcPr>
          <w:p w:rsidR="001F5832" w:rsidRPr="00EE7374" w:rsidRDefault="001F5832" w:rsidP="003B2F6B">
            <w:pPr>
              <w:jc w:val="right"/>
              <w:rPr>
                <w:rFonts w:ascii="Calibri" w:eastAsia="Times New Roman" w:hAnsi="Calibri"/>
                <w:color w:val="000000"/>
                <w:sz w:val="20"/>
                <w:szCs w:val="20"/>
                <w:lang w:eastAsia="en-US"/>
              </w:rPr>
            </w:pPr>
            <w:r w:rsidRPr="00EE7374">
              <w:rPr>
                <w:rFonts w:ascii="Calibri" w:eastAsia="Times New Roman" w:hAnsi="Calibri"/>
                <w:color w:val="000000"/>
                <w:sz w:val="20"/>
                <w:szCs w:val="20"/>
                <w:lang w:eastAsia="en-US"/>
              </w:rPr>
              <w:t>2,077.70</w:t>
            </w:r>
          </w:p>
        </w:tc>
        <w:tc>
          <w:tcPr>
            <w:tcW w:w="960" w:type="dxa"/>
            <w:shd w:val="clear" w:color="auto" w:fill="auto"/>
            <w:noWrap/>
            <w:hideMark/>
          </w:tcPr>
          <w:p w:rsidR="001F5832" w:rsidRPr="00EE7374" w:rsidRDefault="001F5832" w:rsidP="00EE7374">
            <w:pPr>
              <w:jc w:val="right"/>
              <w:rPr>
                <w:rFonts w:ascii="Calibri" w:eastAsia="Times New Roman" w:hAnsi="Calibri"/>
                <w:color w:val="000000"/>
                <w:sz w:val="20"/>
                <w:szCs w:val="22"/>
                <w:lang w:eastAsia="en-US"/>
              </w:rPr>
            </w:pPr>
            <w:r w:rsidRPr="00EE7374">
              <w:rPr>
                <w:rFonts w:ascii="Calibri" w:eastAsia="Times New Roman" w:hAnsi="Calibri"/>
                <w:color w:val="000000"/>
                <w:sz w:val="20"/>
                <w:szCs w:val="22"/>
                <w:lang w:eastAsia="en-US"/>
              </w:rPr>
              <w:t>2.0%</w:t>
            </w:r>
          </w:p>
        </w:tc>
      </w:tr>
      <w:tr w:rsidR="001F5832" w:rsidRPr="00EE7374" w:rsidTr="00EE7374">
        <w:trPr>
          <w:trHeight w:val="302"/>
          <w:jc w:val="center"/>
        </w:trPr>
        <w:tc>
          <w:tcPr>
            <w:tcW w:w="4831" w:type="dxa"/>
            <w:shd w:val="clear" w:color="auto" w:fill="auto"/>
            <w:vAlign w:val="center"/>
            <w:hideMark/>
          </w:tcPr>
          <w:p w:rsidR="001F5832" w:rsidRPr="00EE7374" w:rsidRDefault="001F5832" w:rsidP="003B2F6B">
            <w:pPr>
              <w:rPr>
                <w:rFonts w:ascii="Calibri" w:eastAsia="Times New Roman" w:hAnsi="Calibri"/>
                <w:bCs/>
                <w:color w:val="000000"/>
                <w:sz w:val="20"/>
                <w:szCs w:val="20"/>
                <w:lang w:eastAsia="en-US"/>
              </w:rPr>
            </w:pPr>
            <w:r w:rsidRPr="00EE7374">
              <w:rPr>
                <w:rFonts w:ascii="Calibri" w:eastAsia="Times New Roman" w:hAnsi="Calibri"/>
                <w:bCs/>
                <w:color w:val="000000"/>
                <w:sz w:val="20"/>
                <w:szCs w:val="20"/>
                <w:lang w:eastAsia="en-US"/>
              </w:rPr>
              <w:t>Retained earnings</w:t>
            </w:r>
          </w:p>
        </w:tc>
        <w:tc>
          <w:tcPr>
            <w:tcW w:w="1026" w:type="dxa"/>
            <w:shd w:val="clear" w:color="auto" w:fill="auto"/>
            <w:vAlign w:val="center"/>
            <w:hideMark/>
          </w:tcPr>
          <w:p w:rsidR="001F5832" w:rsidRPr="00EE7374" w:rsidRDefault="001F5832" w:rsidP="003B2F6B">
            <w:pPr>
              <w:jc w:val="right"/>
              <w:rPr>
                <w:rFonts w:ascii="Calibri" w:eastAsia="Times New Roman" w:hAnsi="Calibri"/>
                <w:color w:val="000000"/>
                <w:sz w:val="20"/>
                <w:szCs w:val="20"/>
                <w:lang w:eastAsia="en-US"/>
              </w:rPr>
            </w:pPr>
            <w:r w:rsidRPr="00EE7374">
              <w:rPr>
                <w:rFonts w:ascii="Calibri" w:eastAsia="Times New Roman" w:hAnsi="Calibri"/>
                <w:color w:val="000000"/>
                <w:sz w:val="20"/>
                <w:szCs w:val="20"/>
                <w:lang w:eastAsia="en-US"/>
              </w:rPr>
              <w:t>4,357.80</w:t>
            </w:r>
          </w:p>
        </w:tc>
        <w:tc>
          <w:tcPr>
            <w:tcW w:w="1320" w:type="dxa"/>
            <w:shd w:val="clear" w:color="auto" w:fill="auto"/>
            <w:vAlign w:val="center"/>
            <w:hideMark/>
          </w:tcPr>
          <w:p w:rsidR="001F5832" w:rsidRPr="00EE7374" w:rsidRDefault="001F5832" w:rsidP="003B2F6B">
            <w:pPr>
              <w:jc w:val="right"/>
              <w:rPr>
                <w:rFonts w:ascii="Calibri" w:eastAsia="Times New Roman" w:hAnsi="Calibri"/>
                <w:color w:val="000000"/>
                <w:sz w:val="20"/>
                <w:szCs w:val="20"/>
                <w:lang w:eastAsia="en-US"/>
              </w:rPr>
            </w:pPr>
            <w:r w:rsidRPr="00EE7374">
              <w:rPr>
                <w:rFonts w:ascii="Calibri" w:eastAsia="Times New Roman" w:hAnsi="Calibri"/>
                <w:color w:val="000000"/>
                <w:sz w:val="20"/>
                <w:szCs w:val="20"/>
                <w:lang w:eastAsia="en-US"/>
              </w:rPr>
              <w:t>4,726.10</w:t>
            </w:r>
          </w:p>
        </w:tc>
        <w:tc>
          <w:tcPr>
            <w:tcW w:w="960" w:type="dxa"/>
            <w:shd w:val="clear" w:color="auto" w:fill="auto"/>
            <w:noWrap/>
            <w:hideMark/>
          </w:tcPr>
          <w:p w:rsidR="001F5832" w:rsidRPr="00EE7374" w:rsidRDefault="001F5832" w:rsidP="00EE7374">
            <w:pPr>
              <w:jc w:val="right"/>
              <w:rPr>
                <w:rFonts w:ascii="Calibri" w:eastAsia="Times New Roman" w:hAnsi="Calibri"/>
                <w:color w:val="000000"/>
                <w:sz w:val="20"/>
                <w:szCs w:val="22"/>
                <w:lang w:eastAsia="en-US"/>
              </w:rPr>
            </w:pPr>
            <w:r w:rsidRPr="00EE7374">
              <w:rPr>
                <w:rFonts w:ascii="Calibri" w:eastAsia="Times New Roman" w:hAnsi="Calibri"/>
                <w:color w:val="000000"/>
                <w:sz w:val="20"/>
                <w:szCs w:val="22"/>
                <w:lang w:eastAsia="en-US"/>
              </w:rPr>
              <w:t>-7.8%</w:t>
            </w:r>
          </w:p>
        </w:tc>
      </w:tr>
      <w:tr w:rsidR="001F5832" w:rsidRPr="00EE7374" w:rsidTr="00511B26">
        <w:trPr>
          <w:trHeight w:val="302"/>
          <w:jc w:val="center"/>
        </w:trPr>
        <w:tc>
          <w:tcPr>
            <w:tcW w:w="4831" w:type="dxa"/>
            <w:tcBorders>
              <w:bottom w:val="nil"/>
            </w:tcBorders>
            <w:shd w:val="clear" w:color="auto" w:fill="FFFF00"/>
            <w:vAlign w:val="center"/>
            <w:hideMark/>
          </w:tcPr>
          <w:p w:rsidR="001F5832" w:rsidRPr="00865098" w:rsidRDefault="0016598F" w:rsidP="003B2F6B">
            <w:pPr>
              <w:rPr>
                <w:rFonts w:ascii="Calibri" w:eastAsia="Times New Roman" w:hAnsi="Calibri"/>
                <w:bCs/>
                <w:color w:val="000000"/>
                <w:sz w:val="20"/>
                <w:szCs w:val="20"/>
                <w:lang w:eastAsia="en-US"/>
              </w:rPr>
            </w:pPr>
            <w:r w:rsidRPr="0016598F">
              <w:rPr>
                <w:rFonts w:ascii="Calibri" w:eastAsia="Times New Roman" w:hAnsi="Calibri"/>
                <w:b/>
                <w:bCs/>
                <w:color w:val="000000"/>
                <w:sz w:val="22"/>
                <w:szCs w:val="20"/>
                <w:lang w:eastAsia="en-US"/>
              </w:rPr>
              <w:t>*</w:t>
            </w:r>
            <w:r w:rsidR="001F5832" w:rsidRPr="00865098">
              <w:rPr>
                <w:rFonts w:ascii="Calibri" w:eastAsia="Times New Roman" w:hAnsi="Calibri"/>
                <w:bCs/>
                <w:color w:val="000000"/>
                <w:sz w:val="20"/>
                <w:szCs w:val="20"/>
                <w:lang w:eastAsia="en-US"/>
              </w:rPr>
              <w:t>Total Avon shareholders' equity</w:t>
            </w:r>
          </w:p>
        </w:tc>
        <w:tc>
          <w:tcPr>
            <w:tcW w:w="1026" w:type="dxa"/>
            <w:tcBorders>
              <w:bottom w:val="nil"/>
            </w:tcBorders>
            <w:shd w:val="clear" w:color="auto" w:fill="FFFF00"/>
            <w:vAlign w:val="center"/>
            <w:hideMark/>
          </w:tcPr>
          <w:p w:rsidR="001F5832" w:rsidRPr="00865098" w:rsidRDefault="001F5832" w:rsidP="003B2F6B">
            <w:pPr>
              <w:jc w:val="right"/>
              <w:rPr>
                <w:rFonts w:ascii="Calibri" w:eastAsia="Times New Roman" w:hAnsi="Calibri"/>
                <w:color w:val="000000"/>
                <w:sz w:val="20"/>
                <w:szCs w:val="20"/>
                <w:lang w:eastAsia="en-US"/>
              </w:rPr>
            </w:pPr>
            <w:r w:rsidRPr="00865098">
              <w:rPr>
                <w:rFonts w:ascii="Calibri" w:eastAsia="Times New Roman" w:hAnsi="Calibri"/>
                <w:color w:val="000000"/>
                <w:sz w:val="20"/>
                <w:szCs w:val="20"/>
                <w:lang w:eastAsia="en-US"/>
              </w:rPr>
              <w:t>1,217.10</w:t>
            </w:r>
          </w:p>
        </w:tc>
        <w:tc>
          <w:tcPr>
            <w:tcW w:w="1320" w:type="dxa"/>
            <w:tcBorders>
              <w:bottom w:val="nil"/>
            </w:tcBorders>
            <w:shd w:val="clear" w:color="auto" w:fill="FFFF00"/>
            <w:vAlign w:val="center"/>
            <w:hideMark/>
          </w:tcPr>
          <w:p w:rsidR="001F5832" w:rsidRPr="00865098" w:rsidRDefault="001F5832" w:rsidP="003B2F6B">
            <w:pPr>
              <w:jc w:val="right"/>
              <w:rPr>
                <w:rFonts w:ascii="Calibri" w:eastAsia="Times New Roman" w:hAnsi="Calibri"/>
                <w:color w:val="000000"/>
                <w:sz w:val="20"/>
                <w:szCs w:val="20"/>
                <w:lang w:eastAsia="en-US"/>
              </w:rPr>
            </w:pPr>
            <w:r w:rsidRPr="00865098">
              <w:rPr>
                <w:rFonts w:ascii="Calibri" w:eastAsia="Times New Roman" w:hAnsi="Calibri"/>
                <w:color w:val="000000"/>
                <w:sz w:val="20"/>
                <w:szCs w:val="20"/>
                <w:lang w:eastAsia="en-US"/>
              </w:rPr>
              <w:t>1,570.40</w:t>
            </w:r>
          </w:p>
        </w:tc>
        <w:tc>
          <w:tcPr>
            <w:tcW w:w="960" w:type="dxa"/>
            <w:tcBorders>
              <w:bottom w:val="nil"/>
            </w:tcBorders>
            <w:shd w:val="clear" w:color="auto" w:fill="FFFF00"/>
            <w:noWrap/>
            <w:hideMark/>
          </w:tcPr>
          <w:p w:rsidR="001F5832" w:rsidRPr="00EE7374" w:rsidRDefault="001F5832" w:rsidP="00EE7374">
            <w:pPr>
              <w:jc w:val="right"/>
              <w:rPr>
                <w:rFonts w:ascii="Calibri" w:eastAsia="Times New Roman" w:hAnsi="Calibri"/>
                <w:color w:val="000000"/>
                <w:sz w:val="20"/>
                <w:szCs w:val="22"/>
                <w:lang w:eastAsia="en-US"/>
              </w:rPr>
            </w:pPr>
            <w:r w:rsidRPr="00865098">
              <w:rPr>
                <w:rFonts w:ascii="Calibri" w:eastAsia="Times New Roman" w:hAnsi="Calibri"/>
                <w:color w:val="000000"/>
                <w:sz w:val="20"/>
                <w:szCs w:val="22"/>
                <w:lang w:eastAsia="en-US"/>
              </w:rPr>
              <w:t>-22.5%</w:t>
            </w:r>
          </w:p>
        </w:tc>
      </w:tr>
      <w:tr w:rsidR="001F5832" w:rsidRPr="009C5E3C" w:rsidTr="00511B26">
        <w:trPr>
          <w:trHeight w:val="302"/>
          <w:jc w:val="center"/>
        </w:trPr>
        <w:tc>
          <w:tcPr>
            <w:tcW w:w="4831" w:type="dxa"/>
            <w:tcBorders>
              <w:top w:val="nil"/>
              <w:bottom w:val="double" w:sz="4" w:space="0" w:color="auto"/>
            </w:tcBorders>
            <w:shd w:val="clear" w:color="auto" w:fill="auto"/>
            <w:vAlign w:val="center"/>
            <w:hideMark/>
          </w:tcPr>
          <w:p w:rsidR="001F5832" w:rsidRPr="00EE7374" w:rsidRDefault="001F5832" w:rsidP="003B2F6B">
            <w:pPr>
              <w:rPr>
                <w:rFonts w:ascii="Calibri" w:eastAsia="Times New Roman" w:hAnsi="Calibri"/>
                <w:b/>
                <w:bCs/>
                <w:i/>
                <w:color w:val="000000"/>
                <w:sz w:val="20"/>
                <w:szCs w:val="20"/>
                <w:lang w:eastAsia="en-US"/>
              </w:rPr>
            </w:pPr>
            <w:r w:rsidRPr="00EE7374">
              <w:rPr>
                <w:rFonts w:ascii="Calibri" w:eastAsia="Times New Roman" w:hAnsi="Calibri"/>
                <w:b/>
                <w:bCs/>
                <w:i/>
                <w:color w:val="000000"/>
                <w:sz w:val="20"/>
                <w:szCs w:val="20"/>
                <w:lang w:eastAsia="en-US"/>
              </w:rPr>
              <w:t>Total liabilities and shareholders' equity</w:t>
            </w:r>
          </w:p>
        </w:tc>
        <w:tc>
          <w:tcPr>
            <w:tcW w:w="1026" w:type="dxa"/>
            <w:tcBorders>
              <w:top w:val="nil"/>
              <w:bottom w:val="double" w:sz="4" w:space="0" w:color="auto"/>
            </w:tcBorders>
            <w:shd w:val="clear" w:color="auto" w:fill="auto"/>
            <w:vAlign w:val="center"/>
            <w:hideMark/>
          </w:tcPr>
          <w:p w:rsidR="001F5832" w:rsidRPr="00EE7374" w:rsidRDefault="001F5832" w:rsidP="003B2F6B">
            <w:pPr>
              <w:jc w:val="right"/>
              <w:rPr>
                <w:rFonts w:ascii="Calibri" w:eastAsia="Times New Roman" w:hAnsi="Calibri"/>
                <w:color w:val="000000"/>
                <w:sz w:val="20"/>
                <w:szCs w:val="20"/>
                <w:lang w:eastAsia="en-US"/>
              </w:rPr>
            </w:pPr>
            <w:r w:rsidRPr="00EE7374">
              <w:rPr>
                <w:rFonts w:ascii="Calibri" w:eastAsia="Times New Roman" w:hAnsi="Calibri"/>
                <w:color w:val="000000"/>
                <w:sz w:val="20"/>
                <w:szCs w:val="20"/>
                <w:lang w:eastAsia="en-US"/>
              </w:rPr>
              <w:t xml:space="preserve">$7,382.50 </w:t>
            </w:r>
          </w:p>
        </w:tc>
        <w:tc>
          <w:tcPr>
            <w:tcW w:w="1320" w:type="dxa"/>
            <w:tcBorders>
              <w:top w:val="nil"/>
              <w:bottom w:val="double" w:sz="4" w:space="0" w:color="auto"/>
            </w:tcBorders>
            <w:shd w:val="clear" w:color="auto" w:fill="auto"/>
            <w:vAlign w:val="center"/>
            <w:hideMark/>
          </w:tcPr>
          <w:p w:rsidR="001F5832" w:rsidRPr="00EE7374" w:rsidRDefault="001F5832" w:rsidP="003B2F6B">
            <w:pPr>
              <w:jc w:val="right"/>
              <w:rPr>
                <w:rFonts w:ascii="Calibri" w:eastAsia="Times New Roman" w:hAnsi="Calibri"/>
                <w:color w:val="000000"/>
                <w:sz w:val="20"/>
                <w:szCs w:val="20"/>
                <w:lang w:eastAsia="en-US"/>
              </w:rPr>
            </w:pPr>
            <w:r w:rsidRPr="00EE7374">
              <w:rPr>
                <w:rFonts w:ascii="Calibri" w:eastAsia="Times New Roman" w:hAnsi="Calibri"/>
                <w:color w:val="000000"/>
                <w:sz w:val="20"/>
                <w:szCs w:val="20"/>
                <w:lang w:eastAsia="en-US"/>
              </w:rPr>
              <w:t xml:space="preserve">$7,735 </w:t>
            </w:r>
          </w:p>
        </w:tc>
        <w:tc>
          <w:tcPr>
            <w:tcW w:w="960" w:type="dxa"/>
            <w:tcBorders>
              <w:top w:val="nil"/>
              <w:bottom w:val="double" w:sz="4" w:space="0" w:color="auto"/>
            </w:tcBorders>
            <w:shd w:val="clear" w:color="auto" w:fill="auto"/>
            <w:noWrap/>
            <w:hideMark/>
          </w:tcPr>
          <w:p w:rsidR="001F5832" w:rsidRPr="001F5832" w:rsidRDefault="001F5832" w:rsidP="00EE7374">
            <w:pPr>
              <w:jc w:val="right"/>
              <w:rPr>
                <w:rFonts w:ascii="Calibri" w:eastAsia="Times New Roman" w:hAnsi="Calibri"/>
                <w:color w:val="000000"/>
                <w:sz w:val="20"/>
                <w:szCs w:val="22"/>
                <w:lang w:eastAsia="en-US"/>
              </w:rPr>
            </w:pPr>
            <w:r w:rsidRPr="00EE7374">
              <w:rPr>
                <w:rFonts w:ascii="Calibri" w:eastAsia="Times New Roman" w:hAnsi="Calibri"/>
                <w:color w:val="000000"/>
                <w:sz w:val="20"/>
                <w:szCs w:val="22"/>
                <w:lang w:eastAsia="en-US"/>
              </w:rPr>
              <w:t>-4.6%</w:t>
            </w:r>
          </w:p>
        </w:tc>
      </w:tr>
    </w:tbl>
    <w:p w:rsidR="00684ACD" w:rsidRDefault="00684ACD" w:rsidP="00B64C67">
      <w:pPr>
        <w:rPr>
          <w:b/>
        </w:rPr>
      </w:pPr>
    </w:p>
    <w:tbl>
      <w:tblPr>
        <w:tblStyle w:val="LightList-Accent5"/>
        <w:tblpPr w:leftFromText="180" w:rightFromText="180" w:vertAnchor="text" w:horzAnchor="page" w:tblpX="5852" w:tblpY="59"/>
        <w:tblW w:w="0" w:type="auto"/>
        <w:tblLook w:val="04A0" w:firstRow="1" w:lastRow="0" w:firstColumn="1" w:lastColumn="0" w:noHBand="0" w:noVBand="1"/>
      </w:tblPr>
      <w:tblGrid>
        <w:gridCol w:w="2022"/>
        <w:gridCol w:w="1608"/>
      </w:tblGrid>
      <w:tr w:rsidR="0016598F" w:rsidTr="007E31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30" w:type="dxa"/>
            <w:gridSpan w:val="2"/>
            <w:shd w:val="clear" w:color="auto" w:fill="DAEEF3" w:themeFill="accent5" w:themeFillTint="33"/>
          </w:tcPr>
          <w:p w:rsidR="0016598F" w:rsidRPr="003F5D74" w:rsidRDefault="0016598F" w:rsidP="007E312A">
            <w:pPr>
              <w:jc w:val="center"/>
              <w:rPr>
                <w:b w:val="0"/>
              </w:rPr>
            </w:pPr>
            <w:r w:rsidRPr="001F5832">
              <w:rPr>
                <w:b w:val="0"/>
                <w:color w:val="auto"/>
                <w:sz w:val="22"/>
              </w:rPr>
              <w:lastRenderedPageBreak/>
              <w:t>**Direct Sales Representatives</w:t>
            </w:r>
            <w:r>
              <w:rPr>
                <w:b w:val="0"/>
                <w:color w:val="auto"/>
                <w:sz w:val="22"/>
              </w:rPr>
              <w:t xml:space="preserve"> – U.S.</w:t>
            </w:r>
          </w:p>
        </w:tc>
      </w:tr>
      <w:tr w:rsidR="0016598F" w:rsidTr="007E31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2" w:type="dxa"/>
            <w:tcBorders>
              <w:right w:val="dotted" w:sz="4" w:space="0" w:color="4BACC6" w:themeColor="accent5"/>
            </w:tcBorders>
          </w:tcPr>
          <w:p w:rsidR="0016598F" w:rsidRPr="001F5832" w:rsidRDefault="0016598F" w:rsidP="007E312A">
            <w:pPr>
              <w:rPr>
                <w:b w:val="0"/>
                <w:sz w:val="22"/>
              </w:rPr>
            </w:pPr>
            <w:r w:rsidRPr="001F5832">
              <w:rPr>
                <w:b w:val="0"/>
                <w:sz w:val="22"/>
              </w:rPr>
              <w:t>Avon</w:t>
            </w:r>
          </w:p>
        </w:tc>
        <w:tc>
          <w:tcPr>
            <w:tcW w:w="1608" w:type="dxa"/>
            <w:tcBorders>
              <w:left w:val="dotted" w:sz="4" w:space="0" w:color="4BACC6" w:themeColor="accent5"/>
            </w:tcBorders>
          </w:tcPr>
          <w:p w:rsidR="0016598F" w:rsidRPr="001F5832" w:rsidRDefault="0016598F" w:rsidP="007E312A">
            <w:pPr>
              <w:jc w:val="right"/>
              <w:cnfStyle w:val="000000100000" w:firstRow="0" w:lastRow="0" w:firstColumn="0" w:lastColumn="0" w:oddVBand="0" w:evenVBand="0" w:oddHBand="1" w:evenHBand="0" w:firstRowFirstColumn="0" w:firstRowLastColumn="0" w:lastRowFirstColumn="0" w:lastRowLastColumn="0"/>
              <w:rPr>
                <w:sz w:val="22"/>
              </w:rPr>
            </w:pPr>
            <w:r w:rsidRPr="001F5832">
              <w:rPr>
                <w:sz w:val="22"/>
              </w:rPr>
              <w:t xml:space="preserve">   420,000</w:t>
            </w:r>
          </w:p>
        </w:tc>
      </w:tr>
      <w:tr w:rsidR="0016598F" w:rsidTr="007E312A">
        <w:tc>
          <w:tcPr>
            <w:cnfStyle w:val="001000000000" w:firstRow="0" w:lastRow="0" w:firstColumn="1" w:lastColumn="0" w:oddVBand="0" w:evenVBand="0" w:oddHBand="0" w:evenHBand="0" w:firstRowFirstColumn="0" w:firstRowLastColumn="0" w:lastRowFirstColumn="0" w:lastRowLastColumn="0"/>
            <w:tcW w:w="2022" w:type="dxa"/>
            <w:tcBorders>
              <w:top w:val="single" w:sz="8" w:space="0" w:color="4BACC6" w:themeColor="accent5"/>
              <w:bottom w:val="single" w:sz="8" w:space="0" w:color="4BACC6" w:themeColor="accent5"/>
              <w:right w:val="dotted" w:sz="4" w:space="0" w:color="4BACC6" w:themeColor="accent5"/>
            </w:tcBorders>
          </w:tcPr>
          <w:p w:rsidR="0016598F" w:rsidRPr="001F5832" w:rsidRDefault="0016598F" w:rsidP="007E312A">
            <w:pPr>
              <w:rPr>
                <w:b w:val="0"/>
                <w:sz w:val="22"/>
              </w:rPr>
            </w:pPr>
            <w:r w:rsidRPr="001F5832">
              <w:rPr>
                <w:b w:val="0"/>
                <w:sz w:val="22"/>
              </w:rPr>
              <w:t>Mary Kay</w:t>
            </w:r>
          </w:p>
        </w:tc>
        <w:tc>
          <w:tcPr>
            <w:tcW w:w="1608" w:type="dxa"/>
            <w:tcBorders>
              <w:left w:val="dotted" w:sz="4" w:space="0" w:color="4BACC6" w:themeColor="accent5"/>
            </w:tcBorders>
          </w:tcPr>
          <w:p w:rsidR="0016598F" w:rsidRPr="001F5832" w:rsidRDefault="0016598F" w:rsidP="007E312A">
            <w:pPr>
              <w:jc w:val="right"/>
              <w:cnfStyle w:val="000000000000" w:firstRow="0" w:lastRow="0" w:firstColumn="0" w:lastColumn="0" w:oddVBand="0" w:evenVBand="0" w:oddHBand="0" w:evenHBand="0" w:firstRowFirstColumn="0" w:firstRowLastColumn="0" w:lastRowFirstColumn="0" w:lastRowLastColumn="0"/>
              <w:rPr>
                <w:sz w:val="22"/>
              </w:rPr>
            </w:pPr>
            <w:r w:rsidRPr="001F5832">
              <w:rPr>
                <w:sz w:val="22"/>
              </w:rPr>
              <w:t>1,700,000</w:t>
            </w:r>
          </w:p>
        </w:tc>
      </w:tr>
      <w:tr w:rsidR="0016598F" w:rsidTr="007E31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2" w:type="dxa"/>
            <w:tcBorders>
              <w:right w:val="dotted" w:sz="4" w:space="0" w:color="4BACC6" w:themeColor="accent5"/>
            </w:tcBorders>
          </w:tcPr>
          <w:p w:rsidR="0016598F" w:rsidRPr="001F5832" w:rsidRDefault="0016598F" w:rsidP="007E312A">
            <w:pPr>
              <w:rPr>
                <w:b w:val="0"/>
                <w:sz w:val="22"/>
              </w:rPr>
            </w:pPr>
            <w:r w:rsidRPr="001F5832">
              <w:rPr>
                <w:b w:val="0"/>
                <w:sz w:val="22"/>
              </w:rPr>
              <w:t>Arbonne</w:t>
            </w:r>
          </w:p>
        </w:tc>
        <w:tc>
          <w:tcPr>
            <w:tcW w:w="1608" w:type="dxa"/>
            <w:tcBorders>
              <w:left w:val="dotted" w:sz="4" w:space="0" w:color="4BACC6" w:themeColor="accent5"/>
            </w:tcBorders>
          </w:tcPr>
          <w:p w:rsidR="0016598F" w:rsidRPr="001F5832" w:rsidRDefault="0016598F" w:rsidP="007E312A">
            <w:pPr>
              <w:jc w:val="right"/>
              <w:cnfStyle w:val="000000100000" w:firstRow="0" w:lastRow="0" w:firstColumn="0" w:lastColumn="0" w:oddVBand="0" w:evenVBand="0" w:oddHBand="1" w:evenHBand="0" w:firstRowFirstColumn="0" w:firstRowLastColumn="0" w:lastRowFirstColumn="0" w:lastRowLastColumn="0"/>
              <w:rPr>
                <w:sz w:val="22"/>
              </w:rPr>
            </w:pPr>
            <w:r w:rsidRPr="001F5832">
              <w:rPr>
                <w:sz w:val="22"/>
              </w:rPr>
              <w:t xml:space="preserve">   365,600</w:t>
            </w:r>
          </w:p>
        </w:tc>
      </w:tr>
    </w:tbl>
    <w:p w:rsidR="0016598F" w:rsidRDefault="0016598F" w:rsidP="00B64C67">
      <w:pPr>
        <w:rPr>
          <w:b/>
        </w:rPr>
      </w:pPr>
    </w:p>
    <w:p w:rsidR="0016598F" w:rsidRDefault="0016598F" w:rsidP="00B64C67">
      <w:pPr>
        <w:rPr>
          <w:b/>
        </w:rPr>
      </w:pPr>
    </w:p>
    <w:p w:rsidR="0016598F" w:rsidRDefault="0016598F" w:rsidP="00B64C67">
      <w:pPr>
        <w:rPr>
          <w:b/>
        </w:rPr>
      </w:pPr>
    </w:p>
    <w:p w:rsidR="0016598F" w:rsidRDefault="0016598F" w:rsidP="00B64C67">
      <w:pPr>
        <w:rPr>
          <w:b/>
        </w:rPr>
      </w:pPr>
    </w:p>
    <w:p w:rsidR="0016598F" w:rsidRDefault="0016598F" w:rsidP="00B64C67">
      <w:pPr>
        <w:rPr>
          <w:b/>
        </w:rPr>
      </w:pPr>
    </w:p>
    <w:p w:rsidR="00511B26" w:rsidRDefault="00511B26" w:rsidP="00B64C67">
      <w:pPr>
        <w:rPr>
          <w:b/>
        </w:rPr>
      </w:pPr>
    </w:p>
    <w:p w:rsidR="00FB1C9C" w:rsidRPr="00EE7374" w:rsidRDefault="00EE7374" w:rsidP="00B64C67">
      <w:pPr>
        <w:rPr>
          <w:b/>
        </w:rPr>
      </w:pPr>
      <w:r w:rsidRPr="00EE7374">
        <w:rPr>
          <w:b/>
        </w:rPr>
        <w:t>***Income Statement</w:t>
      </w:r>
      <w:r>
        <w:rPr>
          <w:b/>
        </w:rPr>
        <w:t xml:space="preserve"> </w:t>
      </w:r>
      <w:r w:rsidR="00BF1811">
        <w:rPr>
          <w:b/>
        </w:rPr>
        <w:t>– Percentage of Sales Comparisons</w:t>
      </w:r>
    </w:p>
    <w:tbl>
      <w:tblPr>
        <w:tblW w:w="8538" w:type="dxa"/>
        <w:jc w:val="center"/>
        <w:tblInd w:w="-106" w:type="dxa"/>
        <w:tblLook w:val="04A0" w:firstRow="1" w:lastRow="0" w:firstColumn="1" w:lastColumn="0" w:noHBand="0" w:noVBand="1"/>
      </w:tblPr>
      <w:tblGrid>
        <w:gridCol w:w="2444"/>
        <w:gridCol w:w="1128"/>
        <w:gridCol w:w="874"/>
        <w:gridCol w:w="1128"/>
        <w:gridCol w:w="918"/>
        <w:gridCol w:w="1128"/>
        <w:gridCol w:w="918"/>
      </w:tblGrid>
      <w:tr w:rsidR="009C5E3C" w:rsidRPr="003E7796" w:rsidTr="00BF1811">
        <w:trPr>
          <w:trHeight w:val="315"/>
          <w:jc w:val="center"/>
        </w:trPr>
        <w:tc>
          <w:tcPr>
            <w:tcW w:w="8538" w:type="dxa"/>
            <w:gridSpan w:val="7"/>
            <w:tcBorders>
              <w:top w:val="single" w:sz="8" w:space="0" w:color="000000"/>
              <w:left w:val="nil"/>
              <w:right w:val="nil"/>
            </w:tcBorders>
            <w:shd w:val="clear" w:color="auto" w:fill="auto"/>
            <w:vAlign w:val="center"/>
            <w:hideMark/>
          </w:tcPr>
          <w:p w:rsidR="009C5E3C" w:rsidRPr="003E7796" w:rsidRDefault="009C5E3C" w:rsidP="009C5E3C">
            <w:pPr>
              <w:rPr>
                <w:rFonts w:ascii="Calibri" w:eastAsia="Times New Roman" w:hAnsi="Calibri"/>
                <w:bCs/>
                <w:color w:val="000000"/>
                <w:sz w:val="20"/>
                <w:szCs w:val="20"/>
                <w:lang w:eastAsia="en-US"/>
              </w:rPr>
            </w:pPr>
            <w:r w:rsidRPr="003E7796">
              <w:rPr>
                <w:rFonts w:ascii="Calibri" w:eastAsia="Times New Roman" w:hAnsi="Calibri"/>
                <w:bCs/>
                <w:color w:val="000000"/>
                <w:sz w:val="20"/>
                <w:szCs w:val="20"/>
                <w:lang w:eastAsia="en-US"/>
              </w:rPr>
              <w:t>(USD $) In Millions, except Per Share data, unless otherwise specified</w:t>
            </w:r>
          </w:p>
        </w:tc>
      </w:tr>
      <w:tr w:rsidR="009C5E3C" w:rsidRPr="003E7796" w:rsidTr="00541063">
        <w:trPr>
          <w:trHeight w:val="300"/>
          <w:jc w:val="center"/>
        </w:trPr>
        <w:tc>
          <w:tcPr>
            <w:tcW w:w="2469" w:type="dxa"/>
            <w:tcBorders>
              <w:top w:val="nil"/>
              <w:left w:val="nil"/>
              <w:bottom w:val="single" w:sz="8" w:space="0" w:color="auto"/>
              <w:right w:val="single" w:sz="8" w:space="0" w:color="auto"/>
            </w:tcBorders>
            <w:shd w:val="clear" w:color="auto" w:fill="auto"/>
            <w:hideMark/>
          </w:tcPr>
          <w:p w:rsidR="009C5E3C" w:rsidRPr="003E7796" w:rsidRDefault="009C5E3C" w:rsidP="009C5E3C">
            <w:pPr>
              <w:rPr>
                <w:rFonts w:ascii="Calibri" w:eastAsia="Times New Roman" w:hAnsi="Calibri"/>
                <w:color w:val="000000"/>
                <w:sz w:val="22"/>
                <w:szCs w:val="22"/>
                <w:lang w:eastAsia="en-US"/>
              </w:rPr>
            </w:pPr>
          </w:p>
        </w:tc>
        <w:tc>
          <w:tcPr>
            <w:tcW w:w="1973" w:type="dxa"/>
            <w:gridSpan w:val="2"/>
            <w:tcBorders>
              <w:top w:val="nil"/>
              <w:left w:val="single" w:sz="8" w:space="0" w:color="auto"/>
              <w:bottom w:val="single" w:sz="8" w:space="0" w:color="auto"/>
              <w:right w:val="single" w:sz="8" w:space="0" w:color="auto"/>
            </w:tcBorders>
            <w:shd w:val="clear" w:color="auto" w:fill="auto"/>
            <w:vAlign w:val="center"/>
            <w:hideMark/>
          </w:tcPr>
          <w:p w:rsidR="009C5E3C" w:rsidRPr="00865098" w:rsidRDefault="009C5E3C" w:rsidP="009C5E3C">
            <w:pPr>
              <w:jc w:val="center"/>
              <w:rPr>
                <w:rFonts w:ascii="Calibri" w:eastAsia="Times New Roman" w:hAnsi="Calibri"/>
                <w:b/>
                <w:bCs/>
                <w:i/>
                <w:color w:val="000000"/>
                <w:sz w:val="20"/>
                <w:szCs w:val="20"/>
                <w:lang w:eastAsia="en-US"/>
              </w:rPr>
            </w:pPr>
            <w:r w:rsidRPr="00865098">
              <w:rPr>
                <w:rFonts w:ascii="Calibri" w:eastAsia="Times New Roman" w:hAnsi="Calibri"/>
                <w:b/>
                <w:bCs/>
                <w:i/>
                <w:color w:val="000000"/>
                <w:sz w:val="20"/>
                <w:szCs w:val="20"/>
                <w:lang w:eastAsia="en-US"/>
              </w:rPr>
              <w:t>Dec. 31, 2012</w:t>
            </w:r>
          </w:p>
        </w:tc>
        <w:tc>
          <w:tcPr>
            <w:tcW w:w="2048" w:type="dxa"/>
            <w:gridSpan w:val="2"/>
            <w:tcBorders>
              <w:top w:val="nil"/>
              <w:left w:val="single" w:sz="8" w:space="0" w:color="auto"/>
              <w:bottom w:val="single" w:sz="8" w:space="0" w:color="auto"/>
              <w:right w:val="single" w:sz="8" w:space="0" w:color="auto"/>
            </w:tcBorders>
            <w:shd w:val="clear" w:color="auto" w:fill="auto"/>
            <w:vAlign w:val="center"/>
            <w:hideMark/>
          </w:tcPr>
          <w:p w:rsidR="009C5E3C" w:rsidRPr="00865098" w:rsidRDefault="009C5E3C" w:rsidP="009C5E3C">
            <w:pPr>
              <w:jc w:val="center"/>
              <w:rPr>
                <w:rFonts w:ascii="Calibri" w:eastAsia="Times New Roman" w:hAnsi="Calibri"/>
                <w:b/>
                <w:bCs/>
                <w:i/>
                <w:color w:val="000000"/>
                <w:sz w:val="20"/>
                <w:szCs w:val="20"/>
                <w:lang w:eastAsia="en-US"/>
              </w:rPr>
            </w:pPr>
            <w:r w:rsidRPr="00865098">
              <w:rPr>
                <w:rFonts w:ascii="Calibri" w:eastAsia="Times New Roman" w:hAnsi="Calibri"/>
                <w:b/>
                <w:bCs/>
                <w:i/>
                <w:color w:val="000000"/>
                <w:sz w:val="20"/>
                <w:szCs w:val="20"/>
                <w:lang w:eastAsia="en-US"/>
              </w:rPr>
              <w:t>Dec. 31, 2011</w:t>
            </w:r>
          </w:p>
        </w:tc>
        <w:tc>
          <w:tcPr>
            <w:tcW w:w="2048" w:type="dxa"/>
            <w:gridSpan w:val="2"/>
            <w:tcBorders>
              <w:top w:val="nil"/>
              <w:left w:val="single" w:sz="8" w:space="0" w:color="auto"/>
              <w:bottom w:val="single" w:sz="8" w:space="0" w:color="auto"/>
              <w:right w:val="nil"/>
            </w:tcBorders>
            <w:shd w:val="clear" w:color="auto" w:fill="auto"/>
            <w:vAlign w:val="center"/>
            <w:hideMark/>
          </w:tcPr>
          <w:p w:rsidR="009C5E3C" w:rsidRPr="00865098" w:rsidRDefault="009C5E3C" w:rsidP="009C5E3C">
            <w:pPr>
              <w:jc w:val="center"/>
              <w:rPr>
                <w:rFonts w:ascii="Calibri" w:eastAsia="Times New Roman" w:hAnsi="Calibri"/>
                <w:b/>
                <w:bCs/>
                <w:i/>
                <w:color w:val="000000"/>
                <w:sz w:val="20"/>
                <w:szCs w:val="20"/>
                <w:lang w:eastAsia="en-US"/>
              </w:rPr>
            </w:pPr>
            <w:r w:rsidRPr="00865098">
              <w:rPr>
                <w:rFonts w:ascii="Calibri" w:eastAsia="Times New Roman" w:hAnsi="Calibri"/>
                <w:b/>
                <w:bCs/>
                <w:i/>
                <w:color w:val="000000"/>
                <w:sz w:val="20"/>
                <w:szCs w:val="20"/>
                <w:lang w:eastAsia="en-US"/>
              </w:rPr>
              <w:t>Dec. 31, 2010</w:t>
            </w:r>
          </w:p>
        </w:tc>
      </w:tr>
      <w:tr w:rsidR="00865098" w:rsidRPr="003E7796" w:rsidTr="00541063">
        <w:trPr>
          <w:trHeight w:val="300"/>
          <w:jc w:val="center"/>
        </w:trPr>
        <w:tc>
          <w:tcPr>
            <w:tcW w:w="2469" w:type="dxa"/>
            <w:tcBorders>
              <w:top w:val="single" w:sz="8" w:space="0" w:color="auto"/>
              <w:left w:val="nil"/>
              <w:bottom w:val="single" w:sz="8" w:space="0" w:color="auto"/>
              <w:right w:val="single" w:sz="8" w:space="0" w:color="auto"/>
            </w:tcBorders>
            <w:shd w:val="clear" w:color="auto" w:fill="auto"/>
            <w:vAlign w:val="center"/>
            <w:hideMark/>
          </w:tcPr>
          <w:p w:rsidR="00865098" w:rsidRPr="00BF1811" w:rsidRDefault="00865098" w:rsidP="009C5E3C">
            <w:pPr>
              <w:rPr>
                <w:rFonts w:ascii="Calibri" w:eastAsia="Times New Roman" w:hAnsi="Calibri"/>
                <w:bCs/>
                <w:color w:val="000000"/>
                <w:sz w:val="20"/>
                <w:szCs w:val="20"/>
                <w:lang w:eastAsia="en-US"/>
              </w:rPr>
            </w:pPr>
            <w:r w:rsidRPr="00BF1811">
              <w:rPr>
                <w:rFonts w:ascii="Calibri" w:eastAsia="Times New Roman" w:hAnsi="Calibri"/>
                <w:bCs/>
                <w:color w:val="000000"/>
                <w:sz w:val="20"/>
                <w:szCs w:val="20"/>
                <w:lang w:eastAsia="en-US"/>
              </w:rPr>
              <w:t>Net sales</w:t>
            </w:r>
          </w:p>
        </w:tc>
        <w:tc>
          <w:tcPr>
            <w:tcW w:w="109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098" w:rsidRPr="00BF1811" w:rsidRDefault="00865098" w:rsidP="009C5E3C">
            <w:pPr>
              <w:jc w:val="right"/>
              <w:rPr>
                <w:rFonts w:ascii="Calibri" w:eastAsia="Times New Roman" w:hAnsi="Calibri"/>
                <w:color w:val="000000"/>
                <w:sz w:val="20"/>
                <w:szCs w:val="20"/>
                <w:lang w:eastAsia="en-US"/>
              </w:rPr>
            </w:pPr>
            <w:r w:rsidRPr="00BF1811">
              <w:rPr>
                <w:rFonts w:ascii="Calibri" w:eastAsia="Times New Roman" w:hAnsi="Calibri"/>
                <w:color w:val="000000"/>
                <w:sz w:val="20"/>
                <w:szCs w:val="20"/>
                <w:lang w:eastAsia="en-US"/>
              </w:rPr>
              <w:t xml:space="preserve">$10,546.10 </w:t>
            </w:r>
          </w:p>
        </w:tc>
        <w:tc>
          <w:tcPr>
            <w:tcW w:w="87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098" w:rsidRPr="00C71E9D" w:rsidRDefault="00865098" w:rsidP="009C5E3C">
            <w:pPr>
              <w:jc w:val="right"/>
              <w:rPr>
                <w:rFonts w:ascii="Calibri" w:eastAsia="Times New Roman" w:hAnsi="Calibri"/>
                <w:color w:val="000000"/>
                <w:sz w:val="20"/>
                <w:szCs w:val="22"/>
                <w:lang w:eastAsia="en-US"/>
              </w:rPr>
            </w:pPr>
            <w:r w:rsidRPr="00C71E9D">
              <w:rPr>
                <w:rFonts w:ascii="Calibri" w:eastAsia="Times New Roman" w:hAnsi="Calibri"/>
                <w:color w:val="000000"/>
                <w:sz w:val="20"/>
                <w:szCs w:val="22"/>
                <w:lang w:eastAsia="en-US"/>
              </w:rPr>
              <w:t>100.0%</w:t>
            </w:r>
          </w:p>
        </w:tc>
        <w:tc>
          <w:tcPr>
            <w:tcW w:w="112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098" w:rsidRPr="00BF1811" w:rsidRDefault="00865098" w:rsidP="009C5E3C">
            <w:pPr>
              <w:jc w:val="right"/>
              <w:rPr>
                <w:rFonts w:ascii="Calibri" w:eastAsia="Times New Roman" w:hAnsi="Calibri"/>
                <w:color w:val="000000"/>
                <w:sz w:val="20"/>
                <w:szCs w:val="20"/>
                <w:lang w:eastAsia="en-US"/>
              </w:rPr>
            </w:pPr>
            <w:r w:rsidRPr="00BF1811">
              <w:rPr>
                <w:rFonts w:ascii="Calibri" w:eastAsia="Times New Roman" w:hAnsi="Calibri"/>
                <w:color w:val="000000"/>
                <w:sz w:val="20"/>
                <w:szCs w:val="20"/>
                <w:lang w:eastAsia="en-US"/>
              </w:rPr>
              <w:t xml:space="preserve">$11,112.00 </w:t>
            </w:r>
          </w:p>
        </w:tc>
        <w:tc>
          <w:tcPr>
            <w:tcW w:w="9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098" w:rsidRPr="00C71E9D" w:rsidRDefault="00865098" w:rsidP="009C5E3C">
            <w:pPr>
              <w:jc w:val="right"/>
              <w:rPr>
                <w:rFonts w:ascii="Calibri" w:eastAsia="Times New Roman" w:hAnsi="Calibri"/>
                <w:color w:val="000000"/>
                <w:sz w:val="20"/>
                <w:szCs w:val="22"/>
                <w:lang w:eastAsia="en-US"/>
              </w:rPr>
            </w:pPr>
            <w:r w:rsidRPr="00C71E9D">
              <w:rPr>
                <w:rFonts w:ascii="Calibri" w:eastAsia="Times New Roman" w:hAnsi="Calibri"/>
                <w:color w:val="000000"/>
                <w:sz w:val="20"/>
                <w:szCs w:val="22"/>
                <w:lang w:eastAsia="en-US"/>
              </w:rPr>
              <w:t>100.0%</w:t>
            </w:r>
          </w:p>
        </w:tc>
        <w:tc>
          <w:tcPr>
            <w:tcW w:w="112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098" w:rsidRPr="00BF1811" w:rsidRDefault="00865098" w:rsidP="009C5E3C">
            <w:pPr>
              <w:jc w:val="right"/>
              <w:rPr>
                <w:rFonts w:ascii="Calibri" w:eastAsia="Times New Roman" w:hAnsi="Calibri"/>
                <w:color w:val="000000"/>
                <w:sz w:val="20"/>
                <w:szCs w:val="20"/>
                <w:lang w:eastAsia="en-US"/>
              </w:rPr>
            </w:pPr>
            <w:r w:rsidRPr="00BF1811">
              <w:rPr>
                <w:rFonts w:ascii="Calibri" w:eastAsia="Times New Roman" w:hAnsi="Calibri"/>
                <w:color w:val="000000"/>
                <w:sz w:val="20"/>
                <w:szCs w:val="20"/>
                <w:lang w:eastAsia="en-US"/>
              </w:rPr>
              <w:t xml:space="preserve">$10,731.30 </w:t>
            </w:r>
          </w:p>
        </w:tc>
        <w:tc>
          <w:tcPr>
            <w:tcW w:w="920" w:type="dxa"/>
            <w:tcBorders>
              <w:top w:val="single" w:sz="8" w:space="0" w:color="auto"/>
              <w:left w:val="single" w:sz="8" w:space="0" w:color="auto"/>
              <w:bottom w:val="single" w:sz="8" w:space="0" w:color="auto"/>
              <w:right w:val="nil"/>
            </w:tcBorders>
            <w:shd w:val="clear" w:color="auto" w:fill="auto"/>
            <w:vAlign w:val="center"/>
            <w:hideMark/>
          </w:tcPr>
          <w:p w:rsidR="00865098" w:rsidRPr="003E7796" w:rsidRDefault="00865098">
            <w:pPr>
              <w:jc w:val="right"/>
              <w:rPr>
                <w:rFonts w:ascii="Calibri" w:hAnsi="Calibri"/>
                <w:color w:val="000000"/>
                <w:sz w:val="20"/>
                <w:szCs w:val="20"/>
              </w:rPr>
            </w:pPr>
            <w:r w:rsidRPr="00BF1811">
              <w:rPr>
                <w:rFonts w:ascii="Calibri" w:hAnsi="Calibri"/>
                <w:color w:val="000000"/>
                <w:sz w:val="20"/>
                <w:szCs w:val="20"/>
              </w:rPr>
              <w:t>100.0%</w:t>
            </w:r>
          </w:p>
        </w:tc>
      </w:tr>
      <w:tr w:rsidR="00865098" w:rsidRPr="003E7796" w:rsidTr="00541063">
        <w:trPr>
          <w:trHeight w:val="300"/>
          <w:jc w:val="center"/>
        </w:trPr>
        <w:tc>
          <w:tcPr>
            <w:tcW w:w="2469" w:type="dxa"/>
            <w:tcBorders>
              <w:top w:val="single" w:sz="8" w:space="0" w:color="auto"/>
              <w:left w:val="nil"/>
              <w:bottom w:val="single" w:sz="8" w:space="0" w:color="auto"/>
              <w:right w:val="single" w:sz="8" w:space="0" w:color="auto"/>
            </w:tcBorders>
            <w:shd w:val="clear" w:color="auto" w:fill="auto"/>
            <w:vAlign w:val="center"/>
            <w:hideMark/>
          </w:tcPr>
          <w:p w:rsidR="00865098" w:rsidRPr="003E7796" w:rsidRDefault="00865098" w:rsidP="009C5E3C">
            <w:pPr>
              <w:rPr>
                <w:rFonts w:ascii="Calibri" w:eastAsia="Times New Roman" w:hAnsi="Calibri"/>
                <w:bCs/>
                <w:color w:val="000000"/>
                <w:sz w:val="20"/>
                <w:szCs w:val="20"/>
                <w:lang w:eastAsia="en-US"/>
              </w:rPr>
            </w:pPr>
            <w:r w:rsidRPr="003E7796">
              <w:rPr>
                <w:rFonts w:ascii="Calibri" w:eastAsia="Times New Roman" w:hAnsi="Calibri"/>
                <w:bCs/>
                <w:color w:val="000000"/>
                <w:sz w:val="20"/>
                <w:szCs w:val="20"/>
                <w:lang w:eastAsia="en-US"/>
              </w:rPr>
              <w:t>Other revenue</w:t>
            </w:r>
          </w:p>
        </w:tc>
        <w:tc>
          <w:tcPr>
            <w:tcW w:w="109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098" w:rsidRPr="003E7796" w:rsidRDefault="00865098"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171.00</w:t>
            </w:r>
          </w:p>
        </w:tc>
        <w:tc>
          <w:tcPr>
            <w:tcW w:w="87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098" w:rsidRPr="00C71E9D" w:rsidRDefault="00865098" w:rsidP="009C5E3C">
            <w:pPr>
              <w:jc w:val="right"/>
              <w:rPr>
                <w:rFonts w:ascii="Calibri" w:eastAsia="Times New Roman" w:hAnsi="Calibri"/>
                <w:color w:val="000000"/>
                <w:sz w:val="20"/>
                <w:szCs w:val="22"/>
                <w:lang w:eastAsia="en-US"/>
              </w:rPr>
            </w:pPr>
            <w:r w:rsidRPr="00C71E9D">
              <w:rPr>
                <w:rFonts w:ascii="Calibri" w:eastAsia="Times New Roman" w:hAnsi="Calibri"/>
                <w:color w:val="000000"/>
                <w:sz w:val="20"/>
                <w:szCs w:val="22"/>
                <w:lang w:eastAsia="en-US"/>
              </w:rPr>
              <w:t>1.6%</w:t>
            </w:r>
          </w:p>
        </w:tc>
        <w:tc>
          <w:tcPr>
            <w:tcW w:w="112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098" w:rsidRPr="003E7796" w:rsidRDefault="00865098"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179.60</w:t>
            </w:r>
          </w:p>
        </w:tc>
        <w:tc>
          <w:tcPr>
            <w:tcW w:w="9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098" w:rsidRPr="00C71E9D" w:rsidRDefault="00865098" w:rsidP="009C5E3C">
            <w:pPr>
              <w:jc w:val="right"/>
              <w:rPr>
                <w:rFonts w:ascii="Calibri" w:eastAsia="Times New Roman" w:hAnsi="Calibri"/>
                <w:color w:val="000000"/>
                <w:sz w:val="20"/>
                <w:szCs w:val="22"/>
                <w:lang w:eastAsia="en-US"/>
              </w:rPr>
            </w:pPr>
            <w:r w:rsidRPr="00C71E9D">
              <w:rPr>
                <w:rFonts w:ascii="Calibri" w:eastAsia="Times New Roman" w:hAnsi="Calibri"/>
                <w:color w:val="000000"/>
                <w:sz w:val="20"/>
                <w:szCs w:val="22"/>
                <w:lang w:eastAsia="en-US"/>
              </w:rPr>
              <w:t>1.6%</w:t>
            </w:r>
          </w:p>
        </w:tc>
        <w:tc>
          <w:tcPr>
            <w:tcW w:w="112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098" w:rsidRPr="003E7796" w:rsidRDefault="00865098"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131.50</w:t>
            </w:r>
          </w:p>
        </w:tc>
        <w:tc>
          <w:tcPr>
            <w:tcW w:w="920" w:type="dxa"/>
            <w:tcBorders>
              <w:top w:val="single" w:sz="8" w:space="0" w:color="auto"/>
              <w:left w:val="single" w:sz="8" w:space="0" w:color="auto"/>
              <w:bottom w:val="single" w:sz="8" w:space="0" w:color="auto"/>
              <w:right w:val="nil"/>
            </w:tcBorders>
            <w:shd w:val="clear" w:color="auto" w:fill="auto"/>
            <w:vAlign w:val="center"/>
            <w:hideMark/>
          </w:tcPr>
          <w:p w:rsidR="00865098" w:rsidRPr="003E7796" w:rsidRDefault="00865098">
            <w:pPr>
              <w:jc w:val="right"/>
              <w:rPr>
                <w:rFonts w:ascii="Calibri" w:hAnsi="Calibri"/>
                <w:color w:val="000000"/>
                <w:sz w:val="20"/>
                <w:szCs w:val="20"/>
              </w:rPr>
            </w:pPr>
            <w:r w:rsidRPr="003E7796">
              <w:rPr>
                <w:rFonts w:ascii="Calibri" w:hAnsi="Calibri"/>
                <w:color w:val="000000"/>
                <w:sz w:val="20"/>
                <w:szCs w:val="20"/>
              </w:rPr>
              <w:t>1.2%</w:t>
            </w:r>
          </w:p>
        </w:tc>
      </w:tr>
      <w:tr w:rsidR="00865098" w:rsidRPr="003E7796" w:rsidTr="00541063">
        <w:trPr>
          <w:trHeight w:val="300"/>
          <w:jc w:val="center"/>
        </w:trPr>
        <w:tc>
          <w:tcPr>
            <w:tcW w:w="2469" w:type="dxa"/>
            <w:tcBorders>
              <w:top w:val="single" w:sz="8" w:space="0" w:color="auto"/>
              <w:left w:val="nil"/>
              <w:bottom w:val="single" w:sz="8" w:space="0" w:color="auto"/>
              <w:right w:val="single" w:sz="8" w:space="0" w:color="auto"/>
            </w:tcBorders>
            <w:shd w:val="clear" w:color="auto" w:fill="auto"/>
            <w:vAlign w:val="center"/>
            <w:hideMark/>
          </w:tcPr>
          <w:p w:rsidR="00865098" w:rsidRPr="003E7796" w:rsidRDefault="00865098" w:rsidP="009C5E3C">
            <w:pPr>
              <w:rPr>
                <w:rFonts w:ascii="Calibri" w:eastAsia="Times New Roman" w:hAnsi="Calibri"/>
                <w:bCs/>
                <w:color w:val="000000"/>
                <w:sz w:val="20"/>
                <w:szCs w:val="20"/>
                <w:lang w:eastAsia="en-US"/>
              </w:rPr>
            </w:pPr>
            <w:r w:rsidRPr="003E7796">
              <w:rPr>
                <w:rFonts w:ascii="Calibri" w:eastAsia="Times New Roman" w:hAnsi="Calibri"/>
                <w:bCs/>
                <w:color w:val="000000"/>
                <w:sz w:val="20"/>
                <w:szCs w:val="20"/>
                <w:lang w:eastAsia="en-US"/>
              </w:rPr>
              <w:t>Total revenue</w:t>
            </w:r>
          </w:p>
        </w:tc>
        <w:tc>
          <w:tcPr>
            <w:tcW w:w="109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098" w:rsidRPr="003E7796" w:rsidRDefault="00865098"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10,717.10</w:t>
            </w:r>
          </w:p>
        </w:tc>
        <w:tc>
          <w:tcPr>
            <w:tcW w:w="87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098" w:rsidRPr="00C71E9D" w:rsidRDefault="00865098" w:rsidP="009C5E3C">
            <w:pPr>
              <w:jc w:val="right"/>
              <w:rPr>
                <w:rFonts w:ascii="Calibri" w:eastAsia="Times New Roman" w:hAnsi="Calibri"/>
                <w:color w:val="000000"/>
                <w:sz w:val="20"/>
                <w:szCs w:val="22"/>
                <w:lang w:eastAsia="en-US"/>
              </w:rPr>
            </w:pPr>
            <w:r w:rsidRPr="00C71E9D">
              <w:rPr>
                <w:rFonts w:ascii="Calibri" w:eastAsia="Times New Roman" w:hAnsi="Calibri"/>
                <w:color w:val="000000"/>
                <w:sz w:val="20"/>
                <w:szCs w:val="22"/>
                <w:lang w:eastAsia="en-US"/>
              </w:rPr>
              <w:t>101.6%</w:t>
            </w:r>
          </w:p>
        </w:tc>
        <w:tc>
          <w:tcPr>
            <w:tcW w:w="112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098" w:rsidRPr="003E7796" w:rsidRDefault="00865098"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11,291.60</w:t>
            </w:r>
          </w:p>
        </w:tc>
        <w:tc>
          <w:tcPr>
            <w:tcW w:w="9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098" w:rsidRPr="00C71E9D" w:rsidRDefault="00865098" w:rsidP="009C5E3C">
            <w:pPr>
              <w:jc w:val="right"/>
              <w:rPr>
                <w:rFonts w:ascii="Calibri" w:eastAsia="Times New Roman" w:hAnsi="Calibri"/>
                <w:color w:val="000000"/>
                <w:sz w:val="20"/>
                <w:szCs w:val="22"/>
                <w:lang w:eastAsia="en-US"/>
              </w:rPr>
            </w:pPr>
            <w:r w:rsidRPr="00C71E9D">
              <w:rPr>
                <w:rFonts w:ascii="Calibri" w:eastAsia="Times New Roman" w:hAnsi="Calibri"/>
                <w:color w:val="000000"/>
                <w:sz w:val="20"/>
                <w:szCs w:val="22"/>
                <w:lang w:eastAsia="en-US"/>
              </w:rPr>
              <w:t>101.6%</w:t>
            </w:r>
          </w:p>
        </w:tc>
        <w:tc>
          <w:tcPr>
            <w:tcW w:w="112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098" w:rsidRPr="003E7796" w:rsidRDefault="00865098"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10,862.80</w:t>
            </w:r>
          </w:p>
        </w:tc>
        <w:tc>
          <w:tcPr>
            <w:tcW w:w="920" w:type="dxa"/>
            <w:tcBorders>
              <w:top w:val="single" w:sz="8" w:space="0" w:color="auto"/>
              <w:left w:val="single" w:sz="8" w:space="0" w:color="auto"/>
              <w:bottom w:val="single" w:sz="8" w:space="0" w:color="auto"/>
              <w:right w:val="nil"/>
            </w:tcBorders>
            <w:shd w:val="clear" w:color="auto" w:fill="auto"/>
            <w:vAlign w:val="center"/>
            <w:hideMark/>
          </w:tcPr>
          <w:p w:rsidR="00865098" w:rsidRPr="003E7796" w:rsidRDefault="00865098">
            <w:pPr>
              <w:jc w:val="right"/>
              <w:rPr>
                <w:rFonts w:ascii="Calibri" w:hAnsi="Calibri"/>
                <w:color w:val="000000"/>
                <w:sz w:val="20"/>
                <w:szCs w:val="20"/>
              </w:rPr>
            </w:pPr>
            <w:r w:rsidRPr="003E7796">
              <w:rPr>
                <w:rFonts w:ascii="Calibri" w:hAnsi="Calibri"/>
                <w:color w:val="000000"/>
                <w:sz w:val="20"/>
                <w:szCs w:val="20"/>
              </w:rPr>
              <w:t>101.2%</w:t>
            </w:r>
          </w:p>
        </w:tc>
      </w:tr>
      <w:tr w:rsidR="00BF1811" w:rsidRPr="003E7796" w:rsidTr="00541063">
        <w:trPr>
          <w:trHeight w:val="302"/>
          <w:jc w:val="center"/>
        </w:trPr>
        <w:tc>
          <w:tcPr>
            <w:tcW w:w="2469" w:type="dxa"/>
            <w:tcBorders>
              <w:top w:val="single" w:sz="8" w:space="0" w:color="auto"/>
              <w:left w:val="nil"/>
              <w:bottom w:val="single" w:sz="8" w:space="0" w:color="auto"/>
              <w:right w:val="single" w:sz="8" w:space="0" w:color="auto"/>
            </w:tcBorders>
            <w:shd w:val="clear" w:color="auto" w:fill="auto"/>
            <w:vAlign w:val="center"/>
            <w:hideMark/>
          </w:tcPr>
          <w:p w:rsidR="00BF1811" w:rsidRPr="003E7796" w:rsidRDefault="00BF1811" w:rsidP="009C5E3C">
            <w:pPr>
              <w:rPr>
                <w:rFonts w:ascii="Calibri" w:eastAsia="Times New Roman" w:hAnsi="Calibri"/>
                <w:color w:val="000000"/>
                <w:sz w:val="22"/>
                <w:szCs w:val="22"/>
                <w:lang w:eastAsia="en-US"/>
              </w:rPr>
            </w:pPr>
            <w:r w:rsidRPr="003E7796">
              <w:rPr>
                <w:rFonts w:ascii="Calibri" w:eastAsia="Times New Roman" w:hAnsi="Calibri"/>
                <w:bCs/>
                <w:color w:val="000000"/>
                <w:sz w:val="20"/>
                <w:szCs w:val="20"/>
                <w:lang w:eastAsia="en-US"/>
              </w:rPr>
              <w:t>Costs, expenses and other:</w:t>
            </w:r>
          </w:p>
        </w:tc>
        <w:tc>
          <w:tcPr>
            <w:tcW w:w="1098" w:type="dxa"/>
            <w:tcBorders>
              <w:top w:val="single" w:sz="8" w:space="0" w:color="auto"/>
              <w:left w:val="nil"/>
              <w:bottom w:val="single" w:sz="8" w:space="0" w:color="auto"/>
              <w:right w:val="single" w:sz="8" w:space="0" w:color="auto"/>
            </w:tcBorders>
            <w:shd w:val="clear" w:color="auto" w:fill="auto"/>
            <w:vAlign w:val="center"/>
          </w:tcPr>
          <w:p w:rsidR="00BF1811" w:rsidRPr="003E7796" w:rsidRDefault="00BF1811" w:rsidP="009C5E3C">
            <w:pPr>
              <w:rPr>
                <w:rFonts w:ascii="Calibri" w:eastAsia="Times New Roman" w:hAnsi="Calibri"/>
                <w:color w:val="000000"/>
                <w:sz w:val="22"/>
                <w:szCs w:val="22"/>
                <w:lang w:eastAsia="en-US"/>
              </w:rPr>
            </w:pPr>
          </w:p>
        </w:tc>
        <w:tc>
          <w:tcPr>
            <w:tcW w:w="875" w:type="dxa"/>
            <w:tcBorders>
              <w:top w:val="single" w:sz="8" w:space="0" w:color="auto"/>
              <w:left w:val="single" w:sz="8" w:space="0" w:color="auto"/>
              <w:bottom w:val="single" w:sz="8" w:space="0" w:color="auto"/>
              <w:right w:val="single" w:sz="8" w:space="0" w:color="auto"/>
            </w:tcBorders>
            <w:shd w:val="clear" w:color="auto" w:fill="auto"/>
            <w:hideMark/>
          </w:tcPr>
          <w:p w:rsidR="00BF1811" w:rsidRPr="00C71E9D" w:rsidRDefault="00BF1811" w:rsidP="009C5E3C">
            <w:pPr>
              <w:rPr>
                <w:rFonts w:ascii="Calibri" w:eastAsia="Times New Roman" w:hAnsi="Calibri"/>
                <w:color w:val="000000"/>
                <w:sz w:val="20"/>
                <w:szCs w:val="22"/>
                <w:lang w:eastAsia="en-US"/>
              </w:rPr>
            </w:pPr>
          </w:p>
        </w:tc>
        <w:tc>
          <w:tcPr>
            <w:tcW w:w="1128" w:type="dxa"/>
            <w:tcBorders>
              <w:top w:val="single" w:sz="8" w:space="0" w:color="auto"/>
              <w:left w:val="single" w:sz="8" w:space="0" w:color="auto"/>
              <w:bottom w:val="single" w:sz="8" w:space="0" w:color="auto"/>
              <w:right w:val="single" w:sz="8" w:space="0" w:color="auto"/>
            </w:tcBorders>
            <w:shd w:val="clear" w:color="auto" w:fill="auto"/>
            <w:hideMark/>
          </w:tcPr>
          <w:p w:rsidR="00BF1811" w:rsidRPr="003E7796" w:rsidRDefault="00BF1811" w:rsidP="009C5E3C">
            <w:pPr>
              <w:rPr>
                <w:rFonts w:ascii="Calibri" w:eastAsia="Times New Roman" w:hAnsi="Calibri"/>
                <w:color w:val="000000"/>
                <w:sz w:val="22"/>
                <w:szCs w:val="22"/>
                <w:lang w:eastAsia="en-US"/>
              </w:rPr>
            </w:pPr>
          </w:p>
        </w:tc>
        <w:tc>
          <w:tcPr>
            <w:tcW w:w="920" w:type="dxa"/>
            <w:tcBorders>
              <w:top w:val="single" w:sz="8" w:space="0" w:color="auto"/>
              <w:left w:val="single" w:sz="8" w:space="0" w:color="auto"/>
              <w:bottom w:val="single" w:sz="8" w:space="0" w:color="auto"/>
              <w:right w:val="single" w:sz="8" w:space="0" w:color="auto"/>
            </w:tcBorders>
            <w:shd w:val="clear" w:color="auto" w:fill="auto"/>
            <w:hideMark/>
          </w:tcPr>
          <w:p w:rsidR="00BF1811" w:rsidRPr="00C71E9D" w:rsidRDefault="00BF1811" w:rsidP="009C5E3C">
            <w:pPr>
              <w:rPr>
                <w:rFonts w:ascii="Calibri" w:eastAsia="Times New Roman" w:hAnsi="Calibri"/>
                <w:color w:val="000000"/>
                <w:sz w:val="20"/>
                <w:szCs w:val="22"/>
                <w:lang w:eastAsia="en-US"/>
              </w:rPr>
            </w:pPr>
          </w:p>
        </w:tc>
        <w:tc>
          <w:tcPr>
            <w:tcW w:w="1128" w:type="dxa"/>
            <w:tcBorders>
              <w:top w:val="single" w:sz="8" w:space="0" w:color="auto"/>
              <w:left w:val="single" w:sz="8" w:space="0" w:color="auto"/>
              <w:bottom w:val="single" w:sz="8" w:space="0" w:color="auto"/>
              <w:right w:val="single" w:sz="8" w:space="0" w:color="auto"/>
            </w:tcBorders>
            <w:shd w:val="clear" w:color="auto" w:fill="auto"/>
            <w:hideMark/>
          </w:tcPr>
          <w:p w:rsidR="00BF1811" w:rsidRPr="003E7796" w:rsidRDefault="00BF1811" w:rsidP="009C5E3C">
            <w:pPr>
              <w:rPr>
                <w:rFonts w:ascii="Calibri" w:eastAsia="Times New Roman" w:hAnsi="Calibri"/>
                <w:color w:val="000000"/>
                <w:sz w:val="22"/>
                <w:szCs w:val="22"/>
                <w:lang w:eastAsia="en-US"/>
              </w:rPr>
            </w:pPr>
          </w:p>
        </w:tc>
        <w:tc>
          <w:tcPr>
            <w:tcW w:w="920" w:type="dxa"/>
            <w:tcBorders>
              <w:top w:val="single" w:sz="8" w:space="0" w:color="auto"/>
              <w:left w:val="single" w:sz="8" w:space="0" w:color="auto"/>
              <w:bottom w:val="single" w:sz="8" w:space="0" w:color="auto"/>
              <w:right w:val="nil"/>
            </w:tcBorders>
            <w:shd w:val="clear" w:color="auto" w:fill="auto"/>
            <w:hideMark/>
          </w:tcPr>
          <w:p w:rsidR="00BF1811" w:rsidRPr="003E7796" w:rsidRDefault="00BF1811" w:rsidP="009C5E3C">
            <w:pPr>
              <w:rPr>
                <w:rFonts w:ascii="Calibri" w:eastAsia="Times New Roman" w:hAnsi="Calibri"/>
                <w:color w:val="000000"/>
                <w:sz w:val="20"/>
                <w:szCs w:val="20"/>
                <w:lang w:eastAsia="en-US"/>
              </w:rPr>
            </w:pPr>
          </w:p>
        </w:tc>
      </w:tr>
      <w:tr w:rsidR="00865098" w:rsidRPr="003E7796" w:rsidTr="00541063">
        <w:trPr>
          <w:trHeight w:val="300"/>
          <w:jc w:val="center"/>
        </w:trPr>
        <w:tc>
          <w:tcPr>
            <w:tcW w:w="2469" w:type="dxa"/>
            <w:tcBorders>
              <w:top w:val="single" w:sz="8" w:space="0" w:color="auto"/>
              <w:left w:val="nil"/>
              <w:bottom w:val="single" w:sz="8" w:space="0" w:color="auto"/>
              <w:right w:val="single" w:sz="8" w:space="0" w:color="auto"/>
            </w:tcBorders>
            <w:shd w:val="clear" w:color="auto" w:fill="FFFF66"/>
            <w:vAlign w:val="center"/>
            <w:hideMark/>
          </w:tcPr>
          <w:p w:rsidR="00865098" w:rsidRPr="003E7796" w:rsidRDefault="00865098" w:rsidP="003E7796">
            <w:pPr>
              <w:ind w:firstLineChars="100" w:firstLine="200"/>
              <w:rPr>
                <w:rFonts w:ascii="Calibri" w:eastAsia="Times New Roman" w:hAnsi="Calibri"/>
                <w:bCs/>
                <w:color w:val="000000"/>
                <w:sz w:val="20"/>
                <w:szCs w:val="20"/>
                <w:lang w:eastAsia="en-US"/>
              </w:rPr>
            </w:pPr>
            <w:r w:rsidRPr="003E7796">
              <w:rPr>
                <w:rFonts w:ascii="Calibri" w:eastAsia="Times New Roman" w:hAnsi="Calibri"/>
                <w:bCs/>
                <w:color w:val="000000"/>
                <w:sz w:val="20"/>
                <w:szCs w:val="20"/>
                <w:lang w:eastAsia="en-US"/>
              </w:rPr>
              <w:t>Cost of sales</w:t>
            </w:r>
          </w:p>
        </w:tc>
        <w:tc>
          <w:tcPr>
            <w:tcW w:w="1098"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865098" w:rsidRPr="003E7796" w:rsidRDefault="00865098"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4,169.30</w:t>
            </w:r>
          </w:p>
        </w:tc>
        <w:tc>
          <w:tcPr>
            <w:tcW w:w="875" w:type="dxa"/>
            <w:tcBorders>
              <w:top w:val="single" w:sz="8" w:space="0" w:color="auto"/>
              <w:left w:val="single" w:sz="8" w:space="0" w:color="auto"/>
              <w:bottom w:val="single" w:sz="8" w:space="0" w:color="auto"/>
              <w:right w:val="single" w:sz="8" w:space="0" w:color="auto"/>
            </w:tcBorders>
            <w:shd w:val="clear" w:color="auto" w:fill="FFFF66"/>
            <w:hideMark/>
          </w:tcPr>
          <w:p w:rsidR="00865098" w:rsidRPr="00C71E9D" w:rsidRDefault="00865098" w:rsidP="009C5E3C">
            <w:pPr>
              <w:jc w:val="right"/>
              <w:rPr>
                <w:rFonts w:ascii="Calibri" w:eastAsia="Times New Roman" w:hAnsi="Calibri"/>
                <w:color w:val="000000"/>
                <w:sz w:val="20"/>
                <w:szCs w:val="22"/>
                <w:lang w:eastAsia="en-US"/>
              </w:rPr>
            </w:pPr>
            <w:r w:rsidRPr="00C71E9D">
              <w:rPr>
                <w:rFonts w:ascii="Calibri" w:eastAsia="Times New Roman" w:hAnsi="Calibri"/>
                <w:color w:val="000000"/>
                <w:sz w:val="20"/>
                <w:szCs w:val="22"/>
                <w:lang w:eastAsia="en-US"/>
              </w:rPr>
              <w:t>39.5%</w:t>
            </w:r>
          </w:p>
        </w:tc>
        <w:tc>
          <w:tcPr>
            <w:tcW w:w="1128"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865098" w:rsidRPr="003E7796" w:rsidRDefault="00865098"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4,148.60</w:t>
            </w:r>
          </w:p>
        </w:tc>
        <w:tc>
          <w:tcPr>
            <w:tcW w:w="920" w:type="dxa"/>
            <w:tcBorders>
              <w:top w:val="single" w:sz="8" w:space="0" w:color="auto"/>
              <w:left w:val="single" w:sz="8" w:space="0" w:color="auto"/>
              <w:bottom w:val="single" w:sz="8" w:space="0" w:color="auto"/>
              <w:right w:val="single" w:sz="8" w:space="0" w:color="auto"/>
            </w:tcBorders>
            <w:shd w:val="clear" w:color="auto" w:fill="FFFF66"/>
            <w:hideMark/>
          </w:tcPr>
          <w:p w:rsidR="00865098" w:rsidRPr="00C71E9D" w:rsidRDefault="00865098" w:rsidP="009C5E3C">
            <w:pPr>
              <w:jc w:val="right"/>
              <w:rPr>
                <w:rFonts w:ascii="Calibri" w:eastAsia="Times New Roman" w:hAnsi="Calibri"/>
                <w:color w:val="000000"/>
                <w:sz w:val="20"/>
                <w:szCs w:val="22"/>
                <w:lang w:eastAsia="en-US"/>
              </w:rPr>
            </w:pPr>
            <w:r w:rsidRPr="00C71E9D">
              <w:rPr>
                <w:rFonts w:ascii="Calibri" w:eastAsia="Times New Roman" w:hAnsi="Calibri"/>
                <w:color w:val="000000"/>
                <w:sz w:val="20"/>
                <w:szCs w:val="22"/>
                <w:lang w:eastAsia="en-US"/>
              </w:rPr>
              <w:t>37.3%</w:t>
            </w:r>
          </w:p>
        </w:tc>
        <w:tc>
          <w:tcPr>
            <w:tcW w:w="1128"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865098" w:rsidRPr="003E7796" w:rsidRDefault="00865098"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4,041.30</w:t>
            </w:r>
          </w:p>
        </w:tc>
        <w:tc>
          <w:tcPr>
            <w:tcW w:w="920" w:type="dxa"/>
            <w:tcBorders>
              <w:top w:val="single" w:sz="8" w:space="0" w:color="auto"/>
              <w:left w:val="single" w:sz="8" w:space="0" w:color="auto"/>
              <w:bottom w:val="single" w:sz="8" w:space="0" w:color="auto"/>
              <w:right w:val="nil"/>
            </w:tcBorders>
            <w:shd w:val="clear" w:color="auto" w:fill="FFFF66"/>
            <w:vAlign w:val="center"/>
            <w:hideMark/>
          </w:tcPr>
          <w:p w:rsidR="00865098" w:rsidRPr="003E7796" w:rsidRDefault="00865098">
            <w:pPr>
              <w:jc w:val="right"/>
              <w:rPr>
                <w:rFonts w:ascii="Calibri" w:hAnsi="Calibri"/>
                <w:color w:val="000000"/>
                <w:sz w:val="20"/>
                <w:szCs w:val="20"/>
              </w:rPr>
            </w:pPr>
            <w:r w:rsidRPr="003E7796">
              <w:rPr>
                <w:rFonts w:ascii="Calibri" w:hAnsi="Calibri"/>
                <w:color w:val="000000"/>
                <w:sz w:val="20"/>
                <w:szCs w:val="20"/>
              </w:rPr>
              <w:t>37.7%</w:t>
            </w:r>
          </w:p>
        </w:tc>
      </w:tr>
      <w:tr w:rsidR="00865098" w:rsidRPr="003E7796" w:rsidTr="00541063">
        <w:trPr>
          <w:trHeight w:val="504"/>
          <w:jc w:val="center"/>
        </w:trPr>
        <w:tc>
          <w:tcPr>
            <w:tcW w:w="2469" w:type="dxa"/>
            <w:tcBorders>
              <w:top w:val="single" w:sz="8" w:space="0" w:color="auto"/>
              <w:left w:val="nil"/>
              <w:bottom w:val="single" w:sz="8" w:space="0" w:color="auto"/>
              <w:right w:val="single" w:sz="8" w:space="0" w:color="auto"/>
            </w:tcBorders>
            <w:shd w:val="clear" w:color="auto" w:fill="FFFF66"/>
            <w:vAlign w:val="center"/>
            <w:hideMark/>
          </w:tcPr>
          <w:p w:rsidR="00865098" w:rsidRPr="003E7796" w:rsidRDefault="00865098" w:rsidP="003E7796">
            <w:pPr>
              <w:ind w:firstLineChars="100" w:firstLine="200"/>
              <w:rPr>
                <w:rFonts w:ascii="Calibri" w:eastAsia="Times New Roman" w:hAnsi="Calibri"/>
                <w:bCs/>
                <w:color w:val="000000"/>
                <w:sz w:val="20"/>
                <w:szCs w:val="20"/>
                <w:lang w:eastAsia="en-US"/>
              </w:rPr>
            </w:pPr>
            <w:r w:rsidRPr="003E7796">
              <w:rPr>
                <w:rFonts w:ascii="Calibri" w:eastAsia="Times New Roman" w:hAnsi="Calibri"/>
                <w:bCs/>
                <w:color w:val="000000"/>
                <w:sz w:val="20"/>
                <w:szCs w:val="20"/>
                <w:lang w:eastAsia="en-US"/>
              </w:rPr>
              <w:t>Selling, general and administrative expenses</w:t>
            </w:r>
          </w:p>
        </w:tc>
        <w:tc>
          <w:tcPr>
            <w:tcW w:w="1098"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865098" w:rsidRPr="003E7796" w:rsidRDefault="00865098"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5,980.00</w:t>
            </w:r>
          </w:p>
        </w:tc>
        <w:tc>
          <w:tcPr>
            <w:tcW w:w="875"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865098" w:rsidRPr="00C71E9D" w:rsidRDefault="00865098" w:rsidP="009C5E3C">
            <w:pPr>
              <w:jc w:val="right"/>
              <w:rPr>
                <w:rFonts w:ascii="Calibri" w:eastAsia="Times New Roman" w:hAnsi="Calibri"/>
                <w:color w:val="000000"/>
                <w:sz w:val="20"/>
                <w:szCs w:val="22"/>
                <w:lang w:eastAsia="en-US"/>
              </w:rPr>
            </w:pPr>
            <w:r w:rsidRPr="00C71E9D">
              <w:rPr>
                <w:rFonts w:ascii="Calibri" w:eastAsia="Times New Roman" w:hAnsi="Calibri"/>
                <w:color w:val="000000"/>
                <w:sz w:val="20"/>
                <w:szCs w:val="22"/>
                <w:lang w:eastAsia="en-US"/>
              </w:rPr>
              <w:t>56.7%</w:t>
            </w:r>
          </w:p>
        </w:tc>
        <w:tc>
          <w:tcPr>
            <w:tcW w:w="1128"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865098" w:rsidRPr="003E7796" w:rsidRDefault="00865098"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6,025.40</w:t>
            </w:r>
          </w:p>
        </w:tc>
        <w:tc>
          <w:tcPr>
            <w:tcW w:w="920"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865098" w:rsidRPr="00C71E9D" w:rsidRDefault="00865098" w:rsidP="009C5E3C">
            <w:pPr>
              <w:jc w:val="right"/>
              <w:rPr>
                <w:rFonts w:ascii="Calibri" w:eastAsia="Times New Roman" w:hAnsi="Calibri"/>
                <w:color w:val="000000"/>
                <w:sz w:val="20"/>
                <w:szCs w:val="22"/>
                <w:lang w:eastAsia="en-US"/>
              </w:rPr>
            </w:pPr>
            <w:r w:rsidRPr="00C71E9D">
              <w:rPr>
                <w:rFonts w:ascii="Calibri" w:eastAsia="Times New Roman" w:hAnsi="Calibri"/>
                <w:color w:val="000000"/>
                <w:sz w:val="20"/>
                <w:szCs w:val="22"/>
                <w:lang w:eastAsia="en-US"/>
              </w:rPr>
              <w:t>54.2%</w:t>
            </w:r>
          </w:p>
        </w:tc>
        <w:tc>
          <w:tcPr>
            <w:tcW w:w="1128"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865098" w:rsidRPr="003E7796" w:rsidRDefault="00865098"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5,748.40</w:t>
            </w:r>
          </w:p>
        </w:tc>
        <w:tc>
          <w:tcPr>
            <w:tcW w:w="920" w:type="dxa"/>
            <w:tcBorders>
              <w:top w:val="single" w:sz="8" w:space="0" w:color="auto"/>
              <w:left w:val="single" w:sz="8" w:space="0" w:color="auto"/>
              <w:bottom w:val="single" w:sz="8" w:space="0" w:color="auto"/>
              <w:right w:val="nil"/>
            </w:tcBorders>
            <w:shd w:val="clear" w:color="auto" w:fill="FFFF66"/>
            <w:vAlign w:val="center"/>
            <w:hideMark/>
          </w:tcPr>
          <w:p w:rsidR="00865098" w:rsidRPr="003E7796" w:rsidRDefault="00865098">
            <w:pPr>
              <w:jc w:val="right"/>
              <w:rPr>
                <w:rFonts w:ascii="Calibri" w:hAnsi="Calibri"/>
                <w:color w:val="000000"/>
                <w:sz w:val="20"/>
                <w:szCs w:val="20"/>
              </w:rPr>
            </w:pPr>
            <w:r w:rsidRPr="003E7796">
              <w:rPr>
                <w:rFonts w:ascii="Calibri" w:hAnsi="Calibri"/>
                <w:color w:val="000000"/>
                <w:sz w:val="20"/>
                <w:szCs w:val="20"/>
              </w:rPr>
              <w:t>53.6%</w:t>
            </w:r>
          </w:p>
        </w:tc>
      </w:tr>
      <w:tr w:rsidR="00865098" w:rsidRPr="003E7796" w:rsidTr="00541063">
        <w:trPr>
          <w:trHeight w:val="504"/>
          <w:jc w:val="center"/>
        </w:trPr>
        <w:tc>
          <w:tcPr>
            <w:tcW w:w="2469" w:type="dxa"/>
            <w:tcBorders>
              <w:top w:val="single" w:sz="8" w:space="0" w:color="auto"/>
              <w:left w:val="nil"/>
              <w:bottom w:val="single" w:sz="8" w:space="0" w:color="auto"/>
              <w:right w:val="single" w:sz="8" w:space="0" w:color="auto"/>
            </w:tcBorders>
            <w:shd w:val="clear" w:color="auto" w:fill="auto"/>
            <w:vAlign w:val="center"/>
            <w:hideMark/>
          </w:tcPr>
          <w:p w:rsidR="00865098" w:rsidRPr="003E7796" w:rsidRDefault="00865098" w:rsidP="003E7796">
            <w:pPr>
              <w:ind w:firstLineChars="100" w:firstLine="200"/>
              <w:rPr>
                <w:rFonts w:ascii="Calibri" w:eastAsia="Times New Roman" w:hAnsi="Calibri"/>
                <w:bCs/>
                <w:color w:val="000000"/>
                <w:sz w:val="20"/>
                <w:szCs w:val="20"/>
                <w:lang w:eastAsia="en-US"/>
              </w:rPr>
            </w:pPr>
            <w:r w:rsidRPr="003E7796">
              <w:rPr>
                <w:rFonts w:ascii="Calibri" w:eastAsia="Times New Roman" w:hAnsi="Calibri"/>
                <w:bCs/>
                <w:color w:val="000000"/>
                <w:sz w:val="20"/>
                <w:szCs w:val="20"/>
                <w:lang w:eastAsia="en-US"/>
              </w:rPr>
              <w:t>Impairment of good-will and intangible asset</w:t>
            </w:r>
          </w:p>
        </w:tc>
        <w:tc>
          <w:tcPr>
            <w:tcW w:w="109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098" w:rsidRPr="003E7796" w:rsidRDefault="00865098"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253.00</w:t>
            </w:r>
          </w:p>
        </w:tc>
        <w:tc>
          <w:tcPr>
            <w:tcW w:w="87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098" w:rsidRPr="00C71E9D" w:rsidRDefault="00865098" w:rsidP="009C5E3C">
            <w:pPr>
              <w:jc w:val="right"/>
              <w:rPr>
                <w:rFonts w:ascii="Calibri" w:eastAsia="Times New Roman" w:hAnsi="Calibri"/>
                <w:color w:val="000000"/>
                <w:sz w:val="20"/>
                <w:szCs w:val="22"/>
                <w:lang w:eastAsia="en-US"/>
              </w:rPr>
            </w:pPr>
            <w:r w:rsidRPr="00C71E9D">
              <w:rPr>
                <w:rFonts w:ascii="Calibri" w:eastAsia="Times New Roman" w:hAnsi="Calibri"/>
                <w:color w:val="000000"/>
                <w:sz w:val="20"/>
                <w:szCs w:val="22"/>
                <w:lang w:eastAsia="en-US"/>
              </w:rPr>
              <w:t>2.4%</w:t>
            </w:r>
          </w:p>
        </w:tc>
        <w:tc>
          <w:tcPr>
            <w:tcW w:w="112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098" w:rsidRPr="003E7796" w:rsidRDefault="00865098"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263.00</w:t>
            </w:r>
          </w:p>
        </w:tc>
        <w:tc>
          <w:tcPr>
            <w:tcW w:w="9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098" w:rsidRPr="00C71E9D" w:rsidRDefault="00865098" w:rsidP="009C5E3C">
            <w:pPr>
              <w:jc w:val="right"/>
              <w:rPr>
                <w:rFonts w:ascii="Calibri" w:eastAsia="Times New Roman" w:hAnsi="Calibri"/>
                <w:color w:val="000000"/>
                <w:sz w:val="20"/>
                <w:szCs w:val="22"/>
                <w:lang w:eastAsia="en-US"/>
              </w:rPr>
            </w:pPr>
            <w:r w:rsidRPr="00C71E9D">
              <w:rPr>
                <w:rFonts w:ascii="Calibri" w:eastAsia="Times New Roman" w:hAnsi="Calibri"/>
                <w:color w:val="000000"/>
                <w:sz w:val="20"/>
                <w:szCs w:val="22"/>
                <w:lang w:eastAsia="en-US"/>
              </w:rPr>
              <w:t>2.4%</w:t>
            </w:r>
          </w:p>
        </w:tc>
        <w:tc>
          <w:tcPr>
            <w:tcW w:w="112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098" w:rsidRPr="003E7796" w:rsidRDefault="00865098"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0</w:t>
            </w:r>
          </w:p>
        </w:tc>
        <w:tc>
          <w:tcPr>
            <w:tcW w:w="920" w:type="dxa"/>
            <w:tcBorders>
              <w:top w:val="single" w:sz="8" w:space="0" w:color="auto"/>
              <w:left w:val="single" w:sz="8" w:space="0" w:color="auto"/>
              <w:bottom w:val="single" w:sz="8" w:space="0" w:color="auto"/>
              <w:right w:val="nil"/>
            </w:tcBorders>
            <w:shd w:val="clear" w:color="auto" w:fill="auto"/>
            <w:vAlign w:val="center"/>
            <w:hideMark/>
          </w:tcPr>
          <w:p w:rsidR="00865098" w:rsidRPr="003E7796" w:rsidRDefault="00865098">
            <w:pPr>
              <w:jc w:val="right"/>
              <w:rPr>
                <w:rFonts w:ascii="Calibri" w:hAnsi="Calibri"/>
                <w:color w:val="000000"/>
                <w:sz w:val="20"/>
                <w:szCs w:val="20"/>
              </w:rPr>
            </w:pPr>
            <w:r w:rsidRPr="003E7796">
              <w:rPr>
                <w:rFonts w:ascii="Calibri" w:hAnsi="Calibri"/>
                <w:color w:val="000000"/>
                <w:sz w:val="20"/>
                <w:szCs w:val="20"/>
              </w:rPr>
              <w:t>0.0%</w:t>
            </w:r>
          </w:p>
        </w:tc>
      </w:tr>
      <w:tr w:rsidR="00865098" w:rsidRPr="003E7796" w:rsidTr="00541063">
        <w:trPr>
          <w:trHeight w:val="300"/>
          <w:jc w:val="center"/>
        </w:trPr>
        <w:tc>
          <w:tcPr>
            <w:tcW w:w="2469" w:type="dxa"/>
            <w:tcBorders>
              <w:top w:val="single" w:sz="8" w:space="0" w:color="auto"/>
              <w:left w:val="nil"/>
              <w:bottom w:val="single" w:sz="8" w:space="0" w:color="auto"/>
              <w:right w:val="single" w:sz="8" w:space="0" w:color="auto"/>
            </w:tcBorders>
            <w:shd w:val="clear" w:color="auto" w:fill="FFFF66"/>
            <w:vAlign w:val="center"/>
            <w:hideMark/>
          </w:tcPr>
          <w:p w:rsidR="00865098" w:rsidRPr="003E7796" w:rsidRDefault="00865098" w:rsidP="003E7796">
            <w:pPr>
              <w:ind w:firstLineChars="100" w:firstLine="200"/>
              <w:rPr>
                <w:rFonts w:ascii="Calibri" w:eastAsia="Times New Roman" w:hAnsi="Calibri"/>
                <w:bCs/>
                <w:color w:val="000000"/>
                <w:sz w:val="20"/>
                <w:szCs w:val="20"/>
                <w:lang w:eastAsia="en-US"/>
              </w:rPr>
            </w:pPr>
            <w:r w:rsidRPr="003E7796">
              <w:rPr>
                <w:rFonts w:ascii="Calibri" w:eastAsia="Times New Roman" w:hAnsi="Calibri"/>
                <w:bCs/>
                <w:color w:val="000000"/>
                <w:sz w:val="20"/>
                <w:szCs w:val="20"/>
                <w:lang w:eastAsia="en-US"/>
              </w:rPr>
              <w:t>Operating profit</w:t>
            </w:r>
          </w:p>
        </w:tc>
        <w:tc>
          <w:tcPr>
            <w:tcW w:w="1098"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865098" w:rsidRPr="003E7796" w:rsidRDefault="00865098"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314.80</w:t>
            </w:r>
          </w:p>
        </w:tc>
        <w:tc>
          <w:tcPr>
            <w:tcW w:w="875"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865098" w:rsidRPr="00C71E9D" w:rsidRDefault="00865098" w:rsidP="009C5E3C">
            <w:pPr>
              <w:jc w:val="right"/>
              <w:rPr>
                <w:rFonts w:ascii="Calibri" w:eastAsia="Times New Roman" w:hAnsi="Calibri"/>
                <w:color w:val="000000"/>
                <w:sz w:val="20"/>
                <w:szCs w:val="22"/>
                <w:lang w:eastAsia="en-US"/>
              </w:rPr>
            </w:pPr>
            <w:r w:rsidRPr="00C71E9D">
              <w:rPr>
                <w:rFonts w:ascii="Calibri" w:eastAsia="Times New Roman" w:hAnsi="Calibri"/>
                <w:color w:val="000000"/>
                <w:sz w:val="20"/>
                <w:szCs w:val="22"/>
                <w:lang w:eastAsia="en-US"/>
              </w:rPr>
              <w:t>3.0%</w:t>
            </w:r>
          </w:p>
        </w:tc>
        <w:tc>
          <w:tcPr>
            <w:tcW w:w="1128"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865098" w:rsidRPr="003E7796" w:rsidRDefault="00865098"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854.60</w:t>
            </w:r>
          </w:p>
        </w:tc>
        <w:tc>
          <w:tcPr>
            <w:tcW w:w="920"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865098" w:rsidRPr="00C71E9D" w:rsidRDefault="00865098" w:rsidP="009C5E3C">
            <w:pPr>
              <w:jc w:val="right"/>
              <w:rPr>
                <w:rFonts w:ascii="Calibri" w:eastAsia="Times New Roman" w:hAnsi="Calibri"/>
                <w:color w:val="000000"/>
                <w:sz w:val="20"/>
                <w:szCs w:val="22"/>
                <w:lang w:eastAsia="en-US"/>
              </w:rPr>
            </w:pPr>
            <w:r w:rsidRPr="00C71E9D">
              <w:rPr>
                <w:rFonts w:ascii="Calibri" w:eastAsia="Times New Roman" w:hAnsi="Calibri"/>
                <w:color w:val="000000"/>
                <w:sz w:val="20"/>
                <w:szCs w:val="22"/>
                <w:lang w:eastAsia="en-US"/>
              </w:rPr>
              <w:t>7.7%</w:t>
            </w:r>
          </w:p>
        </w:tc>
        <w:tc>
          <w:tcPr>
            <w:tcW w:w="1128"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865098" w:rsidRPr="003E7796" w:rsidRDefault="00865098"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1,073.10</w:t>
            </w:r>
          </w:p>
        </w:tc>
        <w:tc>
          <w:tcPr>
            <w:tcW w:w="920" w:type="dxa"/>
            <w:tcBorders>
              <w:top w:val="single" w:sz="8" w:space="0" w:color="auto"/>
              <w:left w:val="single" w:sz="8" w:space="0" w:color="auto"/>
              <w:bottom w:val="single" w:sz="8" w:space="0" w:color="auto"/>
              <w:right w:val="nil"/>
            </w:tcBorders>
            <w:shd w:val="clear" w:color="auto" w:fill="FFFF66"/>
            <w:vAlign w:val="center"/>
            <w:hideMark/>
          </w:tcPr>
          <w:p w:rsidR="00865098" w:rsidRPr="003E7796" w:rsidRDefault="00865098">
            <w:pPr>
              <w:jc w:val="right"/>
              <w:rPr>
                <w:rFonts w:ascii="Calibri" w:hAnsi="Calibri"/>
                <w:color w:val="000000"/>
                <w:sz w:val="20"/>
                <w:szCs w:val="20"/>
              </w:rPr>
            </w:pPr>
            <w:r w:rsidRPr="003E7796">
              <w:rPr>
                <w:rFonts w:ascii="Calibri" w:hAnsi="Calibri"/>
                <w:color w:val="000000"/>
                <w:sz w:val="20"/>
                <w:szCs w:val="20"/>
              </w:rPr>
              <w:t>10.0%</w:t>
            </w:r>
          </w:p>
        </w:tc>
      </w:tr>
      <w:tr w:rsidR="00865098" w:rsidRPr="003E7796" w:rsidTr="00541063">
        <w:trPr>
          <w:trHeight w:val="300"/>
          <w:jc w:val="center"/>
        </w:trPr>
        <w:tc>
          <w:tcPr>
            <w:tcW w:w="2469" w:type="dxa"/>
            <w:tcBorders>
              <w:top w:val="single" w:sz="8" w:space="0" w:color="auto"/>
              <w:left w:val="nil"/>
              <w:bottom w:val="single" w:sz="8" w:space="0" w:color="auto"/>
              <w:right w:val="single" w:sz="8" w:space="0" w:color="auto"/>
            </w:tcBorders>
            <w:shd w:val="clear" w:color="auto" w:fill="auto"/>
            <w:vAlign w:val="center"/>
            <w:hideMark/>
          </w:tcPr>
          <w:p w:rsidR="00865098" w:rsidRPr="003E7796" w:rsidRDefault="00865098" w:rsidP="003E7796">
            <w:pPr>
              <w:ind w:firstLineChars="100" w:firstLine="200"/>
              <w:rPr>
                <w:rFonts w:ascii="Calibri" w:eastAsia="Times New Roman" w:hAnsi="Calibri"/>
                <w:bCs/>
                <w:color w:val="000000"/>
                <w:sz w:val="20"/>
                <w:szCs w:val="20"/>
                <w:lang w:eastAsia="en-US"/>
              </w:rPr>
            </w:pPr>
            <w:r w:rsidRPr="003E7796">
              <w:rPr>
                <w:rFonts w:ascii="Calibri" w:eastAsia="Times New Roman" w:hAnsi="Calibri"/>
                <w:bCs/>
                <w:color w:val="000000"/>
                <w:sz w:val="20"/>
                <w:szCs w:val="20"/>
                <w:lang w:eastAsia="en-US"/>
              </w:rPr>
              <w:t>Interest expense</w:t>
            </w:r>
          </w:p>
        </w:tc>
        <w:tc>
          <w:tcPr>
            <w:tcW w:w="109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098" w:rsidRPr="003E7796" w:rsidRDefault="00865098"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104.30</w:t>
            </w:r>
          </w:p>
        </w:tc>
        <w:tc>
          <w:tcPr>
            <w:tcW w:w="875" w:type="dxa"/>
            <w:tcBorders>
              <w:top w:val="single" w:sz="8" w:space="0" w:color="auto"/>
              <w:left w:val="single" w:sz="8" w:space="0" w:color="auto"/>
              <w:bottom w:val="single" w:sz="8" w:space="0" w:color="auto"/>
              <w:right w:val="single" w:sz="8" w:space="0" w:color="auto"/>
            </w:tcBorders>
            <w:shd w:val="clear" w:color="auto" w:fill="auto"/>
            <w:hideMark/>
          </w:tcPr>
          <w:p w:rsidR="00865098" w:rsidRPr="00C71E9D" w:rsidRDefault="00865098" w:rsidP="009C5E3C">
            <w:pPr>
              <w:jc w:val="right"/>
              <w:rPr>
                <w:rFonts w:ascii="Calibri" w:eastAsia="Times New Roman" w:hAnsi="Calibri"/>
                <w:color w:val="000000"/>
                <w:sz w:val="20"/>
                <w:szCs w:val="22"/>
                <w:lang w:eastAsia="en-US"/>
              </w:rPr>
            </w:pPr>
            <w:r w:rsidRPr="00C71E9D">
              <w:rPr>
                <w:rFonts w:ascii="Calibri" w:eastAsia="Times New Roman" w:hAnsi="Calibri"/>
                <w:color w:val="000000"/>
                <w:sz w:val="20"/>
                <w:szCs w:val="22"/>
                <w:lang w:eastAsia="en-US"/>
              </w:rPr>
              <w:t>1.0%</w:t>
            </w:r>
          </w:p>
        </w:tc>
        <w:tc>
          <w:tcPr>
            <w:tcW w:w="112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098" w:rsidRPr="003E7796" w:rsidRDefault="00865098"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92.90</w:t>
            </w:r>
          </w:p>
        </w:tc>
        <w:tc>
          <w:tcPr>
            <w:tcW w:w="920" w:type="dxa"/>
            <w:tcBorders>
              <w:top w:val="single" w:sz="8" w:space="0" w:color="auto"/>
              <w:left w:val="single" w:sz="8" w:space="0" w:color="auto"/>
              <w:bottom w:val="single" w:sz="8" w:space="0" w:color="auto"/>
              <w:right w:val="single" w:sz="8" w:space="0" w:color="auto"/>
            </w:tcBorders>
            <w:shd w:val="clear" w:color="auto" w:fill="auto"/>
            <w:hideMark/>
          </w:tcPr>
          <w:p w:rsidR="00865098" w:rsidRPr="00C71E9D" w:rsidRDefault="00865098" w:rsidP="009C5E3C">
            <w:pPr>
              <w:jc w:val="right"/>
              <w:rPr>
                <w:rFonts w:ascii="Calibri" w:eastAsia="Times New Roman" w:hAnsi="Calibri"/>
                <w:color w:val="000000"/>
                <w:sz w:val="20"/>
                <w:szCs w:val="22"/>
                <w:lang w:eastAsia="en-US"/>
              </w:rPr>
            </w:pPr>
            <w:r w:rsidRPr="00C71E9D">
              <w:rPr>
                <w:rFonts w:ascii="Calibri" w:eastAsia="Times New Roman" w:hAnsi="Calibri"/>
                <w:color w:val="000000"/>
                <w:sz w:val="20"/>
                <w:szCs w:val="22"/>
                <w:lang w:eastAsia="en-US"/>
              </w:rPr>
              <w:t>0.8%</w:t>
            </w:r>
          </w:p>
        </w:tc>
        <w:tc>
          <w:tcPr>
            <w:tcW w:w="112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098" w:rsidRPr="003E7796" w:rsidRDefault="00865098"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87.10</w:t>
            </w:r>
          </w:p>
        </w:tc>
        <w:tc>
          <w:tcPr>
            <w:tcW w:w="920" w:type="dxa"/>
            <w:tcBorders>
              <w:top w:val="single" w:sz="8" w:space="0" w:color="auto"/>
              <w:left w:val="single" w:sz="8" w:space="0" w:color="auto"/>
              <w:bottom w:val="single" w:sz="8" w:space="0" w:color="auto"/>
              <w:right w:val="nil"/>
            </w:tcBorders>
            <w:shd w:val="clear" w:color="auto" w:fill="auto"/>
            <w:vAlign w:val="center"/>
            <w:hideMark/>
          </w:tcPr>
          <w:p w:rsidR="00865098" w:rsidRPr="003E7796" w:rsidRDefault="00865098">
            <w:pPr>
              <w:jc w:val="right"/>
              <w:rPr>
                <w:rFonts w:ascii="Calibri" w:hAnsi="Calibri"/>
                <w:color w:val="000000"/>
                <w:sz w:val="20"/>
                <w:szCs w:val="20"/>
              </w:rPr>
            </w:pPr>
            <w:r w:rsidRPr="003E7796">
              <w:rPr>
                <w:rFonts w:ascii="Calibri" w:hAnsi="Calibri"/>
                <w:color w:val="000000"/>
                <w:sz w:val="20"/>
                <w:szCs w:val="20"/>
              </w:rPr>
              <w:t>0.8%</w:t>
            </w:r>
          </w:p>
        </w:tc>
      </w:tr>
      <w:tr w:rsidR="00865098" w:rsidRPr="003E7796" w:rsidTr="00541063">
        <w:trPr>
          <w:trHeight w:val="300"/>
          <w:jc w:val="center"/>
        </w:trPr>
        <w:tc>
          <w:tcPr>
            <w:tcW w:w="2469" w:type="dxa"/>
            <w:tcBorders>
              <w:top w:val="single" w:sz="8" w:space="0" w:color="auto"/>
              <w:left w:val="nil"/>
              <w:bottom w:val="single" w:sz="8" w:space="0" w:color="auto"/>
              <w:right w:val="single" w:sz="8" w:space="0" w:color="auto"/>
            </w:tcBorders>
            <w:shd w:val="clear" w:color="auto" w:fill="auto"/>
            <w:vAlign w:val="center"/>
            <w:hideMark/>
          </w:tcPr>
          <w:p w:rsidR="00865098" w:rsidRPr="003E7796" w:rsidRDefault="00865098" w:rsidP="009C5E3C">
            <w:pPr>
              <w:rPr>
                <w:rFonts w:ascii="Calibri" w:eastAsia="Times New Roman" w:hAnsi="Calibri"/>
                <w:bCs/>
                <w:color w:val="000000"/>
                <w:sz w:val="20"/>
                <w:szCs w:val="20"/>
                <w:lang w:eastAsia="en-US"/>
              </w:rPr>
            </w:pPr>
            <w:r w:rsidRPr="003E7796">
              <w:rPr>
                <w:rFonts w:ascii="Calibri" w:eastAsia="Times New Roman" w:hAnsi="Calibri"/>
                <w:bCs/>
                <w:color w:val="000000"/>
                <w:sz w:val="20"/>
                <w:szCs w:val="20"/>
                <w:lang w:eastAsia="en-US"/>
              </w:rPr>
              <w:t>Interest income</w:t>
            </w:r>
          </w:p>
        </w:tc>
        <w:tc>
          <w:tcPr>
            <w:tcW w:w="109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098" w:rsidRPr="003E7796" w:rsidRDefault="00865098"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-15.10</w:t>
            </w:r>
          </w:p>
        </w:tc>
        <w:tc>
          <w:tcPr>
            <w:tcW w:w="87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098" w:rsidRPr="00C71E9D" w:rsidRDefault="00865098" w:rsidP="009C5E3C">
            <w:pPr>
              <w:jc w:val="right"/>
              <w:rPr>
                <w:rFonts w:ascii="Calibri" w:eastAsia="Times New Roman" w:hAnsi="Calibri"/>
                <w:color w:val="000000"/>
                <w:sz w:val="20"/>
                <w:szCs w:val="22"/>
                <w:lang w:eastAsia="en-US"/>
              </w:rPr>
            </w:pPr>
            <w:r w:rsidRPr="00C71E9D">
              <w:rPr>
                <w:rFonts w:ascii="Calibri" w:eastAsia="Times New Roman" w:hAnsi="Calibri"/>
                <w:color w:val="000000"/>
                <w:sz w:val="20"/>
                <w:szCs w:val="22"/>
                <w:lang w:eastAsia="en-US"/>
              </w:rPr>
              <w:t>-0.1%</w:t>
            </w:r>
          </w:p>
        </w:tc>
        <w:tc>
          <w:tcPr>
            <w:tcW w:w="112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098" w:rsidRPr="003E7796" w:rsidRDefault="00865098"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-16.50</w:t>
            </w:r>
          </w:p>
        </w:tc>
        <w:tc>
          <w:tcPr>
            <w:tcW w:w="9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098" w:rsidRPr="00C71E9D" w:rsidRDefault="00865098" w:rsidP="009C5E3C">
            <w:pPr>
              <w:jc w:val="right"/>
              <w:rPr>
                <w:rFonts w:ascii="Calibri" w:eastAsia="Times New Roman" w:hAnsi="Calibri"/>
                <w:color w:val="000000"/>
                <w:sz w:val="20"/>
                <w:szCs w:val="22"/>
                <w:lang w:eastAsia="en-US"/>
              </w:rPr>
            </w:pPr>
            <w:r w:rsidRPr="00C71E9D">
              <w:rPr>
                <w:rFonts w:ascii="Calibri" w:eastAsia="Times New Roman" w:hAnsi="Calibri"/>
                <w:color w:val="000000"/>
                <w:sz w:val="20"/>
                <w:szCs w:val="22"/>
                <w:lang w:eastAsia="en-US"/>
              </w:rPr>
              <w:t>-0.1%</w:t>
            </w:r>
          </w:p>
        </w:tc>
        <w:tc>
          <w:tcPr>
            <w:tcW w:w="112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098" w:rsidRPr="003E7796" w:rsidRDefault="00865098"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-14.00</w:t>
            </w:r>
          </w:p>
        </w:tc>
        <w:tc>
          <w:tcPr>
            <w:tcW w:w="920" w:type="dxa"/>
            <w:tcBorders>
              <w:top w:val="single" w:sz="8" w:space="0" w:color="auto"/>
              <w:left w:val="single" w:sz="8" w:space="0" w:color="auto"/>
              <w:bottom w:val="single" w:sz="8" w:space="0" w:color="auto"/>
              <w:right w:val="nil"/>
            </w:tcBorders>
            <w:shd w:val="clear" w:color="auto" w:fill="auto"/>
            <w:vAlign w:val="center"/>
            <w:hideMark/>
          </w:tcPr>
          <w:p w:rsidR="00865098" w:rsidRPr="003E7796" w:rsidRDefault="00865098">
            <w:pPr>
              <w:jc w:val="right"/>
              <w:rPr>
                <w:rFonts w:ascii="Calibri" w:hAnsi="Calibri"/>
                <w:color w:val="000000"/>
                <w:sz w:val="20"/>
                <w:szCs w:val="20"/>
              </w:rPr>
            </w:pPr>
            <w:r w:rsidRPr="003E7796">
              <w:rPr>
                <w:rFonts w:ascii="Calibri" w:hAnsi="Calibri"/>
                <w:color w:val="000000"/>
                <w:sz w:val="20"/>
                <w:szCs w:val="20"/>
              </w:rPr>
              <w:t>-0.1%</w:t>
            </w:r>
          </w:p>
        </w:tc>
      </w:tr>
      <w:tr w:rsidR="00865098" w:rsidRPr="003E7796" w:rsidTr="00541063">
        <w:trPr>
          <w:trHeight w:val="300"/>
          <w:jc w:val="center"/>
        </w:trPr>
        <w:tc>
          <w:tcPr>
            <w:tcW w:w="2469" w:type="dxa"/>
            <w:tcBorders>
              <w:top w:val="single" w:sz="8" w:space="0" w:color="auto"/>
              <w:left w:val="nil"/>
              <w:bottom w:val="single" w:sz="8" w:space="0" w:color="auto"/>
              <w:right w:val="single" w:sz="8" w:space="0" w:color="auto"/>
            </w:tcBorders>
            <w:shd w:val="clear" w:color="auto" w:fill="auto"/>
            <w:vAlign w:val="center"/>
            <w:hideMark/>
          </w:tcPr>
          <w:p w:rsidR="00865098" w:rsidRPr="003E7796" w:rsidRDefault="00865098" w:rsidP="003E7796">
            <w:pPr>
              <w:ind w:firstLineChars="100" w:firstLine="200"/>
              <w:rPr>
                <w:rFonts w:ascii="Calibri" w:eastAsia="Times New Roman" w:hAnsi="Calibri"/>
                <w:bCs/>
                <w:color w:val="000000"/>
                <w:sz w:val="20"/>
                <w:szCs w:val="20"/>
                <w:lang w:eastAsia="en-US"/>
              </w:rPr>
            </w:pPr>
            <w:r w:rsidRPr="003E7796">
              <w:rPr>
                <w:rFonts w:ascii="Calibri" w:eastAsia="Times New Roman" w:hAnsi="Calibri"/>
                <w:bCs/>
                <w:color w:val="000000"/>
                <w:sz w:val="20"/>
                <w:szCs w:val="20"/>
                <w:lang w:eastAsia="en-US"/>
              </w:rPr>
              <w:t>Other expense, net</w:t>
            </w:r>
          </w:p>
        </w:tc>
        <w:tc>
          <w:tcPr>
            <w:tcW w:w="109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098" w:rsidRPr="003E7796" w:rsidRDefault="00865098"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7.00</w:t>
            </w:r>
          </w:p>
        </w:tc>
        <w:tc>
          <w:tcPr>
            <w:tcW w:w="875" w:type="dxa"/>
            <w:tcBorders>
              <w:top w:val="single" w:sz="8" w:space="0" w:color="auto"/>
              <w:left w:val="single" w:sz="8" w:space="0" w:color="auto"/>
              <w:bottom w:val="single" w:sz="8" w:space="0" w:color="auto"/>
              <w:right w:val="single" w:sz="8" w:space="0" w:color="auto"/>
            </w:tcBorders>
            <w:shd w:val="clear" w:color="auto" w:fill="auto"/>
            <w:hideMark/>
          </w:tcPr>
          <w:p w:rsidR="00865098" w:rsidRPr="00C71E9D" w:rsidRDefault="00865098" w:rsidP="009C5E3C">
            <w:pPr>
              <w:jc w:val="right"/>
              <w:rPr>
                <w:rFonts w:ascii="Calibri" w:eastAsia="Times New Roman" w:hAnsi="Calibri"/>
                <w:color w:val="000000"/>
                <w:sz w:val="20"/>
                <w:szCs w:val="22"/>
                <w:lang w:eastAsia="en-US"/>
              </w:rPr>
            </w:pPr>
            <w:r w:rsidRPr="00C71E9D">
              <w:rPr>
                <w:rFonts w:ascii="Calibri" w:eastAsia="Times New Roman" w:hAnsi="Calibri"/>
                <w:color w:val="000000"/>
                <w:sz w:val="20"/>
                <w:szCs w:val="22"/>
                <w:lang w:eastAsia="en-US"/>
              </w:rPr>
              <w:t>0.1%</w:t>
            </w:r>
          </w:p>
        </w:tc>
        <w:tc>
          <w:tcPr>
            <w:tcW w:w="112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098" w:rsidRPr="003E7796" w:rsidRDefault="00865098"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35.60</w:t>
            </w:r>
          </w:p>
        </w:tc>
        <w:tc>
          <w:tcPr>
            <w:tcW w:w="920" w:type="dxa"/>
            <w:tcBorders>
              <w:top w:val="single" w:sz="8" w:space="0" w:color="auto"/>
              <w:left w:val="single" w:sz="8" w:space="0" w:color="auto"/>
              <w:bottom w:val="single" w:sz="8" w:space="0" w:color="auto"/>
              <w:right w:val="single" w:sz="8" w:space="0" w:color="auto"/>
            </w:tcBorders>
            <w:shd w:val="clear" w:color="auto" w:fill="auto"/>
            <w:hideMark/>
          </w:tcPr>
          <w:p w:rsidR="00865098" w:rsidRPr="00C71E9D" w:rsidRDefault="00865098" w:rsidP="009C5E3C">
            <w:pPr>
              <w:jc w:val="right"/>
              <w:rPr>
                <w:rFonts w:ascii="Calibri" w:eastAsia="Times New Roman" w:hAnsi="Calibri"/>
                <w:color w:val="000000"/>
                <w:sz w:val="20"/>
                <w:szCs w:val="22"/>
                <w:lang w:eastAsia="en-US"/>
              </w:rPr>
            </w:pPr>
            <w:r w:rsidRPr="00C71E9D">
              <w:rPr>
                <w:rFonts w:ascii="Calibri" w:eastAsia="Times New Roman" w:hAnsi="Calibri"/>
                <w:color w:val="000000"/>
                <w:sz w:val="20"/>
                <w:szCs w:val="22"/>
                <w:lang w:eastAsia="en-US"/>
              </w:rPr>
              <w:t>0.3%</w:t>
            </w:r>
          </w:p>
        </w:tc>
        <w:tc>
          <w:tcPr>
            <w:tcW w:w="112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098" w:rsidRPr="003E7796" w:rsidRDefault="00865098"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54.60</w:t>
            </w:r>
          </w:p>
        </w:tc>
        <w:tc>
          <w:tcPr>
            <w:tcW w:w="920" w:type="dxa"/>
            <w:tcBorders>
              <w:top w:val="single" w:sz="8" w:space="0" w:color="auto"/>
              <w:left w:val="single" w:sz="8" w:space="0" w:color="auto"/>
              <w:bottom w:val="single" w:sz="8" w:space="0" w:color="auto"/>
              <w:right w:val="nil"/>
            </w:tcBorders>
            <w:shd w:val="clear" w:color="auto" w:fill="auto"/>
            <w:vAlign w:val="center"/>
            <w:hideMark/>
          </w:tcPr>
          <w:p w:rsidR="00865098" w:rsidRPr="003E7796" w:rsidRDefault="00865098">
            <w:pPr>
              <w:jc w:val="right"/>
              <w:rPr>
                <w:rFonts w:ascii="Calibri" w:hAnsi="Calibri"/>
                <w:color w:val="000000"/>
                <w:sz w:val="20"/>
                <w:szCs w:val="20"/>
              </w:rPr>
            </w:pPr>
            <w:r w:rsidRPr="003E7796">
              <w:rPr>
                <w:rFonts w:ascii="Calibri" w:hAnsi="Calibri"/>
                <w:color w:val="000000"/>
                <w:sz w:val="20"/>
                <w:szCs w:val="20"/>
              </w:rPr>
              <w:t>0.5%</w:t>
            </w:r>
          </w:p>
        </w:tc>
      </w:tr>
      <w:tr w:rsidR="00865098" w:rsidRPr="003E7796" w:rsidTr="00541063">
        <w:trPr>
          <w:trHeight w:val="300"/>
          <w:jc w:val="center"/>
        </w:trPr>
        <w:tc>
          <w:tcPr>
            <w:tcW w:w="2469" w:type="dxa"/>
            <w:tcBorders>
              <w:top w:val="single" w:sz="8" w:space="0" w:color="auto"/>
              <w:left w:val="nil"/>
              <w:bottom w:val="single" w:sz="8" w:space="0" w:color="auto"/>
              <w:right w:val="single" w:sz="8" w:space="0" w:color="auto"/>
            </w:tcBorders>
            <w:shd w:val="clear" w:color="auto" w:fill="auto"/>
            <w:vAlign w:val="center"/>
            <w:hideMark/>
          </w:tcPr>
          <w:p w:rsidR="00865098" w:rsidRPr="003E7796" w:rsidRDefault="00865098" w:rsidP="003E7796">
            <w:pPr>
              <w:ind w:firstLineChars="100" w:firstLine="200"/>
              <w:rPr>
                <w:rFonts w:ascii="Calibri" w:eastAsia="Times New Roman" w:hAnsi="Calibri"/>
                <w:bCs/>
                <w:color w:val="000000"/>
                <w:sz w:val="20"/>
                <w:szCs w:val="20"/>
                <w:lang w:eastAsia="en-US"/>
              </w:rPr>
            </w:pPr>
            <w:r w:rsidRPr="003E7796">
              <w:rPr>
                <w:rFonts w:ascii="Calibri" w:eastAsia="Times New Roman" w:hAnsi="Calibri"/>
                <w:bCs/>
                <w:color w:val="000000"/>
                <w:sz w:val="20"/>
                <w:szCs w:val="20"/>
                <w:lang w:eastAsia="en-US"/>
              </w:rPr>
              <w:t>Total other expenses</w:t>
            </w:r>
          </w:p>
        </w:tc>
        <w:tc>
          <w:tcPr>
            <w:tcW w:w="109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098" w:rsidRPr="003E7796" w:rsidRDefault="00865098"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96.20</w:t>
            </w:r>
          </w:p>
        </w:tc>
        <w:tc>
          <w:tcPr>
            <w:tcW w:w="87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098" w:rsidRPr="00C71E9D" w:rsidRDefault="00865098" w:rsidP="009C5E3C">
            <w:pPr>
              <w:jc w:val="right"/>
              <w:rPr>
                <w:rFonts w:ascii="Calibri" w:eastAsia="Times New Roman" w:hAnsi="Calibri"/>
                <w:color w:val="000000"/>
                <w:sz w:val="20"/>
                <w:szCs w:val="22"/>
                <w:lang w:eastAsia="en-US"/>
              </w:rPr>
            </w:pPr>
            <w:r w:rsidRPr="00C71E9D">
              <w:rPr>
                <w:rFonts w:ascii="Calibri" w:eastAsia="Times New Roman" w:hAnsi="Calibri"/>
                <w:color w:val="000000"/>
                <w:sz w:val="20"/>
                <w:szCs w:val="22"/>
                <w:lang w:eastAsia="en-US"/>
              </w:rPr>
              <w:t>0.9%</w:t>
            </w:r>
          </w:p>
        </w:tc>
        <w:tc>
          <w:tcPr>
            <w:tcW w:w="112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098" w:rsidRPr="003E7796" w:rsidRDefault="00865098"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112.00</w:t>
            </w:r>
          </w:p>
        </w:tc>
        <w:tc>
          <w:tcPr>
            <w:tcW w:w="9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098" w:rsidRPr="00C71E9D" w:rsidRDefault="00865098" w:rsidP="009C5E3C">
            <w:pPr>
              <w:jc w:val="right"/>
              <w:rPr>
                <w:rFonts w:ascii="Calibri" w:eastAsia="Times New Roman" w:hAnsi="Calibri"/>
                <w:color w:val="000000"/>
                <w:sz w:val="20"/>
                <w:szCs w:val="22"/>
                <w:lang w:eastAsia="en-US"/>
              </w:rPr>
            </w:pPr>
            <w:r w:rsidRPr="00C71E9D">
              <w:rPr>
                <w:rFonts w:ascii="Calibri" w:eastAsia="Times New Roman" w:hAnsi="Calibri"/>
                <w:color w:val="000000"/>
                <w:sz w:val="20"/>
                <w:szCs w:val="22"/>
                <w:lang w:eastAsia="en-US"/>
              </w:rPr>
              <w:t>1.0%</w:t>
            </w:r>
          </w:p>
        </w:tc>
        <w:tc>
          <w:tcPr>
            <w:tcW w:w="112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098" w:rsidRPr="003E7796" w:rsidRDefault="00865098"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127.70</w:t>
            </w:r>
          </w:p>
        </w:tc>
        <w:tc>
          <w:tcPr>
            <w:tcW w:w="920" w:type="dxa"/>
            <w:tcBorders>
              <w:top w:val="single" w:sz="8" w:space="0" w:color="auto"/>
              <w:left w:val="single" w:sz="8" w:space="0" w:color="auto"/>
              <w:bottom w:val="single" w:sz="8" w:space="0" w:color="auto"/>
              <w:right w:val="nil"/>
            </w:tcBorders>
            <w:shd w:val="clear" w:color="auto" w:fill="auto"/>
            <w:vAlign w:val="center"/>
            <w:hideMark/>
          </w:tcPr>
          <w:p w:rsidR="00865098" w:rsidRPr="003E7796" w:rsidRDefault="00865098">
            <w:pPr>
              <w:jc w:val="right"/>
              <w:rPr>
                <w:rFonts w:ascii="Calibri" w:hAnsi="Calibri"/>
                <w:color w:val="000000"/>
                <w:sz w:val="20"/>
                <w:szCs w:val="20"/>
              </w:rPr>
            </w:pPr>
            <w:r w:rsidRPr="003E7796">
              <w:rPr>
                <w:rFonts w:ascii="Calibri" w:hAnsi="Calibri"/>
                <w:color w:val="000000"/>
                <w:sz w:val="20"/>
                <w:szCs w:val="20"/>
              </w:rPr>
              <w:t>1.2%</w:t>
            </w:r>
          </w:p>
        </w:tc>
      </w:tr>
      <w:tr w:rsidR="00865098" w:rsidRPr="003E7796" w:rsidTr="00541063">
        <w:trPr>
          <w:trHeight w:val="504"/>
          <w:jc w:val="center"/>
        </w:trPr>
        <w:tc>
          <w:tcPr>
            <w:tcW w:w="2469" w:type="dxa"/>
            <w:tcBorders>
              <w:top w:val="single" w:sz="8" w:space="0" w:color="auto"/>
              <w:left w:val="nil"/>
              <w:bottom w:val="single" w:sz="8" w:space="0" w:color="auto"/>
              <w:right w:val="single" w:sz="8" w:space="0" w:color="auto"/>
            </w:tcBorders>
            <w:shd w:val="clear" w:color="auto" w:fill="FFFF66"/>
            <w:vAlign w:val="center"/>
            <w:hideMark/>
          </w:tcPr>
          <w:p w:rsidR="00865098" w:rsidRPr="003E7796" w:rsidRDefault="00865098" w:rsidP="003E7796">
            <w:pPr>
              <w:ind w:firstLineChars="100" w:firstLine="200"/>
              <w:rPr>
                <w:rFonts w:ascii="Calibri" w:eastAsia="Times New Roman" w:hAnsi="Calibri"/>
                <w:bCs/>
                <w:color w:val="000000"/>
                <w:sz w:val="20"/>
                <w:szCs w:val="20"/>
                <w:lang w:eastAsia="en-US"/>
              </w:rPr>
            </w:pPr>
            <w:r w:rsidRPr="003E7796">
              <w:rPr>
                <w:rFonts w:ascii="Calibri" w:eastAsia="Times New Roman" w:hAnsi="Calibri"/>
                <w:bCs/>
                <w:color w:val="000000"/>
                <w:sz w:val="20"/>
                <w:szCs w:val="20"/>
                <w:lang w:eastAsia="en-US"/>
              </w:rPr>
              <w:t>Income from cont</w:t>
            </w:r>
            <w:r w:rsidR="003B2F6B">
              <w:rPr>
                <w:rFonts w:ascii="Calibri" w:eastAsia="Times New Roman" w:hAnsi="Calibri"/>
                <w:bCs/>
                <w:color w:val="000000"/>
                <w:sz w:val="20"/>
                <w:szCs w:val="20"/>
                <w:lang w:eastAsia="en-US"/>
              </w:rPr>
              <w:t>’</w:t>
            </w:r>
            <w:r w:rsidRPr="003E7796">
              <w:rPr>
                <w:rFonts w:ascii="Calibri" w:eastAsia="Times New Roman" w:hAnsi="Calibri"/>
                <w:bCs/>
                <w:color w:val="000000"/>
                <w:sz w:val="20"/>
                <w:szCs w:val="20"/>
                <w:lang w:eastAsia="en-US"/>
              </w:rPr>
              <w:t>g operations, before taxes</w:t>
            </w:r>
          </w:p>
        </w:tc>
        <w:tc>
          <w:tcPr>
            <w:tcW w:w="1098"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865098" w:rsidRPr="003E7796" w:rsidRDefault="00865098"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218.60</w:t>
            </w:r>
          </w:p>
        </w:tc>
        <w:tc>
          <w:tcPr>
            <w:tcW w:w="875"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865098" w:rsidRPr="00C71E9D" w:rsidRDefault="00865098" w:rsidP="009C5E3C">
            <w:pPr>
              <w:jc w:val="right"/>
              <w:rPr>
                <w:rFonts w:ascii="Calibri" w:eastAsia="Times New Roman" w:hAnsi="Calibri"/>
                <w:color w:val="000000"/>
                <w:sz w:val="20"/>
                <w:szCs w:val="22"/>
                <w:lang w:eastAsia="en-US"/>
              </w:rPr>
            </w:pPr>
            <w:r w:rsidRPr="00C71E9D">
              <w:rPr>
                <w:rFonts w:ascii="Calibri" w:eastAsia="Times New Roman" w:hAnsi="Calibri"/>
                <w:color w:val="000000"/>
                <w:sz w:val="20"/>
                <w:szCs w:val="22"/>
                <w:lang w:eastAsia="en-US"/>
              </w:rPr>
              <w:t>2.1%</w:t>
            </w:r>
          </w:p>
        </w:tc>
        <w:tc>
          <w:tcPr>
            <w:tcW w:w="1128"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865098" w:rsidRPr="003E7796" w:rsidRDefault="00865098"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742.60</w:t>
            </w:r>
          </w:p>
        </w:tc>
        <w:tc>
          <w:tcPr>
            <w:tcW w:w="920"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865098" w:rsidRPr="00C71E9D" w:rsidRDefault="00865098" w:rsidP="009C5E3C">
            <w:pPr>
              <w:jc w:val="right"/>
              <w:rPr>
                <w:rFonts w:ascii="Calibri" w:eastAsia="Times New Roman" w:hAnsi="Calibri"/>
                <w:color w:val="000000"/>
                <w:sz w:val="20"/>
                <w:szCs w:val="22"/>
                <w:lang w:eastAsia="en-US"/>
              </w:rPr>
            </w:pPr>
            <w:r w:rsidRPr="00C71E9D">
              <w:rPr>
                <w:rFonts w:ascii="Calibri" w:eastAsia="Times New Roman" w:hAnsi="Calibri"/>
                <w:color w:val="000000"/>
                <w:sz w:val="20"/>
                <w:szCs w:val="22"/>
                <w:lang w:eastAsia="en-US"/>
              </w:rPr>
              <w:t>6.7%</w:t>
            </w:r>
          </w:p>
        </w:tc>
        <w:tc>
          <w:tcPr>
            <w:tcW w:w="1128"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865098" w:rsidRPr="003E7796" w:rsidRDefault="00865098"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945.40</w:t>
            </w:r>
          </w:p>
        </w:tc>
        <w:tc>
          <w:tcPr>
            <w:tcW w:w="920" w:type="dxa"/>
            <w:tcBorders>
              <w:top w:val="single" w:sz="8" w:space="0" w:color="auto"/>
              <w:left w:val="single" w:sz="8" w:space="0" w:color="auto"/>
              <w:bottom w:val="single" w:sz="8" w:space="0" w:color="auto"/>
              <w:right w:val="nil"/>
            </w:tcBorders>
            <w:shd w:val="clear" w:color="auto" w:fill="FFFF66"/>
            <w:vAlign w:val="center"/>
            <w:hideMark/>
          </w:tcPr>
          <w:p w:rsidR="00865098" w:rsidRPr="003E7796" w:rsidRDefault="00865098">
            <w:pPr>
              <w:jc w:val="right"/>
              <w:rPr>
                <w:rFonts w:ascii="Calibri" w:hAnsi="Calibri"/>
                <w:color w:val="000000"/>
                <w:sz w:val="20"/>
                <w:szCs w:val="20"/>
              </w:rPr>
            </w:pPr>
            <w:r w:rsidRPr="003E7796">
              <w:rPr>
                <w:rFonts w:ascii="Calibri" w:hAnsi="Calibri"/>
                <w:color w:val="000000"/>
                <w:sz w:val="20"/>
                <w:szCs w:val="20"/>
              </w:rPr>
              <w:t>8.8%</w:t>
            </w:r>
          </w:p>
        </w:tc>
      </w:tr>
      <w:tr w:rsidR="00865098" w:rsidRPr="003E7796" w:rsidTr="00541063">
        <w:trPr>
          <w:trHeight w:val="300"/>
          <w:jc w:val="center"/>
        </w:trPr>
        <w:tc>
          <w:tcPr>
            <w:tcW w:w="2469" w:type="dxa"/>
            <w:tcBorders>
              <w:top w:val="single" w:sz="8" w:space="0" w:color="auto"/>
              <w:left w:val="nil"/>
              <w:bottom w:val="single" w:sz="8" w:space="0" w:color="auto"/>
              <w:right w:val="single" w:sz="8" w:space="0" w:color="auto"/>
            </w:tcBorders>
            <w:shd w:val="clear" w:color="auto" w:fill="auto"/>
            <w:vAlign w:val="center"/>
            <w:hideMark/>
          </w:tcPr>
          <w:p w:rsidR="00865098" w:rsidRPr="003E7796" w:rsidRDefault="00865098" w:rsidP="003E7796">
            <w:pPr>
              <w:ind w:firstLineChars="100" w:firstLine="200"/>
              <w:rPr>
                <w:rFonts w:ascii="Calibri" w:eastAsia="Times New Roman" w:hAnsi="Calibri"/>
                <w:bCs/>
                <w:color w:val="000000"/>
                <w:sz w:val="20"/>
                <w:szCs w:val="20"/>
                <w:lang w:eastAsia="en-US"/>
              </w:rPr>
            </w:pPr>
            <w:r w:rsidRPr="003E7796">
              <w:rPr>
                <w:rFonts w:ascii="Calibri" w:eastAsia="Times New Roman" w:hAnsi="Calibri"/>
                <w:bCs/>
                <w:color w:val="000000"/>
                <w:sz w:val="20"/>
                <w:szCs w:val="20"/>
                <w:lang w:eastAsia="en-US"/>
              </w:rPr>
              <w:t>Income taxes</w:t>
            </w:r>
          </w:p>
        </w:tc>
        <w:tc>
          <w:tcPr>
            <w:tcW w:w="109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098" w:rsidRPr="003E7796" w:rsidRDefault="00865098"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256.80</w:t>
            </w:r>
          </w:p>
        </w:tc>
        <w:tc>
          <w:tcPr>
            <w:tcW w:w="87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098" w:rsidRPr="00C71E9D" w:rsidRDefault="00865098" w:rsidP="009C5E3C">
            <w:pPr>
              <w:jc w:val="right"/>
              <w:rPr>
                <w:rFonts w:ascii="Calibri" w:eastAsia="Times New Roman" w:hAnsi="Calibri"/>
                <w:color w:val="000000"/>
                <w:sz w:val="20"/>
                <w:szCs w:val="22"/>
                <w:lang w:eastAsia="en-US"/>
              </w:rPr>
            </w:pPr>
            <w:r w:rsidRPr="00C71E9D">
              <w:rPr>
                <w:rFonts w:ascii="Calibri" w:eastAsia="Times New Roman" w:hAnsi="Calibri"/>
                <w:color w:val="000000"/>
                <w:sz w:val="20"/>
                <w:szCs w:val="22"/>
                <w:lang w:eastAsia="en-US"/>
              </w:rPr>
              <w:t>2.4%</w:t>
            </w:r>
          </w:p>
        </w:tc>
        <w:tc>
          <w:tcPr>
            <w:tcW w:w="112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098" w:rsidRPr="003E7796" w:rsidRDefault="00865098"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216.20</w:t>
            </w:r>
          </w:p>
        </w:tc>
        <w:tc>
          <w:tcPr>
            <w:tcW w:w="9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098" w:rsidRPr="00C71E9D" w:rsidRDefault="00865098" w:rsidP="009C5E3C">
            <w:pPr>
              <w:jc w:val="right"/>
              <w:rPr>
                <w:rFonts w:ascii="Calibri" w:eastAsia="Times New Roman" w:hAnsi="Calibri"/>
                <w:color w:val="000000"/>
                <w:sz w:val="20"/>
                <w:szCs w:val="22"/>
                <w:lang w:eastAsia="en-US"/>
              </w:rPr>
            </w:pPr>
            <w:r w:rsidRPr="00C71E9D">
              <w:rPr>
                <w:rFonts w:ascii="Calibri" w:eastAsia="Times New Roman" w:hAnsi="Calibri"/>
                <w:color w:val="000000"/>
                <w:sz w:val="20"/>
                <w:szCs w:val="22"/>
                <w:lang w:eastAsia="en-US"/>
              </w:rPr>
              <w:t>1.9%</w:t>
            </w:r>
          </w:p>
        </w:tc>
        <w:tc>
          <w:tcPr>
            <w:tcW w:w="112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098" w:rsidRPr="003E7796" w:rsidRDefault="00865098"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350.20</w:t>
            </w:r>
          </w:p>
        </w:tc>
        <w:tc>
          <w:tcPr>
            <w:tcW w:w="920" w:type="dxa"/>
            <w:tcBorders>
              <w:top w:val="single" w:sz="8" w:space="0" w:color="auto"/>
              <w:left w:val="single" w:sz="8" w:space="0" w:color="auto"/>
              <w:bottom w:val="single" w:sz="8" w:space="0" w:color="auto"/>
              <w:right w:val="nil"/>
            </w:tcBorders>
            <w:shd w:val="clear" w:color="auto" w:fill="auto"/>
            <w:vAlign w:val="center"/>
            <w:hideMark/>
          </w:tcPr>
          <w:p w:rsidR="00865098" w:rsidRPr="003E7796" w:rsidRDefault="00865098">
            <w:pPr>
              <w:jc w:val="right"/>
              <w:rPr>
                <w:rFonts w:ascii="Calibri" w:hAnsi="Calibri"/>
                <w:color w:val="000000"/>
                <w:sz w:val="20"/>
                <w:szCs w:val="20"/>
              </w:rPr>
            </w:pPr>
            <w:r w:rsidRPr="003E7796">
              <w:rPr>
                <w:rFonts w:ascii="Calibri" w:hAnsi="Calibri"/>
                <w:color w:val="000000"/>
                <w:sz w:val="20"/>
                <w:szCs w:val="20"/>
              </w:rPr>
              <w:t>3.3%</w:t>
            </w:r>
          </w:p>
        </w:tc>
      </w:tr>
      <w:tr w:rsidR="00865098" w:rsidRPr="003E7796" w:rsidTr="00541063">
        <w:trPr>
          <w:trHeight w:val="504"/>
          <w:jc w:val="center"/>
        </w:trPr>
        <w:tc>
          <w:tcPr>
            <w:tcW w:w="2469" w:type="dxa"/>
            <w:tcBorders>
              <w:top w:val="single" w:sz="8" w:space="0" w:color="auto"/>
              <w:left w:val="nil"/>
              <w:bottom w:val="single" w:sz="8" w:space="0" w:color="auto"/>
              <w:right w:val="single" w:sz="8" w:space="0" w:color="auto"/>
            </w:tcBorders>
            <w:shd w:val="clear" w:color="auto" w:fill="FFFF66"/>
            <w:vAlign w:val="center"/>
            <w:hideMark/>
          </w:tcPr>
          <w:p w:rsidR="00865098" w:rsidRPr="003E7796" w:rsidRDefault="00865098" w:rsidP="00826092">
            <w:pPr>
              <w:rPr>
                <w:rFonts w:ascii="Calibri" w:eastAsia="Times New Roman" w:hAnsi="Calibri"/>
                <w:bCs/>
                <w:color w:val="000000"/>
                <w:sz w:val="20"/>
                <w:szCs w:val="20"/>
                <w:lang w:eastAsia="en-US"/>
              </w:rPr>
            </w:pPr>
            <w:r w:rsidRPr="003E7796">
              <w:rPr>
                <w:rFonts w:ascii="Calibri" w:eastAsia="Times New Roman" w:hAnsi="Calibri"/>
                <w:bCs/>
                <w:color w:val="000000"/>
                <w:sz w:val="20"/>
                <w:szCs w:val="20"/>
                <w:lang w:eastAsia="en-US"/>
              </w:rPr>
              <w:t>(Loss) income from cont</w:t>
            </w:r>
            <w:r w:rsidR="003B2F6B">
              <w:rPr>
                <w:rFonts w:ascii="Calibri" w:eastAsia="Times New Roman" w:hAnsi="Calibri"/>
                <w:bCs/>
                <w:color w:val="000000"/>
                <w:sz w:val="20"/>
                <w:szCs w:val="20"/>
                <w:lang w:eastAsia="en-US"/>
              </w:rPr>
              <w:t>’</w:t>
            </w:r>
            <w:r w:rsidRPr="003E7796">
              <w:rPr>
                <w:rFonts w:ascii="Calibri" w:eastAsia="Times New Roman" w:hAnsi="Calibri"/>
                <w:bCs/>
                <w:color w:val="000000"/>
                <w:sz w:val="20"/>
                <w:szCs w:val="20"/>
                <w:lang w:eastAsia="en-US"/>
              </w:rPr>
              <w:t>g operations, net of tax</w:t>
            </w:r>
          </w:p>
        </w:tc>
        <w:tc>
          <w:tcPr>
            <w:tcW w:w="1098"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865098" w:rsidRPr="003E7796" w:rsidRDefault="00865098"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-38.20</w:t>
            </w:r>
          </w:p>
        </w:tc>
        <w:tc>
          <w:tcPr>
            <w:tcW w:w="875"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865098" w:rsidRPr="00C71E9D" w:rsidRDefault="00865098" w:rsidP="009C5E3C">
            <w:pPr>
              <w:jc w:val="right"/>
              <w:rPr>
                <w:rFonts w:ascii="Calibri" w:eastAsia="Times New Roman" w:hAnsi="Calibri"/>
                <w:color w:val="000000"/>
                <w:sz w:val="20"/>
                <w:szCs w:val="22"/>
                <w:lang w:eastAsia="en-US"/>
              </w:rPr>
            </w:pPr>
            <w:r w:rsidRPr="00C71E9D">
              <w:rPr>
                <w:rFonts w:ascii="Calibri" w:eastAsia="Times New Roman" w:hAnsi="Calibri"/>
                <w:color w:val="000000"/>
                <w:sz w:val="20"/>
                <w:szCs w:val="22"/>
                <w:lang w:eastAsia="en-US"/>
              </w:rPr>
              <w:t>-0.4%</w:t>
            </w:r>
          </w:p>
        </w:tc>
        <w:tc>
          <w:tcPr>
            <w:tcW w:w="1128"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865098" w:rsidRPr="003E7796" w:rsidRDefault="00865098"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526.40</w:t>
            </w:r>
          </w:p>
        </w:tc>
        <w:tc>
          <w:tcPr>
            <w:tcW w:w="920"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865098" w:rsidRPr="00C71E9D" w:rsidRDefault="00865098" w:rsidP="009C5E3C">
            <w:pPr>
              <w:jc w:val="right"/>
              <w:rPr>
                <w:rFonts w:ascii="Calibri" w:eastAsia="Times New Roman" w:hAnsi="Calibri"/>
                <w:color w:val="000000"/>
                <w:sz w:val="20"/>
                <w:szCs w:val="22"/>
                <w:lang w:eastAsia="en-US"/>
              </w:rPr>
            </w:pPr>
            <w:r w:rsidRPr="00C71E9D">
              <w:rPr>
                <w:rFonts w:ascii="Calibri" w:eastAsia="Times New Roman" w:hAnsi="Calibri"/>
                <w:color w:val="000000"/>
                <w:sz w:val="20"/>
                <w:szCs w:val="22"/>
                <w:lang w:eastAsia="en-US"/>
              </w:rPr>
              <w:t>4.7%</w:t>
            </w:r>
          </w:p>
        </w:tc>
        <w:tc>
          <w:tcPr>
            <w:tcW w:w="1128"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865098" w:rsidRPr="003E7796" w:rsidRDefault="00865098"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595.20</w:t>
            </w:r>
          </w:p>
        </w:tc>
        <w:tc>
          <w:tcPr>
            <w:tcW w:w="920" w:type="dxa"/>
            <w:tcBorders>
              <w:top w:val="single" w:sz="8" w:space="0" w:color="auto"/>
              <w:left w:val="single" w:sz="8" w:space="0" w:color="auto"/>
              <w:bottom w:val="single" w:sz="8" w:space="0" w:color="auto"/>
              <w:right w:val="nil"/>
            </w:tcBorders>
            <w:shd w:val="clear" w:color="auto" w:fill="FFFF66"/>
            <w:vAlign w:val="center"/>
            <w:hideMark/>
          </w:tcPr>
          <w:p w:rsidR="00865098" w:rsidRPr="003E7796" w:rsidRDefault="00865098">
            <w:pPr>
              <w:jc w:val="right"/>
              <w:rPr>
                <w:rFonts w:ascii="Calibri" w:hAnsi="Calibri"/>
                <w:color w:val="000000"/>
                <w:sz w:val="20"/>
                <w:szCs w:val="20"/>
              </w:rPr>
            </w:pPr>
            <w:r w:rsidRPr="003E7796">
              <w:rPr>
                <w:rFonts w:ascii="Calibri" w:hAnsi="Calibri"/>
                <w:color w:val="000000"/>
                <w:sz w:val="20"/>
                <w:szCs w:val="20"/>
              </w:rPr>
              <w:t>5.5%</w:t>
            </w:r>
          </w:p>
        </w:tc>
      </w:tr>
      <w:tr w:rsidR="00865098" w:rsidRPr="003E7796" w:rsidTr="00541063">
        <w:trPr>
          <w:trHeight w:val="510"/>
          <w:jc w:val="center"/>
        </w:trPr>
        <w:tc>
          <w:tcPr>
            <w:tcW w:w="2469" w:type="dxa"/>
            <w:tcBorders>
              <w:top w:val="single" w:sz="8" w:space="0" w:color="auto"/>
              <w:left w:val="nil"/>
              <w:bottom w:val="single" w:sz="8" w:space="0" w:color="auto"/>
              <w:right w:val="single" w:sz="8" w:space="0" w:color="auto"/>
            </w:tcBorders>
            <w:shd w:val="clear" w:color="auto" w:fill="auto"/>
            <w:vAlign w:val="center"/>
            <w:hideMark/>
          </w:tcPr>
          <w:p w:rsidR="00865098" w:rsidRPr="003E7796" w:rsidRDefault="00865098" w:rsidP="003E7796">
            <w:pPr>
              <w:ind w:firstLineChars="100" w:firstLine="200"/>
              <w:rPr>
                <w:rFonts w:ascii="Calibri" w:eastAsia="Times New Roman" w:hAnsi="Calibri"/>
                <w:bCs/>
                <w:color w:val="000000"/>
                <w:sz w:val="20"/>
                <w:szCs w:val="20"/>
                <w:lang w:eastAsia="en-US"/>
              </w:rPr>
            </w:pPr>
            <w:r w:rsidRPr="003E7796">
              <w:rPr>
                <w:rFonts w:ascii="Calibri" w:eastAsia="Times New Roman" w:hAnsi="Calibri"/>
                <w:bCs/>
                <w:color w:val="000000"/>
                <w:sz w:val="20"/>
                <w:szCs w:val="20"/>
                <w:lang w:eastAsia="en-US"/>
              </w:rPr>
              <w:t>Discontinued operations, net of tax</w:t>
            </w:r>
          </w:p>
        </w:tc>
        <w:tc>
          <w:tcPr>
            <w:tcW w:w="109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098" w:rsidRPr="003E7796" w:rsidRDefault="00865098"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0</w:t>
            </w:r>
          </w:p>
        </w:tc>
        <w:tc>
          <w:tcPr>
            <w:tcW w:w="87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098" w:rsidRPr="00C71E9D" w:rsidRDefault="00865098" w:rsidP="009C5E3C">
            <w:pPr>
              <w:jc w:val="right"/>
              <w:rPr>
                <w:rFonts w:ascii="Calibri" w:eastAsia="Times New Roman" w:hAnsi="Calibri"/>
                <w:color w:val="000000"/>
                <w:sz w:val="20"/>
                <w:szCs w:val="22"/>
                <w:lang w:eastAsia="en-US"/>
              </w:rPr>
            </w:pPr>
            <w:r w:rsidRPr="00C71E9D">
              <w:rPr>
                <w:rFonts w:ascii="Calibri" w:eastAsia="Times New Roman" w:hAnsi="Calibri"/>
                <w:color w:val="000000"/>
                <w:sz w:val="20"/>
                <w:szCs w:val="22"/>
                <w:lang w:eastAsia="en-US"/>
              </w:rPr>
              <w:t>0.0%</w:t>
            </w:r>
          </w:p>
        </w:tc>
        <w:tc>
          <w:tcPr>
            <w:tcW w:w="112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098" w:rsidRPr="003E7796" w:rsidRDefault="00865098"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-8.60</w:t>
            </w:r>
          </w:p>
        </w:tc>
        <w:tc>
          <w:tcPr>
            <w:tcW w:w="9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098" w:rsidRPr="00C71E9D" w:rsidRDefault="00865098" w:rsidP="009C5E3C">
            <w:pPr>
              <w:jc w:val="right"/>
              <w:rPr>
                <w:rFonts w:ascii="Calibri" w:eastAsia="Times New Roman" w:hAnsi="Calibri"/>
                <w:color w:val="000000"/>
                <w:sz w:val="20"/>
                <w:szCs w:val="22"/>
                <w:lang w:eastAsia="en-US"/>
              </w:rPr>
            </w:pPr>
            <w:r w:rsidRPr="00C71E9D">
              <w:rPr>
                <w:rFonts w:ascii="Calibri" w:eastAsia="Times New Roman" w:hAnsi="Calibri"/>
                <w:color w:val="000000"/>
                <w:sz w:val="20"/>
                <w:szCs w:val="22"/>
                <w:lang w:eastAsia="en-US"/>
              </w:rPr>
              <w:t>-0.1%</w:t>
            </w:r>
          </w:p>
        </w:tc>
        <w:tc>
          <w:tcPr>
            <w:tcW w:w="112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098" w:rsidRPr="003E7796" w:rsidRDefault="00865098"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14.10</w:t>
            </w:r>
          </w:p>
        </w:tc>
        <w:tc>
          <w:tcPr>
            <w:tcW w:w="920" w:type="dxa"/>
            <w:tcBorders>
              <w:top w:val="single" w:sz="8" w:space="0" w:color="auto"/>
              <w:left w:val="single" w:sz="8" w:space="0" w:color="auto"/>
              <w:bottom w:val="single" w:sz="8" w:space="0" w:color="auto"/>
              <w:right w:val="nil"/>
            </w:tcBorders>
            <w:shd w:val="clear" w:color="auto" w:fill="auto"/>
            <w:vAlign w:val="center"/>
            <w:hideMark/>
          </w:tcPr>
          <w:p w:rsidR="00865098" w:rsidRPr="003E7796" w:rsidRDefault="00865098">
            <w:pPr>
              <w:rPr>
                <w:rFonts w:ascii="Calibri" w:hAnsi="Calibri"/>
                <w:color w:val="000000"/>
                <w:sz w:val="20"/>
                <w:szCs w:val="20"/>
              </w:rPr>
            </w:pPr>
          </w:p>
        </w:tc>
      </w:tr>
      <w:tr w:rsidR="00865098" w:rsidRPr="003E7796" w:rsidTr="00541063">
        <w:trPr>
          <w:trHeight w:val="300"/>
          <w:jc w:val="center"/>
        </w:trPr>
        <w:tc>
          <w:tcPr>
            <w:tcW w:w="2469" w:type="dxa"/>
            <w:tcBorders>
              <w:top w:val="single" w:sz="8" w:space="0" w:color="auto"/>
              <w:left w:val="nil"/>
              <w:bottom w:val="single" w:sz="8" w:space="0" w:color="auto"/>
              <w:right w:val="single" w:sz="8" w:space="0" w:color="auto"/>
            </w:tcBorders>
            <w:shd w:val="clear" w:color="auto" w:fill="FFFF66"/>
            <w:vAlign w:val="center"/>
            <w:hideMark/>
          </w:tcPr>
          <w:p w:rsidR="00865098" w:rsidRPr="003E7796" w:rsidRDefault="00865098" w:rsidP="009C5E3C">
            <w:pPr>
              <w:rPr>
                <w:rFonts w:ascii="Calibri" w:eastAsia="Times New Roman" w:hAnsi="Calibri"/>
                <w:bCs/>
                <w:color w:val="000000"/>
                <w:sz w:val="20"/>
                <w:szCs w:val="20"/>
                <w:lang w:eastAsia="en-US"/>
              </w:rPr>
            </w:pPr>
            <w:r w:rsidRPr="003E7796">
              <w:rPr>
                <w:rFonts w:ascii="Calibri" w:eastAsia="Times New Roman" w:hAnsi="Calibri"/>
                <w:bCs/>
                <w:color w:val="000000"/>
                <w:sz w:val="20"/>
                <w:szCs w:val="20"/>
                <w:lang w:eastAsia="en-US"/>
              </w:rPr>
              <w:t>Net (loss) income</w:t>
            </w:r>
          </w:p>
        </w:tc>
        <w:tc>
          <w:tcPr>
            <w:tcW w:w="1098"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865098" w:rsidRPr="003E7796" w:rsidRDefault="00865098"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-38.20</w:t>
            </w:r>
          </w:p>
        </w:tc>
        <w:tc>
          <w:tcPr>
            <w:tcW w:w="875"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865098" w:rsidRPr="00C71E9D" w:rsidRDefault="00865098" w:rsidP="009C5E3C">
            <w:pPr>
              <w:jc w:val="right"/>
              <w:rPr>
                <w:rFonts w:ascii="Calibri" w:eastAsia="Times New Roman" w:hAnsi="Calibri"/>
                <w:color w:val="000000"/>
                <w:sz w:val="20"/>
                <w:szCs w:val="22"/>
                <w:lang w:eastAsia="en-US"/>
              </w:rPr>
            </w:pPr>
            <w:r w:rsidRPr="00C71E9D">
              <w:rPr>
                <w:rFonts w:ascii="Calibri" w:eastAsia="Times New Roman" w:hAnsi="Calibri"/>
                <w:color w:val="000000"/>
                <w:sz w:val="20"/>
                <w:szCs w:val="22"/>
                <w:lang w:eastAsia="en-US"/>
              </w:rPr>
              <w:t>-0.4%</w:t>
            </w:r>
          </w:p>
        </w:tc>
        <w:tc>
          <w:tcPr>
            <w:tcW w:w="1128"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865098" w:rsidRPr="003E7796" w:rsidRDefault="00865098"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517.80</w:t>
            </w:r>
          </w:p>
        </w:tc>
        <w:tc>
          <w:tcPr>
            <w:tcW w:w="920"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865098" w:rsidRPr="00C71E9D" w:rsidRDefault="00865098" w:rsidP="009C5E3C">
            <w:pPr>
              <w:jc w:val="right"/>
              <w:rPr>
                <w:rFonts w:ascii="Calibri" w:eastAsia="Times New Roman" w:hAnsi="Calibri"/>
                <w:color w:val="000000"/>
                <w:sz w:val="20"/>
                <w:szCs w:val="22"/>
                <w:lang w:eastAsia="en-US"/>
              </w:rPr>
            </w:pPr>
            <w:r w:rsidRPr="00C71E9D">
              <w:rPr>
                <w:rFonts w:ascii="Calibri" w:eastAsia="Times New Roman" w:hAnsi="Calibri"/>
                <w:color w:val="000000"/>
                <w:sz w:val="20"/>
                <w:szCs w:val="22"/>
                <w:lang w:eastAsia="en-US"/>
              </w:rPr>
              <w:t>4.7%</w:t>
            </w:r>
          </w:p>
        </w:tc>
        <w:tc>
          <w:tcPr>
            <w:tcW w:w="1128"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865098" w:rsidRPr="003E7796" w:rsidRDefault="00865098"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609.30</w:t>
            </w:r>
          </w:p>
        </w:tc>
        <w:tc>
          <w:tcPr>
            <w:tcW w:w="920" w:type="dxa"/>
            <w:tcBorders>
              <w:top w:val="single" w:sz="8" w:space="0" w:color="auto"/>
              <w:left w:val="single" w:sz="8" w:space="0" w:color="auto"/>
              <w:bottom w:val="single" w:sz="8" w:space="0" w:color="auto"/>
              <w:right w:val="nil"/>
            </w:tcBorders>
            <w:shd w:val="clear" w:color="auto" w:fill="FFFF66"/>
            <w:vAlign w:val="center"/>
            <w:hideMark/>
          </w:tcPr>
          <w:p w:rsidR="00865098" w:rsidRPr="003E7796" w:rsidRDefault="00865098">
            <w:pPr>
              <w:jc w:val="right"/>
              <w:rPr>
                <w:rFonts w:ascii="Calibri" w:hAnsi="Calibri"/>
                <w:color w:val="000000"/>
                <w:sz w:val="20"/>
                <w:szCs w:val="20"/>
              </w:rPr>
            </w:pPr>
            <w:r w:rsidRPr="003E7796">
              <w:rPr>
                <w:rFonts w:ascii="Calibri" w:hAnsi="Calibri"/>
                <w:color w:val="000000"/>
                <w:sz w:val="20"/>
                <w:szCs w:val="20"/>
              </w:rPr>
              <w:t>0.1%</w:t>
            </w:r>
          </w:p>
        </w:tc>
      </w:tr>
      <w:tr w:rsidR="00865098" w:rsidRPr="003E7796" w:rsidTr="00C71E9D">
        <w:trPr>
          <w:trHeight w:val="504"/>
          <w:jc w:val="center"/>
        </w:trPr>
        <w:tc>
          <w:tcPr>
            <w:tcW w:w="2469" w:type="dxa"/>
            <w:tcBorders>
              <w:top w:val="single" w:sz="8" w:space="0" w:color="auto"/>
              <w:left w:val="nil"/>
              <w:bottom w:val="single" w:sz="8" w:space="0" w:color="auto"/>
              <w:right w:val="single" w:sz="8" w:space="0" w:color="auto"/>
            </w:tcBorders>
            <w:shd w:val="clear" w:color="auto" w:fill="auto"/>
            <w:vAlign w:val="center"/>
            <w:hideMark/>
          </w:tcPr>
          <w:p w:rsidR="00865098" w:rsidRPr="003E7796" w:rsidRDefault="00865098" w:rsidP="00826092">
            <w:pPr>
              <w:rPr>
                <w:rFonts w:ascii="Calibri" w:eastAsia="Times New Roman" w:hAnsi="Calibri"/>
                <w:bCs/>
                <w:color w:val="000000"/>
                <w:sz w:val="20"/>
                <w:szCs w:val="20"/>
                <w:lang w:eastAsia="en-US"/>
              </w:rPr>
            </w:pPr>
            <w:r w:rsidRPr="003E7796">
              <w:rPr>
                <w:rFonts w:ascii="Calibri" w:eastAsia="Times New Roman" w:hAnsi="Calibri"/>
                <w:bCs/>
                <w:color w:val="000000"/>
                <w:sz w:val="20"/>
                <w:szCs w:val="20"/>
                <w:lang w:eastAsia="en-US"/>
              </w:rPr>
              <w:t>Net income from noncontrolling interests</w:t>
            </w:r>
          </w:p>
        </w:tc>
        <w:tc>
          <w:tcPr>
            <w:tcW w:w="109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098" w:rsidRPr="003E7796" w:rsidRDefault="00865098"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-4.30</w:t>
            </w:r>
          </w:p>
        </w:tc>
        <w:tc>
          <w:tcPr>
            <w:tcW w:w="87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098" w:rsidRPr="00C71E9D" w:rsidRDefault="00865098" w:rsidP="009C5E3C">
            <w:pPr>
              <w:jc w:val="right"/>
              <w:rPr>
                <w:rFonts w:ascii="Calibri" w:eastAsia="Times New Roman" w:hAnsi="Calibri"/>
                <w:color w:val="000000"/>
                <w:sz w:val="20"/>
                <w:szCs w:val="22"/>
                <w:lang w:eastAsia="en-US"/>
              </w:rPr>
            </w:pPr>
            <w:r w:rsidRPr="00C71E9D">
              <w:rPr>
                <w:rFonts w:ascii="Calibri" w:eastAsia="Times New Roman" w:hAnsi="Calibri"/>
                <w:color w:val="000000"/>
                <w:sz w:val="20"/>
                <w:szCs w:val="22"/>
                <w:lang w:eastAsia="en-US"/>
              </w:rPr>
              <w:t>0.0%</w:t>
            </w:r>
          </w:p>
        </w:tc>
        <w:tc>
          <w:tcPr>
            <w:tcW w:w="112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098" w:rsidRPr="003E7796" w:rsidRDefault="00865098"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-4.20</w:t>
            </w:r>
          </w:p>
        </w:tc>
        <w:tc>
          <w:tcPr>
            <w:tcW w:w="9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098" w:rsidRPr="00C71E9D" w:rsidRDefault="00865098" w:rsidP="009C5E3C">
            <w:pPr>
              <w:jc w:val="right"/>
              <w:rPr>
                <w:rFonts w:ascii="Calibri" w:eastAsia="Times New Roman" w:hAnsi="Calibri"/>
                <w:color w:val="000000"/>
                <w:sz w:val="20"/>
                <w:szCs w:val="22"/>
                <w:lang w:eastAsia="en-US"/>
              </w:rPr>
            </w:pPr>
            <w:r w:rsidRPr="00C71E9D">
              <w:rPr>
                <w:rFonts w:ascii="Calibri" w:eastAsia="Times New Roman" w:hAnsi="Calibri"/>
                <w:color w:val="000000"/>
                <w:sz w:val="20"/>
                <w:szCs w:val="22"/>
                <w:lang w:eastAsia="en-US"/>
              </w:rPr>
              <w:t>0.0%</w:t>
            </w:r>
          </w:p>
        </w:tc>
        <w:tc>
          <w:tcPr>
            <w:tcW w:w="112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865098" w:rsidRPr="003E7796" w:rsidRDefault="00865098"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-3.00</w:t>
            </w:r>
          </w:p>
        </w:tc>
        <w:tc>
          <w:tcPr>
            <w:tcW w:w="920" w:type="dxa"/>
            <w:tcBorders>
              <w:top w:val="single" w:sz="8" w:space="0" w:color="auto"/>
              <w:left w:val="single" w:sz="8" w:space="0" w:color="auto"/>
              <w:bottom w:val="single" w:sz="8" w:space="0" w:color="auto"/>
              <w:right w:val="nil"/>
            </w:tcBorders>
            <w:shd w:val="clear" w:color="auto" w:fill="auto"/>
            <w:vAlign w:val="center"/>
            <w:hideMark/>
          </w:tcPr>
          <w:p w:rsidR="00865098" w:rsidRPr="003E7796" w:rsidRDefault="00865098">
            <w:pPr>
              <w:jc w:val="right"/>
              <w:rPr>
                <w:rFonts w:ascii="Calibri" w:hAnsi="Calibri"/>
                <w:color w:val="000000"/>
                <w:sz w:val="20"/>
                <w:szCs w:val="20"/>
              </w:rPr>
            </w:pPr>
            <w:r w:rsidRPr="003E7796">
              <w:rPr>
                <w:rFonts w:ascii="Calibri" w:hAnsi="Calibri"/>
                <w:color w:val="000000"/>
                <w:sz w:val="20"/>
                <w:szCs w:val="20"/>
              </w:rPr>
              <w:t>5.7%</w:t>
            </w:r>
          </w:p>
        </w:tc>
      </w:tr>
      <w:tr w:rsidR="00865098" w:rsidRPr="003E7796" w:rsidTr="00C71E9D">
        <w:trPr>
          <w:trHeight w:val="504"/>
          <w:jc w:val="center"/>
        </w:trPr>
        <w:tc>
          <w:tcPr>
            <w:tcW w:w="2469" w:type="dxa"/>
            <w:tcBorders>
              <w:top w:val="single" w:sz="8" w:space="0" w:color="auto"/>
              <w:left w:val="nil"/>
              <w:bottom w:val="double" w:sz="4" w:space="0" w:color="auto"/>
              <w:right w:val="single" w:sz="8" w:space="0" w:color="auto"/>
            </w:tcBorders>
            <w:shd w:val="clear" w:color="auto" w:fill="FFFF66"/>
            <w:vAlign w:val="center"/>
            <w:hideMark/>
          </w:tcPr>
          <w:p w:rsidR="00865098" w:rsidRPr="003E7796" w:rsidRDefault="00865098" w:rsidP="009C5E3C">
            <w:pPr>
              <w:rPr>
                <w:rFonts w:ascii="Calibri" w:eastAsia="Times New Roman" w:hAnsi="Calibri"/>
                <w:bCs/>
                <w:color w:val="000000"/>
                <w:sz w:val="20"/>
                <w:szCs w:val="20"/>
                <w:lang w:eastAsia="en-US"/>
              </w:rPr>
            </w:pPr>
            <w:r w:rsidRPr="003E7796">
              <w:rPr>
                <w:rFonts w:ascii="Calibri" w:eastAsia="Times New Roman" w:hAnsi="Calibri"/>
                <w:bCs/>
                <w:color w:val="000000"/>
                <w:sz w:val="20"/>
                <w:szCs w:val="20"/>
                <w:lang w:eastAsia="en-US"/>
              </w:rPr>
              <w:t>Net (loss) income attributable to Avon</w:t>
            </w:r>
          </w:p>
        </w:tc>
        <w:tc>
          <w:tcPr>
            <w:tcW w:w="1098" w:type="dxa"/>
            <w:tcBorders>
              <w:top w:val="single" w:sz="8" w:space="0" w:color="auto"/>
              <w:left w:val="single" w:sz="8" w:space="0" w:color="auto"/>
              <w:bottom w:val="double" w:sz="4" w:space="0" w:color="auto"/>
              <w:right w:val="single" w:sz="8" w:space="0" w:color="auto"/>
            </w:tcBorders>
            <w:shd w:val="clear" w:color="auto" w:fill="FFFF66"/>
            <w:vAlign w:val="center"/>
            <w:hideMark/>
          </w:tcPr>
          <w:p w:rsidR="00865098" w:rsidRPr="003E7796" w:rsidRDefault="00865098" w:rsidP="009C5E3C">
            <w:pPr>
              <w:jc w:val="right"/>
              <w:rPr>
                <w:rFonts w:ascii="Calibri" w:eastAsia="Times New Roman" w:hAnsi="Calibri"/>
                <w:color w:val="000000"/>
                <w:sz w:val="20"/>
                <w:szCs w:val="20"/>
                <w:lang w:eastAsia="en-US"/>
              </w:rPr>
            </w:pPr>
            <w:r>
              <w:rPr>
                <w:rFonts w:ascii="Calibri" w:eastAsia="Times New Roman" w:hAnsi="Calibri"/>
                <w:sz w:val="20"/>
                <w:szCs w:val="20"/>
                <w:lang w:eastAsia="en-US"/>
              </w:rPr>
              <w:t>-</w:t>
            </w:r>
            <w:r w:rsidRPr="00865098">
              <w:rPr>
                <w:rFonts w:ascii="Calibri" w:eastAsia="Times New Roman" w:hAnsi="Calibri"/>
                <w:sz w:val="20"/>
                <w:szCs w:val="20"/>
                <w:lang w:eastAsia="en-US"/>
              </w:rPr>
              <w:t>42.50</w:t>
            </w:r>
          </w:p>
        </w:tc>
        <w:tc>
          <w:tcPr>
            <w:tcW w:w="875" w:type="dxa"/>
            <w:tcBorders>
              <w:top w:val="single" w:sz="8" w:space="0" w:color="auto"/>
              <w:left w:val="single" w:sz="8" w:space="0" w:color="auto"/>
              <w:bottom w:val="double" w:sz="4" w:space="0" w:color="auto"/>
              <w:right w:val="single" w:sz="8" w:space="0" w:color="auto"/>
            </w:tcBorders>
            <w:shd w:val="clear" w:color="auto" w:fill="FFFF66"/>
            <w:vAlign w:val="center"/>
            <w:hideMark/>
          </w:tcPr>
          <w:p w:rsidR="00865098" w:rsidRPr="00C71E9D" w:rsidRDefault="00865098" w:rsidP="009C5E3C">
            <w:pPr>
              <w:jc w:val="right"/>
              <w:rPr>
                <w:rFonts w:ascii="Calibri" w:eastAsia="Times New Roman" w:hAnsi="Calibri"/>
                <w:color w:val="000000"/>
                <w:sz w:val="20"/>
                <w:szCs w:val="22"/>
                <w:lang w:eastAsia="en-US"/>
              </w:rPr>
            </w:pPr>
            <w:r w:rsidRPr="00C71E9D">
              <w:rPr>
                <w:rFonts w:ascii="Calibri" w:eastAsia="Times New Roman" w:hAnsi="Calibri"/>
                <w:color w:val="000000"/>
                <w:sz w:val="20"/>
                <w:szCs w:val="22"/>
                <w:lang w:eastAsia="en-US"/>
              </w:rPr>
              <w:t>-0.4%</w:t>
            </w:r>
          </w:p>
        </w:tc>
        <w:tc>
          <w:tcPr>
            <w:tcW w:w="1128" w:type="dxa"/>
            <w:tcBorders>
              <w:top w:val="single" w:sz="8" w:space="0" w:color="auto"/>
              <w:left w:val="single" w:sz="8" w:space="0" w:color="auto"/>
              <w:bottom w:val="double" w:sz="4" w:space="0" w:color="auto"/>
              <w:right w:val="single" w:sz="8" w:space="0" w:color="auto"/>
            </w:tcBorders>
            <w:shd w:val="clear" w:color="auto" w:fill="FFFF66"/>
            <w:vAlign w:val="center"/>
            <w:hideMark/>
          </w:tcPr>
          <w:p w:rsidR="00865098" w:rsidRPr="003E7796" w:rsidRDefault="00865098"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 xml:space="preserve">$513.60 </w:t>
            </w:r>
          </w:p>
        </w:tc>
        <w:tc>
          <w:tcPr>
            <w:tcW w:w="920" w:type="dxa"/>
            <w:tcBorders>
              <w:top w:val="single" w:sz="8" w:space="0" w:color="auto"/>
              <w:left w:val="single" w:sz="8" w:space="0" w:color="auto"/>
              <w:bottom w:val="double" w:sz="4" w:space="0" w:color="auto"/>
              <w:right w:val="single" w:sz="8" w:space="0" w:color="auto"/>
            </w:tcBorders>
            <w:shd w:val="clear" w:color="auto" w:fill="FFFF66"/>
            <w:vAlign w:val="center"/>
            <w:hideMark/>
          </w:tcPr>
          <w:p w:rsidR="00865098" w:rsidRPr="00C71E9D" w:rsidRDefault="00865098" w:rsidP="009C5E3C">
            <w:pPr>
              <w:jc w:val="right"/>
              <w:rPr>
                <w:rFonts w:ascii="Calibri" w:eastAsia="Times New Roman" w:hAnsi="Calibri"/>
                <w:color w:val="000000"/>
                <w:sz w:val="20"/>
                <w:szCs w:val="22"/>
                <w:lang w:eastAsia="en-US"/>
              </w:rPr>
            </w:pPr>
            <w:r w:rsidRPr="00C71E9D">
              <w:rPr>
                <w:rFonts w:ascii="Calibri" w:eastAsia="Times New Roman" w:hAnsi="Calibri"/>
                <w:color w:val="000000"/>
                <w:sz w:val="20"/>
                <w:szCs w:val="22"/>
                <w:lang w:eastAsia="en-US"/>
              </w:rPr>
              <w:t>4.6%</w:t>
            </w:r>
          </w:p>
        </w:tc>
        <w:tc>
          <w:tcPr>
            <w:tcW w:w="1128" w:type="dxa"/>
            <w:tcBorders>
              <w:top w:val="single" w:sz="8" w:space="0" w:color="auto"/>
              <w:left w:val="single" w:sz="8" w:space="0" w:color="auto"/>
              <w:bottom w:val="double" w:sz="4" w:space="0" w:color="auto"/>
              <w:right w:val="single" w:sz="8" w:space="0" w:color="auto"/>
            </w:tcBorders>
            <w:shd w:val="clear" w:color="auto" w:fill="FFFF66"/>
            <w:vAlign w:val="center"/>
            <w:hideMark/>
          </w:tcPr>
          <w:p w:rsidR="00865098" w:rsidRPr="003E7796" w:rsidRDefault="00865098"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 xml:space="preserve">$606.30 </w:t>
            </w:r>
          </w:p>
        </w:tc>
        <w:tc>
          <w:tcPr>
            <w:tcW w:w="920" w:type="dxa"/>
            <w:tcBorders>
              <w:top w:val="single" w:sz="8" w:space="0" w:color="auto"/>
              <w:left w:val="single" w:sz="8" w:space="0" w:color="auto"/>
              <w:bottom w:val="double" w:sz="4" w:space="0" w:color="auto"/>
              <w:right w:val="nil"/>
            </w:tcBorders>
            <w:shd w:val="clear" w:color="auto" w:fill="FFFF66"/>
            <w:vAlign w:val="center"/>
            <w:hideMark/>
          </w:tcPr>
          <w:p w:rsidR="00865098" w:rsidRPr="003E7796" w:rsidRDefault="00865098">
            <w:pPr>
              <w:jc w:val="right"/>
              <w:rPr>
                <w:rFonts w:ascii="Calibri" w:hAnsi="Calibri"/>
                <w:color w:val="000000"/>
                <w:sz w:val="20"/>
                <w:szCs w:val="20"/>
              </w:rPr>
            </w:pPr>
            <w:r w:rsidRPr="003E7796">
              <w:rPr>
                <w:rFonts w:ascii="Calibri" w:hAnsi="Calibri"/>
                <w:color w:val="000000"/>
                <w:sz w:val="20"/>
                <w:szCs w:val="20"/>
              </w:rPr>
              <w:t>0.0%</w:t>
            </w:r>
          </w:p>
        </w:tc>
      </w:tr>
    </w:tbl>
    <w:p w:rsidR="009C5E3C" w:rsidRDefault="009C5E3C" w:rsidP="00B64C67"/>
    <w:p w:rsidR="003E7796" w:rsidRDefault="00BF1811" w:rsidP="00B64C67">
      <w:r>
        <w:tab/>
      </w:r>
      <w:r w:rsidR="00541063">
        <w:t>COS and SGA expenses are falling in absolute dollars, but they are rising as a percentage of revenues. This is negatively affecting gross and operating margins. Operating profit fell 20.4% in 2011 and another 63.2% in 2012. After other expenses and taxes, Avon had a net loss in 2012.</w:t>
      </w:r>
    </w:p>
    <w:p w:rsidR="003E7796" w:rsidRDefault="003E7796" w:rsidP="00B64C67"/>
    <w:p w:rsidR="00541063" w:rsidRDefault="00541063" w:rsidP="00B64C67"/>
    <w:p w:rsidR="00C71E9D" w:rsidRDefault="00C71E9D" w:rsidP="00B64C67"/>
    <w:p w:rsidR="003E7796" w:rsidRDefault="003E7796" w:rsidP="00B64C67"/>
    <w:p w:rsidR="00541063" w:rsidRDefault="00541063" w:rsidP="00B64C67"/>
    <w:p w:rsidR="003E7796" w:rsidRPr="00EE7374" w:rsidRDefault="00EE7374" w:rsidP="00B64C67">
      <w:pPr>
        <w:rPr>
          <w:b/>
        </w:rPr>
      </w:pPr>
      <w:r w:rsidRPr="00EE7374">
        <w:rPr>
          <w:b/>
        </w:rPr>
        <w:lastRenderedPageBreak/>
        <w:t>***Income Statement</w:t>
      </w:r>
      <w:r w:rsidR="00BF1811">
        <w:rPr>
          <w:b/>
        </w:rPr>
        <w:t xml:space="preserve"> – Year-to-Year Changes</w:t>
      </w:r>
    </w:p>
    <w:tbl>
      <w:tblPr>
        <w:tblW w:w="8145" w:type="dxa"/>
        <w:jc w:val="center"/>
        <w:tblInd w:w="-512" w:type="dxa"/>
        <w:tblLayout w:type="fixed"/>
        <w:tblLook w:val="04A0" w:firstRow="1" w:lastRow="0" w:firstColumn="1" w:lastColumn="0" w:noHBand="0" w:noVBand="1"/>
      </w:tblPr>
      <w:tblGrid>
        <w:gridCol w:w="2681"/>
        <w:gridCol w:w="1168"/>
        <w:gridCol w:w="964"/>
        <w:gridCol w:w="1150"/>
        <w:gridCol w:w="920"/>
        <w:gridCol w:w="1262"/>
      </w:tblGrid>
      <w:tr w:rsidR="00541063" w:rsidRPr="003E7796" w:rsidTr="00C71E9D">
        <w:trPr>
          <w:trHeight w:val="300"/>
          <w:jc w:val="center"/>
        </w:trPr>
        <w:tc>
          <w:tcPr>
            <w:tcW w:w="2681" w:type="dxa"/>
            <w:tcBorders>
              <w:top w:val="single" w:sz="8" w:space="0" w:color="auto"/>
              <w:left w:val="nil"/>
              <w:bottom w:val="single" w:sz="8" w:space="0" w:color="auto"/>
              <w:right w:val="single" w:sz="8" w:space="0" w:color="auto"/>
            </w:tcBorders>
            <w:shd w:val="clear" w:color="auto" w:fill="auto"/>
            <w:hideMark/>
          </w:tcPr>
          <w:p w:rsidR="00541063" w:rsidRPr="003E7796" w:rsidRDefault="00C71E9D" w:rsidP="009C5E3C">
            <w:pPr>
              <w:rPr>
                <w:rFonts w:ascii="Calibri" w:eastAsia="Times New Roman" w:hAnsi="Calibri"/>
                <w:color w:val="000000"/>
                <w:sz w:val="22"/>
                <w:szCs w:val="22"/>
                <w:lang w:eastAsia="en-US"/>
              </w:rPr>
            </w:pPr>
            <w:r w:rsidRPr="003E7796">
              <w:rPr>
                <w:rFonts w:ascii="Calibri" w:eastAsia="Times New Roman" w:hAnsi="Calibri"/>
                <w:bCs/>
                <w:color w:val="000000"/>
                <w:sz w:val="20"/>
                <w:szCs w:val="20"/>
                <w:lang w:eastAsia="en-US"/>
              </w:rPr>
              <w:t>(USD $) In Millions</w:t>
            </w:r>
          </w:p>
        </w:tc>
        <w:tc>
          <w:tcPr>
            <w:tcW w:w="116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1063" w:rsidRPr="003E7796" w:rsidRDefault="00541063" w:rsidP="009C5E3C">
            <w:pPr>
              <w:jc w:val="center"/>
              <w:rPr>
                <w:rFonts w:ascii="Calibri" w:eastAsia="Times New Roman" w:hAnsi="Calibri"/>
                <w:bCs/>
                <w:color w:val="000000"/>
                <w:sz w:val="20"/>
                <w:szCs w:val="20"/>
                <w:lang w:eastAsia="en-US"/>
              </w:rPr>
            </w:pPr>
            <w:r w:rsidRPr="003E7796">
              <w:rPr>
                <w:rFonts w:ascii="Calibri" w:eastAsia="Times New Roman" w:hAnsi="Calibri"/>
                <w:bCs/>
                <w:color w:val="000000"/>
                <w:sz w:val="20"/>
                <w:szCs w:val="20"/>
                <w:lang w:eastAsia="en-US"/>
              </w:rPr>
              <w:t>2012</w:t>
            </w:r>
          </w:p>
        </w:tc>
        <w:tc>
          <w:tcPr>
            <w:tcW w:w="96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1063" w:rsidRPr="003E7796" w:rsidRDefault="00541063" w:rsidP="009C5E3C">
            <w:pPr>
              <w:jc w:val="center"/>
              <w:rPr>
                <w:rFonts w:ascii="Calibri" w:eastAsia="Times New Roman" w:hAnsi="Calibri"/>
                <w:bCs/>
                <w:color w:val="000000"/>
                <w:sz w:val="20"/>
                <w:szCs w:val="20"/>
                <w:lang w:eastAsia="en-US"/>
              </w:rPr>
            </w:pPr>
          </w:p>
        </w:tc>
        <w:tc>
          <w:tcPr>
            <w:tcW w:w="1150" w:type="dxa"/>
            <w:tcBorders>
              <w:top w:val="single" w:sz="8" w:space="0" w:color="auto"/>
              <w:left w:val="single" w:sz="8" w:space="0" w:color="auto"/>
              <w:bottom w:val="single" w:sz="8" w:space="0" w:color="auto"/>
              <w:right w:val="single" w:sz="8" w:space="0" w:color="auto"/>
            </w:tcBorders>
            <w:shd w:val="clear" w:color="auto" w:fill="auto"/>
            <w:vAlign w:val="center"/>
          </w:tcPr>
          <w:p w:rsidR="00541063" w:rsidRPr="003E7796" w:rsidRDefault="00541063" w:rsidP="009C5E3C">
            <w:pPr>
              <w:jc w:val="center"/>
              <w:rPr>
                <w:rFonts w:ascii="Calibri" w:eastAsia="Times New Roman" w:hAnsi="Calibri"/>
                <w:bCs/>
                <w:color w:val="000000"/>
                <w:sz w:val="20"/>
                <w:szCs w:val="20"/>
                <w:lang w:eastAsia="en-US"/>
              </w:rPr>
            </w:pPr>
            <w:r w:rsidRPr="003E7796">
              <w:rPr>
                <w:rFonts w:ascii="Calibri" w:eastAsia="Times New Roman" w:hAnsi="Calibri"/>
                <w:bCs/>
                <w:color w:val="000000"/>
                <w:sz w:val="20"/>
                <w:szCs w:val="20"/>
                <w:lang w:eastAsia="en-US"/>
              </w:rPr>
              <w:t>2011</w:t>
            </w:r>
          </w:p>
        </w:tc>
        <w:tc>
          <w:tcPr>
            <w:tcW w:w="9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41063" w:rsidRPr="003E7796" w:rsidRDefault="00541063" w:rsidP="009C5E3C">
            <w:pPr>
              <w:jc w:val="center"/>
              <w:rPr>
                <w:rFonts w:ascii="Calibri" w:eastAsia="Times New Roman" w:hAnsi="Calibri"/>
                <w:bCs/>
                <w:color w:val="000000"/>
                <w:sz w:val="20"/>
                <w:szCs w:val="20"/>
                <w:lang w:eastAsia="en-US"/>
              </w:rPr>
            </w:pPr>
          </w:p>
        </w:tc>
        <w:tc>
          <w:tcPr>
            <w:tcW w:w="1262" w:type="dxa"/>
            <w:tcBorders>
              <w:top w:val="single" w:sz="8" w:space="0" w:color="auto"/>
              <w:left w:val="single" w:sz="8" w:space="0" w:color="auto"/>
              <w:bottom w:val="single" w:sz="8" w:space="0" w:color="auto"/>
              <w:right w:val="nil"/>
            </w:tcBorders>
            <w:shd w:val="clear" w:color="auto" w:fill="auto"/>
            <w:vAlign w:val="center"/>
          </w:tcPr>
          <w:p w:rsidR="00541063" w:rsidRPr="003E7796" w:rsidRDefault="00541063" w:rsidP="009C5E3C">
            <w:pPr>
              <w:jc w:val="center"/>
              <w:rPr>
                <w:rFonts w:ascii="Calibri" w:eastAsia="Times New Roman" w:hAnsi="Calibri"/>
                <w:bCs/>
                <w:color w:val="000000"/>
                <w:sz w:val="20"/>
                <w:szCs w:val="20"/>
                <w:lang w:eastAsia="en-US"/>
              </w:rPr>
            </w:pPr>
            <w:r w:rsidRPr="003E7796">
              <w:rPr>
                <w:rFonts w:ascii="Calibri" w:eastAsia="Times New Roman" w:hAnsi="Calibri"/>
                <w:bCs/>
                <w:color w:val="000000"/>
                <w:sz w:val="20"/>
                <w:szCs w:val="20"/>
                <w:lang w:eastAsia="en-US"/>
              </w:rPr>
              <w:t>2010</w:t>
            </w:r>
          </w:p>
        </w:tc>
      </w:tr>
      <w:tr w:rsidR="00541063" w:rsidRPr="003E7796" w:rsidTr="003B2F6B">
        <w:trPr>
          <w:trHeight w:val="300"/>
          <w:jc w:val="center"/>
        </w:trPr>
        <w:tc>
          <w:tcPr>
            <w:tcW w:w="2681" w:type="dxa"/>
            <w:tcBorders>
              <w:top w:val="single" w:sz="8" w:space="0" w:color="auto"/>
              <w:left w:val="nil"/>
              <w:bottom w:val="single" w:sz="8" w:space="0" w:color="auto"/>
              <w:right w:val="single" w:sz="8" w:space="0" w:color="auto"/>
            </w:tcBorders>
            <w:shd w:val="clear" w:color="auto" w:fill="FFFF66"/>
            <w:vAlign w:val="center"/>
            <w:hideMark/>
          </w:tcPr>
          <w:p w:rsidR="00BF1811" w:rsidRPr="003E7796" w:rsidRDefault="00BF1811" w:rsidP="009C5E3C">
            <w:pPr>
              <w:rPr>
                <w:rFonts w:ascii="Calibri" w:eastAsia="Times New Roman" w:hAnsi="Calibri"/>
                <w:bCs/>
                <w:color w:val="000000"/>
                <w:sz w:val="20"/>
                <w:szCs w:val="20"/>
                <w:lang w:eastAsia="en-US"/>
              </w:rPr>
            </w:pPr>
            <w:r w:rsidRPr="003E7796">
              <w:rPr>
                <w:rFonts w:ascii="Calibri" w:eastAsia="Times New Roman" w:hAnsi="Calibri"/>
                <w:bCs/>
                <w:color w:val="000000"/>
                <w:sz w:val="20"/>
                <w:szCs w:val="20"/>
                <w:lang w:eastAsia="en-US"/>
              </w:rPr>
              <w:t>Net sales</w:t>
            </w:r>
          </w:p>
        </w:tc>
        <w:tc>
          <w:tcPr>
            <w:tcW w:w="1168"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$10,546.10</w:t>
            </w:r>
          </w:p>
        </w:tc>
        <w:tc>
          <w:tcPr>
            <w:tcW w:w="964"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BF1811" w:rsidRPr="003E7796" w:rsidRDefault="00BF1811">
            <w:pPr>
              <w:jc w:val="right"/>
              <w:rPr>
                <w:rFonts w:ascii="Calibri" w:hAnsi="Calibri"/>
                <w:color w:val="000000"/>
                <w:sz w:val="20"/>
                <w:szCs w:val="20"/>
              </w:rPr>
            </w:pPr>
            <w:r w:rsidRPr="003E7796">
              <w:rPr>
                <w:rFonts w:ascii="Calibri" w:hAnsi="Calibri"/>
                <w:color w:val="000000"/>
                <w:sz w:val="20"/>
                <w:szCs w:val="20"/>
              </w:rPr>
              <w:t>-5.1%</w:t>
            </w:r>
          </w:p>
        </w:tc>
        <w:tc>
          <w:tcPr>
            <w:tcW w:w="1150"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 xml:space="preserve">$11,112.00 </w:t>
            </w:r>
          </w:p>
        </w:tc>
        <w:tc>
          <w:tcPr>
            <w:tcW w:w="920"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BF1811" w:rsidRPr="003E7796" w:rsidRDefault="00BF1811">
            <w:pPr>
              <w:jc w:val="right"/>
              <w:rPr>
                <w:rFonts w:ascii="Calibri" w:hAnsi="Calibri"/>
                <w:color w:val="000000"/>
                <w:sz w:val="20"/>
                <w:szCs w:val="20"/>
              </w:rPr>
            </w:pPr>
            <w:r w:rsidRPr="003E7796">
              <w:rPr>
                <w:rFonts w:ascii="Calibri" w:hAnsi="Calibri"/>
                <w:color w:val="000000"/>
                <w:sz w:val="20"/>
                <w:szCs w:val="20"/>
              </w:rPr>
              <w:t>3.5%</w:t>
            </w:r>
          </w:p>
        </w:tc>
        <w:tc>
          <w:tcPr>
            <w:tcW w:w="1262" w:type="dxa"/>
            <w:tcBorders>
              <w:top w:val="single" w:sz="8" w:space="0" w:color="auto"/>
              <w:left w:val="single" w:sz="8" w:space="0" w:color="auto"/>
              <w:bottom w:val="single" w:sz="8" w:space="0" w:color="auto"/>
              <w:right w:val="nil"/>
            </w:tcBorders>
            <w:shd w:val="clear" w:color="auto" w:fill="FFFF66"/>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 xml:space="preserve">$10,731.30 </w:t>
            </w:r>
          </w:p>
        </w:tc>
      </w:tr>
      <w:tr w:rsidR="00BF1811" w:rsidRPr="003E7796" w:rsidTr="003B2F6B">
        <w:trPr>
          <w:trHeight w:val="300"/>
          <w:jc w:val="center"/>
        </w:trPr>
        <w:tc>
          <w:tcPr>
            <w:tcW w:w="2681" w:type="dxa"/>
            <w:tcBorders>
              <w:top w:val="single" w:sz="8" w:space="0" w:color="auto"/>
              <w:left w:val="nil"/>
              <w:bottom w:val="single" w:sz="8" w:space="0" w:color="auto"/>
              <w:right w:val="single" w:sz="8" w:space="0" w:color="auto"/>
            </w:tcBorders>
            <w:shd w:val="clear" w:color="auto" w:fill="auto"/>
            <w:vAlign w:val="center"/>
            <w:hideMark/>
          </w:tcPr>
          <w:p w:rsidR="00BF1811" w:rsidRPr="003E7796" w:rsidRDefault="00C80976" w:rsidP="009C5E3C">
            <w:pPr>
              <w:rPr>
                <w:rFonts w:ascii="Calibri" w:eastAsia="Times New Roman" w:hAnsi="Calibri"/>
                <w:bCs/>
                <w:color w:val="000000"/>
                <w:sz w:val="20"/>
                <w:szCs w:val="20"/>
                <w:lang w:eastAsia="en-US"/>
              </w:rPr>
            </w:pPr>
            <w:r>
              <w:rPr>
                <w:rFonts w:ascii="Calibri" w:eastAsia="Times New Roman" w:hAnsi="Calibri"/>
                <w:bCs/>
                <w:color w:val="000000"/>
                <w:sz w:val="20"/>
                <w:szCs w:val="20"/>
                <w:lang w:eastAsia="en-US"/>
              </w:rPr>
              <w:t>Other revenue</w:t>
            </w:r>
          </w:p>
        </w:tc>
        <w:tc>
          <w:tcPr>
            <w:tcW w:w="116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171.00</w:t>
            </w:r>
          </w:p>
        </w:tc>
        <w:tc>
          <w:tcPr>
            <w:tcW w:w="96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F1811" w:rsidRPr="003E7796" w:rsidRDefault="00BF1811">
            <w:pPr>
              <w:jc w:val="right"/>
              <w:rPr>
                <w:rFonts w:ascii="Calibri" w:hAnsi="Calibri"/>
                <w:color w:val="000000"/>
                <w:sz w:val="20"/>
                <w:szCs w:val="20"/>
              </w:rPr>
            </w:pPr>
            <w:r w:rsidRPr="003E7796">
              <w:rPr>
                <w:rFonts w:ascii="Calibri" w:hAnsi="Calibri"/>
                <w:color w:val="000000"/>
                <w:sz w:val="20"/>
                <w:szCs w:val="20"/>
              </w:rPr>
              <w:t>-4.8%</w:t>
            </w:r>
          </w:p>
        </w:tc>
        <w:tc>
          <w:tcPr>
            <w:tcW w:w="115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179.60</w:t>
            </w:r>
          </w:p>
        </w:tc>
        <w:tc>
          <w:tcPr>
            <w:tcW w:w="9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F1811" w:rsidRPr="003E7796" w:rsidRDefault="00BF1811">
            <w:pPr>
              <w:jc w:val="right"/>
              <w:rPr>
                <w:rFonts w:ascii="Calibri" w:hAnsi="Calibri"/>
                <w:color w:val="000000"/>
                <w:sz w:val="20"/>
                <w:szCs w:val="20"/>
              </w:rPr>
            </w:pPr>
            <w:r w:rsidRPr="003E7796">
              <w:rPr>
                <w:rFonts w:ascii="Calibri" w:hAnsi="Calibri"/>
                <w:color w:val="000000"/>
                <w:sz w:val="20"/>
                <w:szCs w:val="20"/>
              </w:rPr>
              <w:t>36.6%</w:t>
            </w:r>
          </w:p>
        </w:tc>
        <w:tc>
          <w:tcPr>
            <w:tcW w:w="1262" w:type="dxa"/>
            <w:tcBorders>
              <w:top w:val="single" w:sz="8" w:space="0" w:color="auto"/>
              <w:left w:val="single" w:sz="8" w:space="0" w:color="auto"/>
              <w:bottom w:val="single" w:sz="8" w:space="0" w:color="auto"/>
              <w:right w:val="nil"/>
            </w:tcBorders>
            <w:shd w:val="clear" w:color="auto" w:fill="auto"/>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131.50</w:t>
            </w:r>
          </w:p>
        </w:tc>
      </w:tr>
      <w:tr w:rsidR="003B2F6B" w:rsidRPr="003E7796" w:rsidTr="003B2F6B">
        <w:trPr>
          <w:trHeight w:val="300"/>
          <w:jc w:val="center"/>
        </w:trPr>
        <w:tc>
          <w:tcPr>
            <w:tcW w:w="2681" w:type="dxa"/>
            <w:tcBorders>
              <w:top w:val="single" w:sz="8" w:space="0" w:color="auto"/>
              <w:left w:val="nil"/>
              <w:bottom w:val="single" w:sz="8" w:space="0" w:color="auto"/>
              <w:right w:val="single" w:sz="8" w:space="0" w:color="auto"/>
            </w:tcBorders>
            <w:shd w:val="clear" w:color="auto" w:fill="auto"/>
            <w:vAlign w:val="center"/>
            <w:hideMark/>
          </w:tcPr>
          <w:p w:rsidR="00BF1811" w:rsidRPr="003E7796" w:rsidRDefault="00BF1811" w:rsidP="009C5E3C">
            <w:pPr>
              <w:rPr>
                <w:rFonts w:ascii="Calibri" w:eastAsia="Times New Roman" w:hAnsi="Calibri"/>
                <w:bCs/>
                <w:color w:val="000000"/>
                <w:sz w:val="20"/>
                <w:szCs w:val="20"/>
                <w:lang w:eastAsia="en-US"/>
              </w:rPr>
            </w:pPr>
            <w:r w:rsidRPr="003E7796">
              <w:rPr>
                <w:rFonts w:ascii="Calibri" w:eastAsia="Times New Roman" w:hAnsi="Calibri"/>
                <w:bCs/>
                <w:color w:val="000000"/>
                <w:sz w:val="20"/>
                <w:szCs w:val="20"/>
                <w:lang w:eastAsia="en-US"/>
              </w:rPr>
              <w:t>Total revenue</w:t>
            </w:r>
          </w:p>
        </w:tc>
        <w:tc>
          <w:tcPr>
            <w:tcW w:w="116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10,717.10</w:t>
            </w:r>
          </w:p>
        </w:tc>
        <w:tc>
          <w:tcPr>
            <w:tcW w:w="96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F1811" w:rsidRPr="003E7796" w:rsidRDefault="00BF1811">
            <w:pPr>
              <w:jc w:val="right"/>
              <w:rPr>
                <w:rFonts w:ascii="Calibri" w:hAnsi="Calibri"/>
                <w:color w:val="000000"/>
                <w:sz w:val="20"/>
                <w:szCs w:val="20"/>
              </w:rPr>
            </w:pPr>
            <w:r w:rsidRPr="003E7796">
              <w:rPr>
                <w:rFonts w:ascii="Calibri" w:hAnsi="Calibri"/>
                <w:color w:val="000000"/>
                <w:sz w:val="20"/>
                <w:szCs w:val="20"/>
              </w:rPr>
              <w:t>-5.1%</w:t>
            </w:r>
          </w:p>
        </w:tc>
        <w:tc>
          <w:tcPr>
            <w:tcW w:w="115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11,291.60</w:t>
            </w:r>
          </w:p>
        </w:tc>
        <w:tc>
          <w:tcPr>
            <w:tcW w:w="9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F1811" w:rsidRPr="003E7796" w:rsidRDefault="00BF1811">
            <w:pPr>
              <w:jc w:val="right"/>
              <w:rPr>
                <w:rFonts w:ascii="Calibri" w:hAnsi="Calibri"/>
                <w:color w:val="000000"/>
                <w:sz w:val="20"/>
                <w:szCs w:val="20"/>
              </w:rPr>
            </w:pPr>
            <w:r w:rsidRPr="003E7796">
              <w:rPr>
                <w:rFonts w:ascii="Calibri" w:hAnsi="Calibri"/>
                <w:color w:val="000000"/>
                <w:sz w:val="20"/>
                <w:szCs w:val="20"/>
              </w:rPr>
              <w:t>3.9%</w:t>
            </w:r>
          </w:p>
        </w:tc>
        <w:tc>
          <w:tcPr>
            <w:tcW w:w="1262" w:type="dxa"/>
            <w:tcBorders>
              <w:top w:val="single" w:sz="8" w:space="0" w:color="auto"/>
              <w:left w:val="single" w:sz="8" w:space="0" w:color="auto"/>
              <w:bottom w:val="single" w:sz="8" w:space="0" w:color="auto"/>
              <w:right w:val="nil"/>
            </w:tcBorders>
            <w:shd w:val="clear" w:color="auto" w:fill="auto"/>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10,862.80</w:t>
            </w:r>
          </w:p>
        </w:tc>
      </w:tr>
      <w:tr w:rsidR="003B2F6B" w:rsidRPr="003E7796" w:rsidTr="003B2F6B">
        <w:trPr>
          <w:trHeight w:val="302"/>
          <w:jc w:val="center"/>
        </w:trPr>
        <w:tc>
          <w:tcPr>
            <w:tcW w:w="3849" w:type="dxa"/>
            <w:gridSpan w:val="2"/>
            <w:tcBorders>
              <w:top w:val="single" w:sz="8" w:space="0" w:color="auto"/>
              <w:left w:val="nil"/>
              <w:bottom w:val="single" w:sz="8" w:space="0" w:color="auto"/>
              <w:right w:val="single" w:sz="8" w:space="0" w:color="auto"/>
            </w:tcBorders>
            <w:shd w:val="clear" w:color="auto" w:fill="auto"/>
            <w:vAlign w:val="center"/>
            <w:hideMark/>
          </w:tcPr>
          <w:p w:rsidR="00BF1811" w:rsidRPr="003E7796" w:rsidRDefault="00BF1811" w:rsidP="009C5E3C">
            <w:pPr>
              <w:rPr>
                <w:rFonts w:ascii="Calibri" w:eastAsia="Times New Roman" w:hAnsi="Calibri"/>
                <w:color w:val="000000"/>
                <w:sz w:val="22"/>
                <w:szCs w:val="22"/>
                <w:lang w:eastAsia="en-US"/>
              </w:rPr>
            </w:pPr>
            <w:r w:rsidRPr="003E7796">
              <w:rPr>
                <w:rFonts w:ascii="Calibri" w:eastAsia="Times New Roman" w:hAnsi="Calibri"/>
                <w:bCs/>
                <w:color w:val="000000"/>
                <w:sz w:val="20"/>
                <w:szCs w:val="20"/>
                <w:lang w:eastAsia="en-US"/>
              </w:rPr>
              <w:t>Costs, expenses and other:</w:t>
            </w:r>
          </w:p>
        </w:tc>
        <w:tc>
          <w:tcPr>
            <w:tcW w:w="964" w:type="dxa"/>
            <w:tcBorders>
              <w:top w:val="single" w:sz="8" w:space="0" w:color="auto"/>
              <w:left w:val="single" w:sz="8" w:space="0" w:color="auto"/>
              <w:bottom w:val="single" w:sz="8" w:space="0" w:color="auto"/>
              <w:right w:val="single" w:sz="8" w:space="0" w:color="auto"/>
            </w:tcBorders>
            <w:shd w:val="clear" w:color="auto" w:fill="auto"/>
            <w:hideMark/>
          </w:tcPr>
          <w:p w:rsidR="00BF1811" w:rsidRPr="003E7796" w:rsidRDefault="00BF1811" w:rsidP="009C5E3C">
            <w:pPr>
              <w:rPr>
                <w:rFonts w:ascii="Calibri" w:eastAsia="Times New Roman" w:hAnsi="Calibri"/>
                <w:color w:val="000000"/>
                <w:sz w:val="22"/>
                <w:szCs w:val="22"/>
                <w:lang w:eastAsia="en-US"/>
              </w:rPr>
            </w:pPr>
          </w:p>
        </w:tc>
        <w:tc>
          <w:tcPr>
            <w:tcW w:w="1150" w:type="dxa"/>
            <w:tcBorders>
              <w:top w:val="single" w:sz="8" w:space="0" w:color="auto"/>
              <w:left w:val="single" w:sz="8" w:space="0" w:color="auto"/>
              <w:bottom w:val="single" w:sz="8" w:space="0" w:color="auto"/>
              <w:right w:val="single" w:sz="8" w:space="0" w:color="auto"/>
            </w:tcBorders>
            <w:shd w:val="clear" w:color="auto" w:fill="auto"/>
            <w:hideMark/>
          </w:tcPr>
          <w:p w:rsidR="00BF1811" w:rsidRPr="003E7796" w:rsidRDefault="00BF1811">
            <w:pPr>
              <w:rPr>
                <w:rFonts w:ascii="Calibri" w:hAnsi="Calibri"/>
                <w:color w:val="000000"/>
                <w:sz w:val="20"/>
                <w:szCs w:val="20"/>
              </w:rPr>
            </w:pPr>
          </w:p>
        </w:tc>
        <w:tc>
          <w:tcPr>
            <w:tcW w:w="920" w:type="dxa"/>
            <w:tcBorders>
              <w:top w:val="single" w:sz="8" w:space="0" w:color="auto"/>
              <w:left w:val="single" w:sz="8" w:space="0" w:color="auto"/>
              <w:bottom w:val="single" w:sz="8" w:space="0" w:color="auto"/>
              <w:right w:val="single" w:sz="8" w:space="0" w:color="auto"/>
            </w:tcBorders>
            <w:shd w:val="clear" w:color="auto" w:fill="auto"/>
            <w:hideMark/>
          </w:tcPr>
          <w:p w:rsidR="00BF1811" w:rsidRPr="003E7796" w:rsidRDefault="00BF1811" w:rsidP="009C5E3C">
            <w:pPr>
              <w:rPr>
                <w:rFonts w:ascii="Calibri" w:eastAsia="Times New Roman" w:hAnsi="Calibri"/>
                <w:color w:val="000000"/>
                <w:sz w:val="22"/>
                <w:szCs w:val="22"/>
                <w:lang w:eastAsia="en-US"/>
              </w:rPr>
            </w:pPr>
          </w:p>
        </w:tc>
        <w:tc>
          <w:tcPr>
            <w:tcW w:w="1262" w:type="dxa"/>
            <w:tcBorders>
              <w:top w:val="single" w:sz="8" w:space="0" w:color="auto"/>
              <w:left w:val="single" w:sz="8" w:space="0" w:color="auto"/>
              <w:bottom w:val="single" w:sz="8" w:space="0" w:color="auto"/>
              <w:right w:val="nil"/>
            </w:tcBorders>
            <w:shd w:val="clear" w:color="auto" w:fill="auto"/>
            <w:hideMark/>
          </w:tcPr>
          <w:p w:rsidR="00BF1811" w:rsidRPr="003E7796" w:rsidRDefault="00BF1811">
            <w:pPr>
              <w:rPr>
                <w:rFonts w:ascii="Calibri" w:hAnsi="Calibri"/>
                <w:color w:val="000000"/>
                <w:sz w:val="20"/>
                <w:szCs w:val="20"/>
              </w:rPr>
            </w:pPr>
          </w:p>
        </w:tc>
      </w:tr>
      <w:tr w:rsidR="00541063" w:rsidRPr="003E7796" w:rsidTr="003B2F6B">
        <w:trPr>
          <w:trHeight w:val="300"/>
          <w:jc w:val="center"/>
        </w:trPr>
        <w:tc>
          <w:tcPr>
            <w:tcW w:w="2681" w:type="dxa"/>
            <w:tcBorders>
              <w:top w:val="single" w:sz="8" w:space="0" w:color="auto"/>
              <w:left w:val="nil"/>
              <w:bottom w:val="single" w:sz="8" w:space="0" w:color="auto"/>
              <w:right w:val="single" w:sz="8" w:space="0" w:color="auto"/>
            </w:tcBorders>
            <w:shd w:val="clear" w:color="auto" w:fill="FFFF66"/>
            <w:vAlign w:val="center"/>
            <w:hideMark/>
          </w:tcPr>
          <w:p w:rsidR="00BF1811" w:rsidRPr="003E7796" w:rsidRDefault="00BF1811" w:rsidP="003E7796">
            <w:pPr>
              <w:ind w:firstLineChars="100" w:firstLine="200"/>
              <w:rPr>
                <w:rFonts w:ascii="Calibri" w:eastAsia="Times New Roman" w:hAnsi="Calibri"/>
                <w:bCs/>
                <w:color w:val="000000"/>
                <w:sz w:val="20"/>
                <w:szCs w:val="20"/>
                <w:lang w:eastAsia="en-US"/>
              </w:rPr>
            </w:pPr>
            <w:r w:rsidRPr="003E7796">
              <w:rPr>
                <w:rFonts w:ascii="Calibri" w:eastAsia="Times New Roman" w:hAnsi="Calibri"/>
                <w:bCs/>
                <w:color w:val="000000"/>
                <w:sz w:val="20"/>
                <w:szCs w:val="20"/>
                <w:lang w:eastAsia="en-US"/>
              </w:rPr>
              <w:t>Cost of sales</w:t>
            </w:r>
          </w:p>
        </w:tc>
        <w:tc>
          <w:tcPr>
            <w:tcW w:w="1168"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4,169.30</w:t>
            </w:r>
          </w:p>
        </w:tc>
        <w:tc>
          <w:tcPr>
            <w:tcW w:w="964"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BF1811" w:rsidRPr="003E7796" w:rsidRDefault="00BF1811">
            <w:pPr>
              <w:jc w:val="right"/>
              <w:rPr>
                <w:rFonts w:ascii="Calibri" w:hAnsi="Calibri"/>
                <w:color w:val="000000"/>
                <w:sz w:val="20"/>
                <w:szCs w:val="20"/>
              </w:rPr>
            </w:pPr>
            <w:r w:rsidRPr="003E7796">
              <w:rPr>
                <w:rFonts w:ascii="Calibri" w:hAnsi="Calibri"/>
                <w:color w:val="000000"/>
                <w:sz w:val="20"/>
                <w:szCs w:val="20"/>
              </w:rPr>
              <w:t>0.5%</w:t>
            </w:r>
          </w:p>
        </w:tc>
        <w:tc>
          <w:tcPr>
            <w:tcW w:w="1150"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4,148.60</w:t>
            </w:r>
          </w:p>
        </w:tc>
        <w:tc>
          <w:tcPr>
            <w:tcW w:w="920"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BF1811" w:rsidRPr="003E7796" w:rsidRDefault="00BF1811">
            <w:pPr>
              <w:jc w:val="right"/>
              <w:rPr>
                <w:rFonts w:ascii="Calibri" w:hAnsi="Calibri"/>
                <w:color w:val="000000"/>
                <w:sz w:val="20"/>
                <w:szCs w:val="20"/>
              </w:rPr>
            </w:pPr>
            <w:r w:rsidRPr="003E7796">
              <w:rPr>
                <w:rFonts w:ascii="Calibri" w:hAnsi="Calibri"/>
                <w:color w:val="000000"/>
                <w:sz w:val="20"/>
                <w:szCs w:val="20"/>
              </w:rPr>
              <w:t>2.7%</w:t>
            </w:r>
          </w:p>
        </w:tc>
        <w:tc>
          <w:tcPr>
            <w:tcW w:w="1262" w:type="dxa"/>
            <w:tcBorders>
              <w:top w:val="single" w:sz="8" w:space="0" w:color="auto"/>
              <w:left w:val="single" w:sz="8" w:space="0" w:color="auto"/>
              <w:bottom w:val="single" w:sz="8" w:space="0" w:color="auto"/>
              <w:right w:val="nil"/>
            </w:tcBorders>
            <w:shd w:val="clear" w:color="auto" w:fill="FFFF66"/>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4,041.30</w:t>
            </w:r>
          </w:p>
        </w:tc>
      </w:tr>
      <w:tr w:rsidR="003B2F6B" w:rsidRPr="003E7796" w:rsidTr="00D879BB">
        <w:trPr>
          <w:trHeight w:val="432"/>
          <w:jc w:val="center"/>
        </w:trPr>
        <w:tc>
          <w:tcPr>
            <w:tcW w:w="2681" w:type="dxa"/>
            <w:tcBorders>
              <w:top w:val="single" w:sz="8" w:space="0" w:color="auto"/>
              <w:left w:val="nil"/>
              <w:bottom w:val="single" w:sz="8" w:space="0" w:color="auto"/>
              <w:right w:val="single" w:sz="8" w:space="0" w:color="auto"/>
            </w:tcBorders>
            <w:shd w:val="clear" w:color="auto" w:fill="FFFF66"/>
            <w:vAlign w:val="center"/>
            <w:hideMark/>
          </w:tcPr>
          <w:p w:rsidR="00BF1811" w:rsidRPr="003E7796" w:rsidRDefault="00BF1811" w:rsidP="003E7796">
            <w:pPr>
              <w:ind w:firstLineChars="100" w:firstLine="200"/>
              <w:rPr>
                <w:rFonts w:ascii="Calibri" w:eastAsia="Times New Roman" w:hAnsi="Calibri"/>
                <w:bCs/>
                <w:color w:val="000000"/>
                <w:sz w:val="20"/>
                <w:szCs w:val="20"/>
                <w:lang w:eastAsia="en-US"/>
              </w:rPr>
            </w:pPr>
            <w:r w:rsidRPr="003E7796">
              <w:rPr>
                <w:rFonts w:ascii="Calibri" w:eastAsia="Times New Roman" w:hAnsi="Calibri"/>
                <w:bCs/>
                <w:color w:val="000000"/>
                <w:sz w:val="20"/>
                <w:szCs w:val="20"/>
                <w:lang w:eastAsia="en-US"/>
              </w:rPr>
              <w:t>Selling, general and administrative expenses</w:t>
            </w:r>
          </w:p>
        </w:tc>
        <w:tc>
          <w:tcPr>
            <w:tcW w:w="1168"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5,980.00</w:t>
            </w:r>
          </w:p>
        </w:tc>
        <w:tc>
          <w:tcPr>
            <w:tcW w:w="964"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BF1811" w:rsidRPr="003E7796" w:rsidRDefault="00BF1811">
            <w:pPr>
              <w:jc w:val="right"/>
              <w:rPr>
                <w:rFonts w:ascii="Calibri" w:hAnsi="Calibri"/>
                <w:color w:val="000000"/>
                <w:sz w:val="20"/>
                <w:szCs w:val="20"/>
              </w:rPr>
            </w:pPr>
            <w:r w:rsidRPr="003E7796">
              <w:rPr>
                <w:rFonts w:ascii="Calibri" w:hAnsi="Calibri"/>
                <w:color w:val="000000"/>
                <w:sz w:val="20"/>
                <w:szCs w:val="20"/>
              </w:rPr>
              <w:t>-0.8%</w:t>
            </w:r>
          </w:p>
        </w:tc>
        <w:tc>
          <w:tcPr>
            <w:tcW w:w="1150"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6,025.40</w:t>
            </w:r>
          </w:p>
        </w:tc>
        <w:tc>
          <w:tcPr>
            <w:tcW w:w="920"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BF1811" w:rsidRPr="003E7796" w:rsidRDefault="00BF1811">
            <w:pPr>
              <w:jc w:val="right"/>
              <w:rPr>
                <w:rFonts w:ascii="Calibri" w:hAnsi="Calibri"/>
                <w:color w:val="000000"/>
                <w:sz w:val="20"/>
                <w:szCs w:val="20"/>
              </w:rPr>
            </w:pPr>
            <w:r w:rsidRPr="003E7796">
              <w:rPr>
                <w:rFonts w:ascii="Calibri" w:hAnsi="Calibri"/>
                <w:color w:val="000000"/>
                <w:sz w:val="20"/>
                <w:szCs w:val="20"/>
              </w:rPr>
              <w:t>4.8%</w:t>
            </w:r>
          </w:p>
        </w:tc>
        <w:tc>
          <w:tcPr>
            <w:tcW w:w="1262" w:type="dxa"/>
            <w:tcBorders>
              <w:top w:val="single" w:sz="8" w:space="0" w:color="auto"/>
              <w:left w:val="single" w:sz="8" w:space="0" w:color="auto"/>
              <w:bottom w:val="single" w:sz="8" w:space="0" w:color="auto"/>
              <w:right w:val="nil"/>
            </w:tcBorders>
            <w:shd w:val="clear" w:color="auto" w:fill="FFFF66"/>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5,748.40</w:t>
            </w:r>
          </w:p>
        </w:tc>
      </w:tr>
      <w:tr w:rsidR="003B2F6B" w:rsidRPr="003E7796" w:rsidTr="003B2F6B">
        <w:trPr>
          <w:trHeight w:val="504"/>
          <w:jc w:val="center"/>
        </w:trPr>
        <w:tc>
          <w:tcPr>
            <w:tcW w:w="2681" w:type="dxa"/>
            <w:tcBorders>
              <w:top w:val="single" w:sz="8" w:space="0" w:color="auto"/>
              <w:left w:val="nil"/>
              <w:bottom w:val="single" w:sz="8" w:space="0" w:color="auto"/>
              <w:right w:val="single" w:sz="8" w:space="0" w:color="auto"/>
            </w:tcBorders>
            <w:shd w:val="clear" w:color="auto" w:fill="auto"/>
            <w:vAlign w:val="center"/>
            <w:hideMark/>
          </w:tcPr>
          <w:p w:rsidR="00BF1811" w:rsidRPr="003E7796" w:rsidRDefault="00BF1811" w:rsidP="003E7796">
            <w:pPr>
              <w:ind w:firstLineChars="100" w:firstLine="200"/>
              <w:rPr>
                <w:rFonts w:ascii="Calibri" w:eastAsia="Times New Roman" w:hAnsi="Calibri"/>
                <w:bCs/>
                <w:color w:val="000000"/>
                <w:sz w:val="20"/>
                <w:szCs w:val="20"/>
                <w:lang w:eastAsia="en-US"/>
              </w:rPr>
            </w:pPr>
            <w:r w:rsidRPr="003E7796">
              <w:rPr>
                <w:rFonts w:ascii="Calibri" w:eastAsia="Times New Roman" w:hAnsi="Calibri"/>
                <w:bCs/>
                <w:color w:val="000000"/>
                <w:sz w:val="20"/>
                <w:szCs w:val="20"/>
                <w:lang w:eastAsia="en-US"/>
              </w:rPr>
              <w:t>Impairment of good-will and intangible asset</w:t>
            </w:r>
          </w:p>
        </w:tc>
        <w:tc>
          <w:tcPr>
            <w:tcW w:w="116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253.00</w:t>
            </w:r>
          </w:p>
        </w:tc>
        <w:tc>
          <w:tcPr>
            <w:tcW w:w="96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F1811" w:rsidRPr="003E7796" w:rsidRDefault="00BF1811">
            <w:pPr>
              <w:jc w:val="right"/>
              <w:rPr>
                <w:rFonts w:ascii="Calibri" w:hAnsi="Calibri"/>
                <w:color w:val="000000"/>
                <w:sz w:val="20"/>
                <w:szCs w:val="20"/>
              </w:rPr>
            </w:pPr>
            <w:r w:rsidRPr="003E7796">
              <w:rPr>
                <w:rFonts w:ascii="Calibri" w:hAnsi="Calibri"/>
                <w:color w:val="000000"/>
                <w:sz w:val="20"/>
                <w:szCs w:val="20"/>
              </w:rPr>
              <w:t>-3.8%</w:t>
            </w:r>
          </w:p>
        </w:tc>
        <w:tc>
          <w:tcPr>
            <w:tcW w:w="115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263.00</w:t>
            </w:r>
          </w:p>
        </w:tc>
        <w:tc>
          <w:tcPr>
            <w:tcW w:w="9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F1811" w:rsidRPr="003E7796" w:rsidRDefault="00BF1811" w:rsidP="000F3B3D">
            <w:pPr>
              <w:jc w:val="center"/>
              <w:rPr>
                <w:rFonts w:ascii="Calibri" w:eastAsia="Times New Roman" w:hAnsi="Calibri"/>
                <w:color w:val="000000"/>
                <w:sz w:val="22"/>
                <w:szCs w:val="22"/>
                <w:lang w:eastAsia="en-US"/>
              </w:rPr>
            </w:pPr>
            <w:r w:rsidRPr="003E7796">
              <w:rPr>
                <w:rFonts w:ascii="Calibri" w:eastAsia="Times New Roman" w:hAnsi="Calibri"/>
                <w:color w:val="000000"/>
                <w:sz w:val="22"/>
                <w:szCs w:val="22"/>
                <w:lang w:eastAsia="en-US"/>
              </w:rPr>
              <w:t>-</w:t>
            </w:r>
          </w:p>
        </w:tc>
        <w:tc>
          <w:tcPr>
            <w:tcW w:w="1262" w:type="dxa"/>
            <w:tcBorders>
              <w:top w:val="single" w:sz="8" w:space="0" w:color="auto"/>
              <w:left w:val="single" w:sz="8" w:space="0" w:color="auto"/>
              <w:bottom w:val="single" w:sz="8" w:space="0" w:color="auto"/>
              <w:right w:val="nil"/>
            </w:tcBorders>
            <w:shd w:val="clear" w:color="auto" w:fill="auto"/>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0</w:t>
            </w:r>
          </w:p>
        </w:tc>
      </w:tr>
      <w:tr w:rsidR="003B2F6B" w:rsidRPr="003E7796" w:rsidTr="003B2F6B">
        <w:trPr>
          <w:trHeight w:val="300"/>
          <w:jc w:val="center"/>
        </w:trPr>
        <w:tc>
          <w:tcPr>
            <w:tcW w:w="2681" w:type="dxa"/>
            <w:tcBorders>
              <w:top w:val="single" w:sz="8" w:space="0" w:color="auto"/>
              <w:left w:val="nil"/>
              <w:bottom w:val="single" w:sz="8" w:space="0" w:color="auto"/>
              <w:right w:val="single" w:sz="8" w:space="0" w:color="auto"/>
            </w:tcBorders>
            <w:shd w:val="clear" w:color="auto" w:fill="FFFF66"/>
            <w:vAlign w:val="center"/>
            <w:hideMark/>
          </w:tcPr>
          <w:p w:rsidR="00BF1811" w:rsidRPr="003E7796" w:rsidRDefault="00BF1811" w:rsidP="003E7796">
            <w:pPr>
              <w:ind w:firstLineChars="100" w:firstLine="200"/>
              <w:rPr>
                <w:rFonts w:ascii="Calibri" w:eastAsia="Times New Roman" w:hAnsi="Calibri"/>
                <w:bCs/>
                <w:color w:val="000000"/>
                <w:sz w:val="20"/>
                <w:szCs w:val="20"/>
                <w:lang w:eastAsia="en-US"/>
              </w:rPr>
            </w:pPr>
            <w:r w:rsidRPr="003E7796">
              <w:rPr>
                <w:rFonts w:ascii="Calibri" w:eastAsia="Times New Roman" w:hAnsi="Calibri"/>
                <w:bCs/>
                <w:color w:val="000000"/>
                <w:sz w:val="20"/>
                <w:szCs w:val="20"/>
                <w:lang w:eastAsia="en-US"/>
              </w:rPr>
              <w:t>Operating profit</w:t>
            </w:r>
          </w:p>
        </w:tc>
        <w:tc>
          <w:tcPr>
            <w:tcW w:w="1168"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314.80</w:t>
            </w:r>
          </w:p>
        </w:tc>
        <w:tc>
          <w:tcPr>
            <w:tcW w:w="964"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BF1811" w:rsidRPr="003E7796" w:rsidRDefault="00BF1811">
            <w:pPr>
              <w:jc w:val="right"/>
              <w:rPr>
                <w:rFonts w:ascii="Calibri" w:hAnsi="Calibri"/>
                <w:color w:val="000000"/>
                <w:sz w:val="20"/>
                <w:szCs w:val="20"/>
              </w:rPr>
            </w:pPr>
            <w:r w:rsidRPr="003E7796">
              <w:rPr>
                <w:rFonts w:ascii="Calibri" w:hAnsi="Calibri"/>
                <w:color w:val="000000"/>
                <w:sz w:val="20"/>
                <w:szCs w:val="20"/>
              </w:rPr>
              <w:t>-63.2%</w:t>
            </w:r>
          </w:p>
        </w:tc>
        <w:tc>
          <w:tcPr>
            <w:tcW w:w="1150"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854.60</w:t>
            </w:r>
          </w:p>
        </w:tc>
        <w:tc>
          <w:tcPr>
            <w:tcW w:w="920"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BF1811" w:rsidRPr="003E7796" w:rsidRDefault="00BF1811">
            <w:pPr>
              <w:jc w:val="right"/>
              <w:rPr>
                <w:rFonts w:ascii="Calibri" w:hAnsi="Calibri"/>
                <w:color w:val="000000"/>
                <w:sz w:val="20"/>
                <w:szCs w:val="20"/>
              </w:rPr>
            </w:pPr>
            <w:r w:rsidRPr="003E7796">
              <w:rPr>
                <w:rFonts w:ascii="Calibri" w:hAnsi="Calibri"/>
                <w:color w:val="000000"/>
                <w:sz w:val="20"/>
                <w:szCs w:val="20"/>
              </w:rPr>
              <w:t>-20.4%</w:t>
            </w:r>
          </w:p>
        </w:tc>
        <w:tc>
          <w:tcPr>
            <w:tcW w:w="1262" w:type="dxa"/>
            <w:tcBorders>
              <w:top w:val="single" w:sz="8" w:space="0" w:color="auto"/>
              <w:left w:val="single" w:sz="8" w:space="0" w:color="auto"/>
              <w:bottom w:val="single" w:sz="8" w:space="0" w:color="auto"/>
              <w:right w:val="nil"/>
            </w:tcBorders>
            <w:shd w:val="clear" w:color="auto" w:fill="FFFF66"/>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1,073.10</w:t>
            </w:r>
          </w:p>
        </w:tc>
      </w:tr>
      <w:tr w:rsidR="003B2F6B" w:rsidRPr="003E7796" w:rsidTr="003B2F6B">
        <w:trPr>
          <w:trHeight w:val="300"/>
          <w:jc w:val="center"/>
        </w:trPr>
        <w:tc>
          <w:tcPr>
            <w:tcW w:w="2681" w:type="dxa"/>
            <w:tcBorders>
              <w:top w:val="single" w:sz="8" w:space="0" w:color="auto"/>
              <w:left w:val="nil"/>
              <w:bottom w:val="single" w:sz="8" w:space="0" w:color="auto"/>
              <w:right w:val="single" w:sz="8" w:space="0" w:color="auto"/>
            </w:tcBorders>
            <w:shd w:val="clear" w:color="auto" w:fill="auto"/>
            <w:vAlign w:val="center"/>
            <w:hideMark/>
          </w:tcPr>
          <w:p w:rsidR="00BF1811" w:rsidRPr="003E7796" w:rsidRDefault="00BF1811" w:rsidP="003E7796">
            <w:pPr>
              <w:ind w:firstLineChars="100" w:firstLine="200"/>
              <w:rPr>
                <w:rFonts w:ascii="Calibri" w:eastAsia="Times New Roman" w:hAnsi="Calibri"/>
                <w:bCs/>
                <w:color w:val="000000"/>
                <w:sz w:val="20"/>
                <w:szCs w:val="20"/>
                <w:lang w:eastAsia="en-US"/>
              </w:rPr>
            </w:pPr>
            <w:r w:rsidRPr="003E7796">
              <w:rPr>
                <w:rFonts w:ascii="Calibri" w:eastAsia="Times New Roman" w:hAnsi="Calibri"/>
                <w:bCs/>
                <w:color w:val="000000"/>
                <w:sz w:val="20"/>
                <w:szCs w:val="20"/>
                <w:lang w:eastAsia="en-US"/>
              </w:rPr>
              <w:t>Interest expense</w:t>
            </w:r>
          </w:p>
        </w:tc>
        <w:tc>
          <w:tcPr>
            <w:tcW w:w="116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104.30</w:t>
            </w:r>
          </w:p>
        </w:tc>
        <w:tc>
          <w:tcPr>
            <w:tcW w:w="96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F1811" w:rsidRPr="003E7796" w:rsidRDefault="00BF1811">
            <w:pPr>
              <w:jc w:val="right"/>
              <w:rPr>
                <w:rFonts w:ascii="Calibri" w:hAnsi="Calibri"/>
                <w:color w:val="000000"/>
                <w:sz w:val="20"/>
                <w:szCs w:val="20"/>
              </w:rPr>
            </w:pPr>
            <w:r w:rsidRPr="003E7796">
              <w:rPr>
                <w:rFonts w:ascii="Calibri" w:hAnsi="Calibri"/>
                <w:color w:val="000000"/>
                <w:sz w:val="20"/>
                <w:szCs w:val="20"/>
              </w:rPr>
              <w:t>12.3%</w:t>
            </w:r>
          </w:p>
        </w:tc>
        <w:tc>
          <w:tcPr>
            <w:tcW w:w="115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92.90</w:t>
            </w:r>
          </w:p>
        </w:tc>
        <w:tc>
          <w:tcPr>
            <w:tcW w:w="9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F1811" w:rsidRPr="003E7796" w:rsidRDefault="00BF1811">
            <w:pPr>
              <w:jc w:val="right"/>
              <w:rPr>
                <w:rFonts w:ascii="Calibri" w:hAnsi="Calibri"/>
                <w:color w:val="000000"/>
                <w:sz w:val="20"/>
                <w:szCs w:val="20"/>
              </w:rPr>
            </w:pPr>
            <w:r w:rsidRPr="003E7796">
              <w:rPr>
                <w:rFonts w:ascii="Calibri" w:hAnsi="Calibri"/>
                <w:color w:val="000000"/>
                <w:sz w:val="20"/>
                <w:szCs w:val="20"/>
              </w:rPr>
              <w:t>6.7%</w:t>
            </w:r>
          </w:p>
        </w:tc>
        <w:tc>
          <w:tcPr>
            <w:tcW w:w="1262" w:type="dxa"/>
            <w:tcBorders>
              <w:top w:val="single" w:sz="8" w:space="0" w:color="auto"/>
              <w:left w:val="single" w:sz="8" w:space="0" w:color="auto"/>
              <w:bottom w:val="single" w:sz="8" w:space="0" w:color="auto"/>
              <w:right w:val="nil"/>
            </w:tcBorders>
            <w:shd w:val="clear" w:color="auto" w:fill="auto"/>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87.10</w:t>
            </w:r>
          </w:p>
        </w:tc>
      </w:tr>
      <w:tr w:rsidR="00BF1811" w:rsidRPr="003E7796" w:rsidTr="003B2F6B">
        <w:trPr>
          <w:trHeight w:val="300"/>
          <w:jc w:val="center"/>
        </w:trPr>
        <w:tc>
          <w:tcPr>
            <w:tcW w:w="2681" w:type="dxa"/>
            <w:tcBorders>
              <w:top w:val="single" w:sz="8" w:space="0" w:color="auto"/>
              <w:left w:val="nil"/>
              <w:bottom w:val="single" w:sz="8" w:space="0" w:color="auto"/>
              <w:right w:val="single" w:sz="8" w:space="0" w:color="auto"/>
            </w:tcBorders>
            <w:shd w:val="clear" w:color="auto" w:fill="auto"/>
            <w:vAlign w:val="center"/>
            <w:hideMark/>
          </w:tcPr>
          <w:p w:rsidR="00BF1811" w:rsidRPr="003E7796" w:rsidRDefault="00BF1811" w:rsidP="009C5E3C">
            <w:pPr>
              <w:rPr>
                <w:rFonts w:ascii="Calibri" w:eastAsia="Times New Roman" w:hAnsi="Calibri"/>
                <w:bCs/>
                <w:color w:val="000000"/>
                <w:sz w:val="20"/>
                <w:szCs w:val="20"/>
                <w:lang w:eastAsia="en-US"/>
              </w:rPr>
            </w:pPr>
            <w:r w:rsidRPr="003E7796">
              <w:rPr>
                <w:rFonts w:ascii="Calibri" w:eastAsia="Times New Roman" w:hAnsi="Calibri"/>
                <w:bCs/>
                <w:color w:val="000000"/>
                <w:sz w:val="20"/>
                <w:szCs w:val="20"/>
                <w:lang w:eastAsia="en-US"/>
              </w:rPr>
              <w:t>Interest income</w:t>
            </w:r>
          </w:p>
        </w:tc>
        <w:tc>
          <w:tcPr>
            <w:tcW w:w="116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-15.10</w:t>
            </w:r>
          </w:p>
        </w:tc>
        <w:tc>
          <w:tcPr>
            <w:tcW w:w="96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F1811" w:rsidRPr="003E7796" w:rsidRDefault="00BF1811">
            <w:pPr>
              <w:jc w:val="right"/>
              <w:rPr>
                <w:rFonts w:ascii="Calibri" w:hAnsi="Calibri"/>
                <w:color w:val="000000"/>
                <w:sz w:val="20"/>
                <w:szCs w:val="20"/>
              </w:rPr>
            </w:pPr>
            <w:r w:rsidRPr="003E7796">
              <w:rPr>
                <w:rFonts w:ascii="Calibri" w:hAnsi="Calibri"/>
                <w:color w:val="000000"/>
                <w:sz w:val="20"/>
                <w:szCs w:val="20"/>
              </w:rPr>
              <w:t>-8.5%</w:t>
            </w:r>
          </w:p>
        </w:tc>
        <w:tc>
          <w:tcPr>
            <w:tcW w:w="115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-16.50</w:t>
            </w:r>
          </w:p>
        </w:tc>
        <w:tc>
          <w:tcPr>
            <w:tcW w:w="9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F1811" w:rsidRPr="003E7796" w:rsidRDefault="00BF1811">
            <w:pPr>
              <w:jc w:val="right"/>
              <w:rPr>
                <w:rFonts w:ascii="Calibri" w:hAnsi="Calibri"/>
                <w:color w:val="000000"/>
                <w:sz w:val="20"/>
                <w:szCs w:val="20"/>
              </w:rPr>
            </w:pPr>
            <w:r w:rsidRPr="003E7796">
              <w:rPr>
                <w:rFonts w:ascii="Calibri" w:hAnsi="Calibri"/>
                <w:color w:val="000000"/>
                <w:sz w:val="20"/>
                <w:szCs w:val="20"/>
              </w:rPr>
              <w:t>17.9%</w:t>
            </w:r>
          </w:p>
        </w:tc>
        <w:tc>
          <w:tcPr>
            <w:tcW w:w="1262" w:type="dxa"/>
            <w:tcBorders>
              <w:top w:val="single" w:sz="8" w:space="0" w:color="auto"/>
              <w:left w:val="single" w:sz="8" w:space="0" w:color="auto"/>
              <w:bottom w:val="single" w:sz="8" w:space="0" w:color="auto"/>
              <w:right w:val="nil"/>
            </w:tcBorders>
            <w:shd w:val="clear" w:color="auto" w:fill="auto"/>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-14.00</w:t>
            </w:r>
          </w:p>
        </w:tc>
      </w:tr>
      <w:tr w:rsidR="003B2F6B" w:rsidRPr="003E7796" w:rsidTr="003B2F6B">
        <w:trPr>
          <w:trHeight w:val="300"/>
          <w:jc w:val="center"/>
        </w:trPr>
        <w:tc>
          <w:tcPr>
            <w:tcW w:w="2681" w:type="dxa"/>
            <w:tcBorders>
              <w:top w:val="single" w:sz="8" w:space="0" w:color="auto"/>
              <w:left w:val="nil"/>
              <w:bottom w:val="single" w:sz="8" w:space="0" w:color="auto"/>
              <w:right w:val="single" w:sz="8" w:space="0" w:color="auto"/>
            </w:tcBorders>
            <w:shd w:val="clear" w:color="auto" w:fill="auto"/>
            <w:vAlign w:val="center"/>
            <w:hideMark/>
          </w:tcPr>
          <w:p w:rsidR="00BF1811" w:rsidRPr="003E7796" w:rsidRDefault="00BF1811" w:rsidP="003E7796">
            <w:pPr>
              <w:ind w:firstLineChars="100" w:firstLine="200"/>
              <w:rPr>
                <w:rFonts w:ascii="Calibri" w:eastAsia="Times New Roman" w:hAnsi="Calibri"/>
                <w:bCs/>
                <w:color w:val="000000"/>
                <w:sz w:val="20"/>
                <w:szCs w:val="20"/>
                <w:lang w:eastAsia="en-US"/>
              </w:rPr>
            </w:pPr>
            <w:r w:rsidRPr="003E7796">
              <w:rPr>
                <w:rFonts w:ascii="Calibri" w:eastAsia="Times New Roman" w:hAnsi="Calibri"/>
                <w:bCs/>
                <w:color w:val="000000"/>
                <w:sz w:val="20"/>
                <w:szCs w:val="20"/>
                <w:lang w:eastAsia="en-US"/>
              </w:rPr>
              <w:t>Other expense, net</w:t>
            </w:r>
          </w:p>
        </w:tc>
        <w:tc>
          <w:tcPr>
            <w:tcW w:w="116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7.00</w:t>
            </w:r>
          </w:p>
        </w:tc>
        <w:tc>
          <w:tcPr>
            <w:tcW w:w="96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F1811" w:rsidRPr="003E7796" w:rsidRDefault="00BF1811">
            <w:pPr>
              <w:jc w:val="right"/>
              <w:rPr>
                <w:rFonts w:ascii="Calibri" w:hAnsi="Calibri"/>
                <w:color w:val="000000"/>
                <w:sz w:val="20"/>
                <w:szCs w:val="20"/>
              </w:rPr>
            </w:pPr>
            <w:r w:rsidRPr="003E7796">
              <w:rPr>
                <w:rFonts w:ascii="Calibri" w:hAnsi="Calibri"/>
                <w:color w:val="000000"/>
                <w:sz w:val="20"/>
                <w:szCs w:val="20"/>
              </w:rPr>
              <w:t>-80.3%</w:t>
            </w:r>
          </w:p>
        </w:tc>
        <w:tc>
          <w:tcPr>
            <w:tcW w:w="115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35.60</w:t>
            </w:r>
          </w:p>
        </w:tc>
        <w:tc>
          <w:tcPr>
            <w:tcW w:w="9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F1811" w:rsidRPr="003E7796" w:rsidRDefault="00BF1811">
            <w:pPr>
              <w:jc w:val="right"/>
              <w:rPr>
                <w:rFonts w:ascii="Calibri" w:hAnsi="Calibri"/>
                <w:color w:val="000000"/>
                <w:sz w:val="20"/>
                <w:szCs w:val="20"/>
              </w:rPr>
            </w:pPr>
            <w:r w:rsidRPr="003E7796">
              <w:rPr>
                <w:rFonts w:ascii="Calibri" w:hAnsi="Calibri"/>
                <w:color w:val="000000"/>
                <w:sz w:val="20"/>
                <w:szCs w:val="20"/>
              </w:rPr>
              <w:t>-34.8%</w:t>
            </w:r>
          </w:p>
        </w:tc>
        <w:tc>
          <w:tcPr>
            <w:tcW w:w="1262" w:type="dxa"/>
            <w:tcBorders>
              <w:top w:val="single" w:sz="8" w:space="0" w:color="auto"/>
              <w:left w:val="single" w:sz="8" w:space="0" w:color="auto"/>
              <w:bottom w:val="single" w:sz="8" w:space="0" w:color="auto"/>
              <w:right w:val="nil"/>
            </w:tcBorders>
            <w:shd w:val="clear" w:color="auto" w:fill="auto"/>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54.60</w:t>
            </w:r>
          </w:p>
        </w:tc>
      </w:tr>
      <w:tr w:rsidR="00BF1811" w:rsidRPr="003E7796" w:rsidTr="003B2F6B">
        <w:trPr>
          <w:trHeight w:val="300"/>
          <w:jc w:val="center"/>
        </w:trPr>
        <w:tc>
          <w:tcPr>
            <w:tcW w:w="2681" w:type="dxa"/>
            <w:tcBorders>
              <w:top w:val="single" w:sz="8" w:space="0" w:color="auto"/>
              <w:left w:val="nil"/>
              <w:bottom w:val="single" w:sz="8" w:space="0" w:color="auto"/>
              <w:right w:val="single" w:sz="8" w:space="0" w:color="auto"/>
            </w:tcBorders>
            <w:shd w:val="clear" w:color="auto" w:fill="auto"/>
            <w:vAlign w:val="center"/>
            <w:hideMark/>
          </w:tcPr>
          <w:p w:rsidR="00BF1811" w:rsidRPr="003E7796" w:rsidRDefault="00BF1811" w:rsidP="003E7796">
            <w:pPr>
              <w:ind w:firstLineChars="100" w:firstLine="200"/>
              <w:rPr>
                <w:rFonts w:ascii="Calibri" w:eastAsia="Times New Roman" w:hAnsi="Calibri"/>
                <w:bCs/>
                <w:color w:val="000000"/>
                <w:sz w:val="20"/>
                <w:szCs w:val="20"/>
                <w:lang w:eastAsia="en-US"/>
              </w:rPr>
            </w:pPr>
            <w:r w:rsidRPr="003E7796">
              <w:rPr>
                <w:rFonts w:ascii="Calibri" w:eastAsia="Times New Roman" w:hAnsi="Calibri"/>
                <w:bCs/>
                <w:color w:val="000000"/>
                <w:sz w:val="20"/>
                <w:szCs w:val="20"/>
                <w:lang w:eastAsia="en-US"/>
              </w:rPr>
              <w:t>Total other expenses</w:t>
            </w:r>
          </w:p>
        </w:tc>
        <w:tc>
          <w:tcPr>
            <w:tcW w:w="116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96.20</w:t>
            </w:r>
          </w:p>
        </w:tc>
        <w:tc>
          <w:tcPr>
            <w:tcW w:w="96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F1811" w:rsidRPr="003E7796" w:rsidRDefault="00BF1811">
            <w:pPr>
              <w:jc w:val="right"/>
              <w:rPr>
                <w:rFonts w:ascii="Calibri" w:hAnsi="Calibri"/>
                <w:color w:val="000000"/>
                <w:sz w:val="20"/>
                <w:szCs w:val="20"/>
              </w:rPr>
            </w:pPr>
            <w:r w:rsidRPr="003E7796">
              <w:rPr>
                <w:rFonts w:ascii="Calibri" w:hAnsi="Calibri"/>
                <w:color w:val="000000"/>
                <w:sz w:val="20"/>
                <w:szCs w:val="20"/>
              </w:rPr>
              <w:t>-14.1%</w:t>
            </w:r>
          </w:p>
        </w:tc>
        <w:tc>
          <w:tcPr>
            <w:tcW w:w="115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112.00</w:t>
            </w:r>
          </w:p>
        </w:tc>
        <w:tc>
          <w:tcPr>
            <w:tcW w:w="9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F1811" w:rsidRPr="003E7796" w:rsidRDefault="00BF1811">
            <w:pPr>
              <w:jc w:val="right"/>
              <w:rPr>
                <w:rFonts w:ascii="Calibri" w:hAnsi="Calibri"/>
                <w:color w:val="000000"/>
                <w:sz w:val="20"/>
                <w:szCs w:val="20"/>
              </w:rPr>
            </w:pPr>
            <w:r w:rsidRPr="003E7796">
              <w:rPr>
                <w:rFonts w:ascii="Calibri" w:hAnsi="Calibri"/>
                <w:color w:val="000000"/>
                <w:sz w:val="20"/>
                <w:szCs w:val="20"/>
              </w:rPr>
              <w:t>-12.3%</w:t>
            </w:r>
          </w:p>
        </w:tc>
        <w:tc>
          <w:tcPr>
            <w:tcW w:w="1262" w:type="dxa"/>
            <w:tcBorders>
              <w:top w:val="single" w:sz="8" w:space="0" w:color="auto"/>
              <w:left w:val="single" w:sz="8" w:space="0" w:color="auto"/>
              <w:bottom w:val="single" w:sz="8" w:space="0" w:color="auto"/>
              <w:right w:val="nil"/>
            </w:tcBorders>
            <w:shd w:val="clear" w:color="auto" w:fill="auto"/>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127.70</w:t>
            </w:r>
          </w:p>
        </w:tc>
      </w:tr>
      <w:tr w:rsidR="00541063" w:rsidRPr="003E7796" w:rsidTr="00D879BB">
        <w:trPr>
          <w:trHeight w:val="432"/>
          <w:jc w:val="center"/>
        </w:trPr>
        <w:tc>
          <w:tcPr>
            <w:tcW w:w="2681" w:type="dxa"/>
            <w:tcBorders>
              <w:top w:val="single" w:sz="8" w:space="0" w:color="auto"/>
              <w:left w:val="nil"/>
              <w:bottom w:val="single" w:sz="8" w:space="0" w:color="auto"/>
              <w:right w:val="single" w:sz="8" w:space="0" w:color="auto"/>
            </w:tcBorders>
            <w:shd w:val="clear" w:color="auto" w:fill="FFFF66"/>
            <w:vAlign w:val="center"/>
            <w:hideMark/>
          </w:tcPr>
          <w:p w:rsidR="00BF1811" w:rsidRPr="003E7796" w:rsidRDefault="00BF1811" w:rsidP="003E7796">
            <w:pPr>
              <w:ind w:firstLineChars="100" w:firstLine="200"/>
              <w:rPr>
                <w:rFonts w:ascii="Calibri" w:eastAsia="Times New Roman" w:hAnsi="Calibri"/>
                <w:bCs/>
                <w:color w:val="000000"/>
                <w:sz w:val="20"/>
                <w:szCs w:val="20"/>
                <w:lang w:eastAsia="en-US"/>
              </w:rPr>
            </w:pPr>
            <w:r w:rsidRPr="003E7796">
              <w:rPr>
                <w:rFonts w:ascii="Calibri" w:eastAsia="Times New Roman" w:hAnsi="Calibri"/>
                <w:bCs/>
                <w:color w:val="000000"/>
                <w:sz w:val="20"/>
                <w:szCs w:val="20"/>
                <w:lang w:eastAsia="en-US"/>
              </w:rPr>
              <w:t>Income from cont</w:t>
            </w:r>
            <w:r w:rsidR="003B2F6B">
              <w:rPr>
                <w:rFonts w:ascii="Calibri" w:eastAsia="Times New Roman" w:hAnsi="Calibri"/>
                <w:bCs/>
                <w:color w:val="000000"/>
                <w:sz w:val="20"/>
                <w:szCs w:val="20"/>
                <w:lang w:eastAsia="en-US"/>
              </w:rPr>
              <w:t>’</w:t>
            </w:r>
            <w:r w:rsidRPr="003E7796">
              <w:rPr>
                <w:rFonts w:ascii="Calibri" w:eastAsia="Times New Roman" w:hAnsi="Calibri"/>
                <w:bCs/>
                <w:color w:val="000000"/>
                <w:sz w:val="20"/>
                <w:szCs w:val="20"/>
                <w:lang w:eastAsia="en-US"/>
              </w:rPr>
              <w:t>g operations, before taxes</w:t>
            </w:r>
          </w:p>
        </w:tc>
        <w:tc>
          <w:tcPr>
            <w:tcW w:w="1168"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218.60</w:t>
            </w:r>
          </w:p>
        </w:tc>
        <w:tc>
          <w:tcPr>
            <w:tcW w:w="964"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BF1811" w:rsidRPr="003E7796" w:rsidRDefault="00BF1811">
            <w:pPr>
              <w:jc w:val="right"/>
              <w:rPr>
                <w:rFonts w:ascii="Calibri" w:hAnsi="Calibri"/>
                <w:color w:val="000000"/>
                <w:sz w:val="20"/>
                <w:szCs w:val="20"/>
              </w:rPr>
            </w:pPr>
            <w:r w:rsidRPr="003E7796">
              <w:rPr>
                <w:rFonts w:ascii="Calibri" w:hAnsi="Calibri"/>
                <w:color w:val="000000"/>
                <w:sz w:val="20"/>
                <w:szCs w:val="20"/>
              </w:rPr>
              <w:t>-70.6%</w:t>
            </w:r>
          </w:p>
        </w:tc>
        <w:tc>
          <w:tcPr>
            <w:tcW w:w="1150"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742.60</w:t>
            </w:r>
          </w:p>
        </w:tc>
        <w:tc>
          <w:tcPr>
            <w:tcW w:w="920"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BF1811" w:rsidRPr="003E7796" w:rsidRDefault="00BF1811">
            <w:pPr>
              <w:jc w:val="right"/>
              <w:rPr>
                <w:rFonts w:ascii="Calibri" w:hAnsi="Calibri"/>
                <w:color w:val="000000"/>
                <w:sz w:val="20"/>
                <w:szCs w:val="20"/>
              </w:rPr>
            </w:pPr>
            <w:r w:rsidRPr="003E7796">
              <w:rPr>
                <w:rFonts w:ascii="Calibri" w:hAnsi="Calibri"/>
                <w:color w:val="000000"/>
                <w:sz w:val="20"/>
                <w:szCs w:val="20"/>
              </w:rPr>
              <w:t>-21.5%</w:t>
            </w:r>
          </w:p>
        </w:tc>
        <w:tc>
          <w:tcPr>
            <w:tcW w:w="1262" w:type="dxa"/>
            <w:tcBorders>
              <w:top w:val="single" w:sz="8" w:space="0" w:color="auto"/>
              <w:left w:val="single" w:sz="8" w:space="0" w:color="auto"/>
              <w:bottom w:val="single" w:sz="8" w:space="0" w:color="auto"/>
              <w:right w:val="nil"/>
            </w:tcBorders>
            <w:shd w:val="clear" w:color="auto" w:fill="FFFF66"/>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945.40</w:t>
            </w:r>
          </w:p>
        </w:tc>
      </w:tr>
      <w:tr w:rsidR="00BF1811" w:rsidRPr="003E7796" w:rsidTr="003B2F6B">
        <w:trPr>
          <w:trHeight w:val="300"/>
          <w:jc w:val="center"/>
        </w:trPr>
        <w:tc>
          <w:tcPr>
            <w:tcW w:w="2681" w:type="dxa"/>
            <w:tcBorders>
              <w:top w:val="single" w:sz="8" w:space="0" w:color="auto"/>
              <w:left w:val="nil"/>
              <w:bottom w:val="single" w:sz="8" w:space="0" w:color="auto"/>
              <w:right w:val="single" w:sz="8" w:space="0" w:color="auto"/>
            </w:tcBorders>
            <w:shd w:val="clear" w:color="auto" w:fill="auto"/>
            <w:vAlign w:val="center"/>
            <w:hideMark/>
          </w:tcPr>
          <w:p w:rsidR="00BF1811" w:rsidRPr="003E7796" w:rsidRDefault="00BF1811" w:rsidP="003E7796">
            <w:pPr>
              <w:ind w:firstLineChars="100" w:firstLine="200"/>
              <w:rPr>
                <w:rFonts w:ascii="Calibri" w:eastAsia="Times New Roman" w:hAnsi="Calibri"/>
                <w:bCs/>
                <w:color w:val="000000"/>
                <w:sz w:val="20"/>
                <w:szCs w:val="20"/>
                <w:lang w:eastAsia="en-US"/>
              </w:rPr>
            </w:pPr>
            <w:r w:rsidRPr="003E7796">
              <w:rPr>
                <w:rFonts w:ascii="Calibri" w:eastAsia="Times New Roman" w:hAnsi="Calibri"/>
                <w:bCs/>
                <w:color w:val="000000"/>
                <w:sz w:val="20"/>
                <w:szCs w:val="20"/>
                <w:lang w:eastAsia="en-US"/>
              </w:rPr>
              <w:t>Income taxes</w:t>
            </w:r>
          </w:p>
        </w:tc>
        <w:tc>
          <w:tcPr>
            <w:tcW w:w="116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256.80</w:t>
            </w:r>
          </w:p>
        </w:tc>
        <w:tc>
          <w:tcPr>
            <w:tcW w:w="96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F1811" w:rsidRPr="003E7796" w:rsidRDefault="00BF1811">
            <w:pPr>
              <w:jc w:val="right"/>
              <w:rPr>
                <w:rFonts w:ascii="Calibri" w:hAnsi="Calibri"/>
                <w:color w:val="000000"/>
                <w:sz w:val="20"/>
                <w:szCs w:val="20"/>
              </w:rPr>
            </w:pPr>
            <w:r w:rsidRPr="003E7796">
              <w:rPr>
                <w:rFonts w:ascii="Calibri" w:hAnsi="Calibri"/>
                <w:color w:val="000000"/>
                <w:sz w:val="20"/>
                <w:szCs w:val="20"/>
              </w:rPr>
              <w:t>18.8%</w:t>
            </w:r>
          </w:p>
        </w:tc>
        <w:tc>
          <w:tcPr>
            <w:tcW w:w="115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216.20</w:t>
            </w:r>
          </w:p>
        </w:tc>
        <w:tc>
          <w:tcPr>
            <w:tcW w:w="9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F1811" w:rsidRPr="003E7796" w:rsidRDefault="00BF1811">
            <w:pPr>
              <w:jc w:val="right"/>
              <w:rPr>
                <w:rFonts w:ascii="Calibri" w:hAnsi="Calibri"/>
                <w:color w:val="000000"/>
                <w:sz w:val="20"/>
                <w:szCs w:val="20"/>
              </w:rPr>
            </w:pPr>
            <w:r w:rsidRPr="003E7796">
              <w:rPr>
                <w:rFonts w:ascii="Calibri" w:hAnsi="Calibri"/>
                <w:color w:val="000000"/>
                <w:sz w:val="20"/>
                <w:szCs w:val="20"/>
              </w:rPr>
              <w:t>-38.3%</w:t>
            </w:r>
          </w:p>
        </w:tc>
        <w:tc>
          <w:tcPr>
            <w:tcW w:w="1262" w:type="dxa"/>
            <w:tcBorders>
              <w:top w:val="single" w:sz="8" w:space="0" w:color="auto"/>
              <w:left w:val="single" w:sz="8" w:space="0" w:color="auto"/>
              <w:bottom w:val="single" w:sz="8" w:space="0" w:color="auto"/>
              <w:right w:val="nil"/>
            </w:tcBorders>
            <w:shd w:val="clear" w:color="auto" w:fill="auto"/>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350.20</w:t>
            </w:r>
          </w:p>
        </w:tc>
      </w:tr>
      <w:tr w:rsidR="00541063" w:rsidRPr="003E7796" w:rsidTr="00D879BB">
        <w:trPr>
          <w:trHeight w:val="432"/>
          <w:jc w:val="center"/>
        </w:trPr>
        <w:tc>
          <w:tcPr>
            <w:tcW w:w="2681" w:type="dxa"/>
            <w:tcBorders>
              <w:top w:val="single" w:sz="8" w:space="0" w:color="auto"/>
              <w:left w:val="nil"/>
              <w:bottom w:val="single" w:sz="8" w:space="0" w:color="auto"/>
              <w:right w:val="single" w:sz="8" w:space="0" w:color="auto"/>
            </w:tcBorders>
            <w:shd w:val="clear" w:color="auto" w:fill="FFFF66"/>
            <w:vAlign w:val="center"/>
            <w:hideMark/>
          </w:tcPr>
          <w:p w:rsidR="00BF1811" w:rsidRPr="003E7796" w:rsidRDefault="00BF1811" w:rsidP="00826092">
            <w:pPr>
              <w:rPr>
                <w:rFonts w:ascii="Calibri" w:eastAsia="Times New Roman" w:hAnsi="Calibri"/>
                <w:bCs/>
                <w:color w:val="000000"/>
                <w:sz w:val="20"/>
                <w:szCs w:val="20"/>
                <w:lang w:eastAsia="en-US"/>
              </w:rPr>
            </w:pPr>
            <w:r w:rsidRPr="003E7796">
              <w:rPr>
                <w:rFonts w:ascii="Calibri" w:eastAsia="Times New Roman" w:hAnsi="Calibri"/>
                <w:bCs/>
                <w:color w:val="000000"/>
                <w:sz w:val="20"/>
                <w:szCs w:val="20"/>
                <w:lang w:eastAsia="en-US"/>
              </w:rPr>
              <w:t>(Loss) income from contin</w:t>
            </w:r>
            <w:r w:rsidR="003B2F6B">
              <w:rPr>
                <w:rFonts w:ascii="Calibri" w:eastAsia="Times New Roman" w:hAnsi="Calibri"/>
                <w:bCs/>
                <w:color w:val="000000"/>
                <w:sz w:val="20"/>
                <w:szCs w:val="20"/>
                <w:lang w:eastAsia="en-US"/>
              </w:rPr>
              <w:t>’</w:t>
            </w:r>
            <w:r w:rsidRPr="003E7796">
              <w:rPr>
                <w:rFonts w:ascii="Calibri" w:eastAsia="Times New Roman" w:hAnsi="Calibri"/>
                <w:bCs/>
                <w:color w:val="000000"/>
                <w:sz w:val="20"/>
                <w:szCs w:val="20"/>
                <w:lang w:eastAsia="en-US"/>
              </w:rPr>
              <w:t>g operations, net of tax</w:t>
            </w:r>
          </w:p>
        </w:tc>
        <w:tc>
          <w:tcPr>
            <w:tcW w:w="1168"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-38.20</w:t>
            </w:r>
          </w:p>
        </w:tc>
        <w:tc>
          <w:tcPr>
            <w:tcW w:w="964"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BF1811" w:rsidRPr="003E7796" w:rsidRDefault="00BF1811">
            <w:pPr>
              <w:jc w:val="right"/>
              <w:rPr>
                <w:rFonts w:ascii="Calibri" w:hAnsi="Calibri"/>
                <w:color w:val="000000"/>
                <w:sz w:val="20"/>
                <w:szCs w:val="20"/>
              </w:rPr>
            </w:pPr>
            <w:r w:rsidRPr="003E7796">
              <w:rPr>
                <w:rFonts w:ascii="Calibri" w:hAnsi="Calibri"/>
                <w:color w:val="000000"/>
                <w:sz w:val="20"/>
                <w:szCs w:val="20"/>
              </w:rPr>
              <w:t>-107.3%</w:t>
            </w:r>
          </w:p>
        </w:tc>
        <w:tc>
          <w:tcPr>
            <w:tcW w:w="1150"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526.40</w:t>
            </w:r>
          </w:p>
        </w:tc>
        <w:tc>
          <w:tcPr>
            <w:tcW w:w="920"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BF1811" w:rsidRPr="003E7796" w:rsidRDefault="00BF1811">
            <w:pPr>
              <w:jc w:val="right"/>
              <w:rPr>
                <w:rFonts w:ascii="Calibri" w:hAnsi="Calibri"/>
                <w:color w:val="000000"/>
                <w:sz w:val="20"/>
                <w:szCs w:val="20"/>
              </w:rPr>
            </w:pPr>
            <w:r w:rsidRPr="003E7796">
              <w:rPr>
                <w:rFonts w:ascii="Calibri" w:hAnsi="Calibri"/>
                <w:color w:val="000000"/>
                <w:sz w:val="20"/>
                <w:szCs w:val="20"/>
              </w:rPr>
              <w:t>-11.6%</w:t>
            </w:r>
          </w:p>
        </w:tc>
        <w:tc>
          <w:tcPr>
            <w:tcW w:w="1262" w:type="dxa"/>
            <w:tcBorders>
              <w:top w:val="single" w:sz="8" w:space="0" w:color="auto"/>
              <w:left w:val="single" w:sz="8" w:space="0" w:color="auto"/>
              <w:bottom w:val="single" w:sz="8" w:space="0" w:color="auto"/>
              <w:right w:val="nil"/>
            </w:tcBorders>
            <w:shd w:val="clear" w:color="auto" w:fill="FFFF66"/>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595.20</w:t>
            </w:r>
          </w:p>
        </w:tc>
      </w:tr>
      <w:tr w:rsidR="00BF1811" w:rsidRPr="003E7796" w:rsidTr="003B2F6B">
        <w:trPr>
          <w:trHeight w:val="510"/>
          <w:jc w:val="center"/>
        </w:trPr>
        <w:tc>
          <w:tcPr>
            <w:tcW w:w="2681" w:type="dxa"/>
            <w:tcBorders>
              <w:top w:val="single" w:sz="8" w:space="0" w:color="auto"/>
              <w:left w:val="nil"/>
              <w:bottom w:val="single" w:sz="8" w:space="0" w:color="auto"/>
              <w:right w:val="single" w:sz="8" w:space="0" w:color="auto"/>
            </w:tcBorders>
            <w:shd w:val="clear" w:color="auto" w:fill="auto"/>
            <w:vAlign w:val="center"/>
            <w:hideMark/>
          </w:tcPr>
          <w:p w:rsidR="00BF1811" w:rsidRPr="003E7796" w:rsidRDefault="00BF1811" w:rsidP="003E7796">
            <w:pPr>
              <w:ind w:firstLineChars="100" w:firstLine="200"/>
              <w:rPr>
                <w:rFonts w:ascii="Calibri" w:eastAsia="Times New Roman" w:hAnsi="Calibri"/>
                <w:bCs/>
                <w:color w:val="000000"/>
                <w:sz w:val="20"/>
                <w:szCs w:val="20"/>
                <w:lang w:eastAsia="en-US"/>
              </w:rPr>
            </w:pPr>
            <w:r w:rsidRPr="003E7796">
              <w:rPr>
                <w:rFonts w:ascii="Calibri" w:eastAsia="Times New Roman" w:hAnsi="Calibri"/>
                <w:bCs/>
                <w:color w:val="000000"/>
                <w:sz w:val="20"/>
                <w:szCs w:val="20"/>
                <w:lang w:eastAsia="en-US"/>
              </w:rPr>
              <w:t>Discontinued operations, net of tax</w:t>
            </w:r>
          </w:p>
        </w:tc>
        <w:tc>
          <w:tcPr>
            <w:tcW w:w="116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0</w:t>
            </w:r>
          </w:p>
        </w:tc>
        <w:tc>
          <w:tcPr>
            <w:tcW w:w="96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F1811" w:rsidRPr="003E7796" w:rsidRDefault="00BF1811">
            <w:pPr>
              <w:jc w:val="right"/>
              <w:rPr>
                <w:rFonts w:ascii="Calibri" w:hAnsi="Calibri"/>
                <w:color w:val="000000"/>
                <w:sz w:val="20"/>
                <w:szCs w:val="20"/>
              </w:rPr>
            </w:pPr>
            <w:r w:rsidRPr="003E7796">
              <w:rPr>
                <w:rFonts w:ascii="Calibri" w:hAnsi="Calibri"/>
                <w:color w:val="000000"/>
                <w:sz w:val="20"/>
                <w:szCs w:val="20"/>
              </w:rPr>
              <w:t>-100.0%</w:t>
            </w:r>
          </w:p>
        </w:tc>
        <w:tc>
          <w:tcPr>
            <w:tcW w:w="115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-8.60</w:t>
            </w:r>
          </w:p>
        </w:tc>
        <w:tc>
          <w:tcPr>
            <w:tcW w:w="9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F1811" w:rsidRPr="003E7796" w:rsidRDefault="00BF1811" w:rsidP="00BF378B">
            <w:pPr>
              <w:jc w:val="right"/>
              <w:rPr>
                <w:rFonts w:ascii="Calibri" w:hAnsi="Calibri"/>
                <w:color w:val="000000"/>
                <w:sz w:val="20"/>
                <w:szCs w:val="20"/>
              </w:rPr>
            </w:pPr>
            <w:r w:rsidRPr="003E7796">
              <w:rPr>
                <w:rFonts w:ascii="Calibri" w:hAnsi="Calibri"/>
                <w:color w:val="000000"/>
                <w:sz w:val="20"/>
                <w:szCs w:val="20"/>
              </w:rPr>
              <w:t>-161.0%</w:t>
            </w:r>
          </w:p>
        </w:tc>
        <w:tc>
          <w:tcPr>
            <w:tcW w:w="1262" w:type="dxa"/>
            <w:tcBorders>
              <w:top w:val="single" w:sz="8" w:space="0" w:color="auto"/>
              <w:left w:val="single" w:sz="8" w:space="0" w:color="auto"/>
              <w:bottom w:val="single" w:sz="8" w:space="0" w:color="auto"/>
              <w:right w:val="nil"/>
            </w:tcBorders>
            <w:shd w:val="clear" w:color="auto" w:fill="auto"/>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14.10</w:t>
            </w:r>
          </w:p>
        </w:tc>
      </w:tr>
      <w:tr w:rsidR="00541063" w:rsidRPr="003E7796" w:rsidTr="003B2F6B">
        <w:trPr>
          <w:trHeight w:val="300"/>
          <w:jc w:val="center"/>
        </w:trPr>
        <w:tc>
          <w:tcPr>
            <w:tcW w:w="2681" w:type="dxa"/>
            <w:tcBorders>
              <w:top w:val="single" w:sz="8" w:space="0" w:color="auto"/>
              <w:left w:val="nil"/>
              <w:bottom w:val="single" w:sz="8" w:space="0" w:color="auto"/>
              <w:right w:val="single" w:sz="8" w:space="0" w:color="auto"/>
            </w:tcBorders>
            <w:shd w:val="clear" w:color="auto" w:fill="FFFF66"/>
            <w:vAlign w:val="center"/>
            <w:hideMark/>
          </w:tcPr>
          <w:p w:rsidR="00BF1811" w:rsidRPr="003E7796" w:rsidRDefault="00BF1811" w:rsidP="009C5E3C">
            <w:pPr>
              <w:rPr>
                <w:rFonts w:ascii="Calibri" w:eastAsia="Times New Roman" w:hAnsi="Calibri"/>
                <w:bCs/>
                <w:color w:val="000000"/>
                <w:sz w:val="20"/>
                <w:szCs w:val="20"/>
                <w:lang w:eastAsia="en-US"/>
              </w:rPr>
            </w:pPr>
            <w:r w:rsidRPr="003E7796">
              <w:rPr>
                <w:rFonts w:ascii="Calibri" w:eastAsia="Times New Roman" w:hAnsi="Calibri"/>
                <w:bCs/>
                <w:color w:val="000000"/>
                <w:sz w:val="20"/>
                <w:szCs w:val="20"/>
                <w:lang w:eastAsia="en-US"/>
              </w:rPr>
              <w:t>Net (loss) income</w:t>
            </w:r>
          </w:p>
        </w:tc>
        <w:tc>
          <w:tcPr>
            <w:tcW w:w="1168"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-38.20</w:t>
            </w:r>
          </w:p>
        </w:tc>
        <w:tc>
          <w:tcPr>
            <w:tcW w:w="964"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BF1811" w:rsidRPr="003E7796" w:rsidRDefault="00BF1811">
            <w:pPr>
              <w:jc w:val="right"/>
              <w:rPr>
                <w:rFonts w:ascii="Calibri" w:hAnsi="Calibri"/>
                <w:color w:val="000000"/>
                <w:sz w:val="20"/>
                <w:szCs w:val="20"/>
              </w:rPr>
            </w:pPr>
            <w:r w:rsidRPr="003E7796">
              <w:rPr>
                <w:rFonts w:ascii="Calibri" w:hAnsi="Calibri"/>
                <w:color w:val="000000"/>
                <w:sz w:val="20"/>
                <w:szCs w:val="20"/>
              </w:rPr>
              <w:t>-107.4%</w:t>
            </w:r>
          </w:p>
        </w:tc>
        <w:tc>
          <w:tcPr>
            <w:tcW w:w="1150"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517.80</w:t>
            </w:r>
          </w:p>
        </w:tc>
        <w:tc>
          <w:tcPr>
            <w:tcW w:w="920" w:type="dxa"/>
            <w:tcBorders>
              <w:top w:val="single" w:sz="8" w:space="0" w:color="auto"/>
              <w:left w:val="single" w:sz="8" w:space="0" w:color="auto"/>
              <w:bottom w:val="single" w:sz="8" w:space="0" w:color="auto"/>
              <w:right w:val="single" w:sz="8" w:space="0" w:color="auto"/>
            </w:tcBorders>
            <w:shd w:val="clear" w:color="auto" w:fill="FFFF66"/>
            <w:vAlign w:val="center"/>
            <w:hideMark/>
          </w:tcPr>
          <w:p w:rsidR="00BF1811" w:rsidRPr="003E7796" w:rsidRDefault="00BF1811">
            <w:pPr>
              <w:jc w:val="right"/>
              <w:rPr>
                <w:rFonts w:ascii="Calibri" w:hAnsi="Calibri"/>
                <w:color w:val="000000"/>
                <w:sz w:val="20"/>
                <w:szCs w:val="20"/>
              </w:rPr>
            </w:pPr>
            <w:r w:rsidRPr="003E7796">
              <w:rPr>
                <w:rFonts w:ascii="Calibri" w:hAnsi="Calibri"/>
                <w:color w:val="000000"/>
                <w:sz w:val="20"/>
                <w:szCs w:val="20"/>
              </w:rPr>
              <w:t>-15.0%</w:t>
            </w:r>
          </w:p>
        </w:tc>
        <w:tc>
          <w:tcPr>
            <w:tcW w:w="1262" w:type="dxa"/>
            <w:tcBorders>
              <w:top w:val="single" w:sz="8" w:space="0" w:color="auto"/>
              <w:left w:val="single" w:sz="8" w:space="0" w:color="auto"/>
              <w:bottom w:val="single" w:sz="8" w:space="0" w:color="auto"/>
              <w:right w:val="nil"/>
            </w:tcBorders>
            <w:shd w:val="clear" w:color="auto" w:fill="FFFF66"/>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609.30</w:t>
            </w:r>
          </w:p>
        </w:tc>
      </w:tr>
      <w:tr w:rsidR="00BF1811" w:rsidRPr="003E7796" w:rsidTr="00C71E9D">
        <w:trPr>
          <w:trHeight w:val="504"/>
          <w:jc w:val="center"/>
        </w:trPr>
        <w:tc>
          <w:tcPr>
            <w:tcW w:w="2681" w:type="dxa"/>
            <w:tcBorders>
              <w:top w:val="single" w:sz="8" w:space="0" w:color="auto"/>
              <w:left w:val="nil"/>
              <w:bottom w:val="single" w:sz="8" w:space="0" w:color="auto"/>
              <w:right w:val="single" w:sz="8" w:space="0" w:color="auto"/>
            </w:tcBorders>
            <w:shd w:val="clear" w:color="auto" w:fill="auto"/>
            <w:vAlign w:val="center"/>
            <w:hideMark/>
          </w:tcPr>
          <w:p w:rsidR="00BF1811" w:rsidRPr="003E7796" w:rsidRDefault="00BF1811" w:rsidP="009C5E3C">
            <w:pPr>
              <w:rPr>
                <w:rFonts w:ascii="Calibri" w:eastAsia="Times New Roman" w:hAnsi="Calibri"/>
                <w:bCs/>
                <w:color w:val="000000"/>
                <w:sz w:val="20"/>
                <w:szCs w:val="20"/>
                <w:lang w:eastAsia="en-US"/>
              </w:rPr>
            </w:pPr>
            <w:r w:rsidRPr="003E7796">
              <w:rPr>
                <w:rFonts w:ascii="Calibri" w:eastAsia="Times New Roman" w:hAnsi="Calibri"/>
                <w:bCs/>
                <w:color w:val="000000"/>
                <w:sz w:val="20"/>
                <w:szCs w:val="20"/>
                <w:lang w:eastAsia="en-US"/>
              </w:rPr>
              <w:t>Net income attributable to noncontrolling interests</w:t>
            </w:r>
          </w:p>
        </w:tc>
        <w:tc>
          <w:tcPr>
            <w:tcW w:w="116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-4.30</w:t>
            </w:r>
          </w:p>
        </w:tc>
        <w:tc>
          <w:tcPr>
            <w:tcW w:w="96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F1811" w:rsidRPr="003E7796" w:rsidRDefault="00BF1811">
            <w:pPr>
              <w:jc w:val="right"/>
              <w:rPr>
                <w:rFonts w:ascii="Calibri" w:hAnsi="Calibri"/>
                <w:color w:val="000000"/>
                <w:sz w:val="20"/>
                <w:szCs w:val="20"/>
              </w:rPr>
            </w:pPr>
            <w:r w:rsidRPr="003E7796">
              <w:rPr>
                <w:rFonts w:ascii="Calibri" w:hAnsi="Calibri"/>
                <w:color w:val="000000"/>
                <w:sz w:val="20"/>
                <w:szCs w:val="20"/>
              </w:rPr>
              <w:t>2.4%</w:t>
            </w:r>
          </w:p>
        </w:tc>
        <w:tc>
          <w:tcPr>
            <w:tcW w:w="115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-4.20</w:t>
            </w:r>
          </w:p>
        </w:tc>
        <w:tc>
          <w:tcPr>
            <w:tcW w:w="9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F1811" w:rsidRPr="003E7796" w:rsidRDefault="00BF1811">
            <w:pPr>
              <w:jc w:val="right"/>
              <w:rPr>
                <w:rFonts w:ascii="Calibri" w:hAnsi="Calibri"/>
                <w:color w:val="000000"/>
                <w:sz w:val="20"/>
                <w:szCs w:val="20"/>
              </w:rPr>
            </w:pPr>
            <w:r w:rsidRPr="003E7796">
              <w:rPr>
                <w:rFonts w:ascii="Calibri" w:hAnsi="Calibri"/>
                <w:color w:val="000000"/>
                <w:sz w:val="20"/>
                <w:szCs w:val="20"/>
              </w:rPr>
              <w:t>40.0%</w:t>
            </w:r>
          </w:p>
        </w:tc>
        <w:tc>
          <w:tcPr>
            <w:tcW w:w="1262" w:type="dxa"/>
            <w:tcBorders>
              <w:top w:val="single" w:sz="8" w:space="0" w:color="auto"/>
              <w:left w:val="single" w:sz="8" w:space="0" w:color="auto"/>
              <w:bottom w:val="single" w:sz="8" w:space="0" w:color="auto"/>
              <w:right w:val="nil"/>
            </w:tcBorders>
            <w:shd w:val="clear" w:color="auto" w:fill="auto"/>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-3.00</w:t>
            </w:r>
          </w:p>
        </w:tc>
      </w:tr>
      <w:tr w:rsidR="00541063" w:rsidRPr="003E7796" w:rsidTr="00D879BB">
        <w:trPr>
          <w:trHeight w:val="432"/>
          <w:jc w:val="center"/>
        </w:trPr>
        <w:tc>
          <w:tcPr>
            <w:tcW w:w="2681" w:type="dxa"/>
            <w:tcBorders>
              <w:top w:val="single" w:sz="8" w:space="0" w:color="auto"/>
              <w:left w:val="nil"/>
              <w:bottom w:val="double" w:sz="4" w:space="0" w:color="auto"/>
              <w:right w:val="single" w:sz="8" w:space="0" w:color="auto"/>
            </w:tcBorders>
            <w:shd w:val="clear" w:color="auto" w:fill="FFFF66"/>
            <w:vAlign w:val="center"/>
            <w:hideMark/>
          </w:tcPr>
          <w:p w:rsidR="00BF1811" w:rsidRPr="003E7796" w:rsidRDefault="00BF1811" w:rsidP="009C5E3C">
            <w:pPr>
              <w:rPr>
                <w:rFonts w:ascii="Calibri" w:eastAsia="Times New Roman" w:hAnsi="Calibri"/>
                <w:bCs/>
                <w:color w:val="000000"/>
                <w:sz w:val="20"/>
                <w:szCs w:val="20"/>
                <w:lang w:eastAsia="en-US"/>
              </w:rPr>
            </w:pPr>
            <w:r w:rsidRPr="003E7796">
              <w:rPr>
                <w:rFonts w:ascii="Calibri" w:eastAsia="Times New Roman" w:hAnsi="Calibri"/>
                <w:bCs/>
                <w:color w:val="000000"/>
                <w:sz w:val="20"/>
                <w:szCs w:val="20"/>
                <w:lang w:eastAsia="en-US"/>
              </w:rPr>
              <w:t>Net (loss) income attributable to Avon</w:t>
            </w:r>
          </w:p>
        </w:tc>
        <w:tc>
          <w:tcPr>
            <w:tcW w:w="1168" w:type="dxa"/>
            <w:tcBorders>
              <w:top w:val="single" w:sz="8" w:space="0" w:color="auto"/>
              <w:left w:val="single" w:sz="8" w:space="0" w:color="auto"/>
              <w:bottom w:val="double" w:sz="4" w:space="0" w:color="auto"/>
              <w:right w:val="single" w:sz="8" w:space="0" w:color="auto"/>
            </w:tcBorders>
            <w:shd w:val="clear" w:color="auto" w:fill="FFFF66"/>
            <w:vAlign w:val="center"/>
            <w:hideMark/>
          </w:tcPr>
          <w:p w:rsidR="00BF1811" w:rsidRPr="003E7796" w:rsidRDefault="00541063" w:rsidP="009C5E3C">
            <w:pPr>
              <w:jc w:val="right"/>
              <w:rPr>
                <w:rFonts w:ascii="Calibri" w:eastAsia="Times New Roman" w:hAnsi="Calibri"/>
                <w:color w:val="000000"/>
                <w:sz w:val="20"/>
                <w:szCs w:val="20"/>
                <w:lang w:eastAsia="en-US"/>
              </w:rPr>
            </w:pPr>
            <w:r>
              <w:rPr>
                <w:rFonts w:ascii="Calibri" w:eastAsia="Times New Roman" w:hAnsi="Calibri"/>
                <w:sz w:val="20"/>
                <w:szCs w:val="20"/>
                <w:lang w:eastAsia="en-US"/>
              </w:rPr>
              <w:t>-</w:t>
            </w:r>
            <w:r w:rsidRPr="00865098">
              <w:rPr>
                <w:rFonts w:ascii="Calibri" w:eastAsia="Times New Roman" w:hAnsi="Calibri"/>
                <w:sz w:val="20"/>
                <w:szCs w:val="20"/>
                <w:lang w:eastAsia="en-US"/>
              </w:rPr>
              <w:t>42.50</w:t>
            </w:r>
          </w:p>
        </w:tc>
        <w:tc>
          <w:tcPr>
            <w:tcW w:w="964" w:type="dxa"/>
            <w:tcBorders>
              <w:top w:val="single" w:sz="8" w:space="0" w:color="auto"/>
              <w:left w:val="single" w:sz="8" w:space="0" w:color="auto"/>
              <w:bottom w:val="double" w:sz="4" w:space="0" w:color="auto"/>
              <w:right w:val="single" w:sz="8" w:space="0" w:color="auto"/>
            </w:tcBorders>
            <w:shd w:val="clear" w:color="auto" w:fill="FFFF66"/>
            <w:vAlign w:val="center"/>
            <w:hideMark/>
          </w:tcPr>
          <w:p w:rsidR="00BF1811" w:rsidRPr="003E7796" w:rsidRDefault="00BF1811" w:rsidP="000F3B3D">
            <w:pPr>
              <w:jc w:val="right"/>
              <w:rPr>
                <w:rFonts w:ascii="Calibri" w:hAnsi="Calibri"/>
                <w:color w:val="000000"/>
                <w:sz w:val="20"/>
                <w:szCs w:val="20"/>
              </w:rPr>
            </w:pPr>
            <w:r w:rsidRPr="003E7796">
              <w:rPr>
                <w:rFonts w:ascii="Calibri" w:hAnsi="Calibri"/>
                <w:color w:val="000000"/>
                <w:sz w:val="20"/>
                <w:szCs w:val="20"/>
              </w:rPr>
              <w:t>-108.3%</w:t>
            </w:r>
          </w:p>
        </w:tc>
        <w:tc>
          <w:tcPr>
            <w:tcW w:w="1150" w:type="dxa"/>
            <w:tcBorders>
              <w:top w:val="single" w:sz="8" w:space="0" w:color="auto"/>
              <w:left w:val="single" w:sz="8" w:space="0" w:color="auto"/>
              <w:bottom w:val="double" w:sz="4" w:space="0" w:color="auto"/>
              <w:right w:val="single" w:sz="8" w:space="0" w:color="auto"/>
            </w:tcBorders>
            <w:shd w:val="clear" w:color="auto" w:fill="FFFF66"/>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 xml:space="preserve">$513.60 </w:t>
            </w:r>
          </w:p>
        </w:tc>
        <w:tc>
          <w:tcPr>
            <w:tcW w:w="920" w:type="dxa"/>
            <w:tcBorders>
              <w:top w:val="single" w:sz="8" w:space="0" w:color="auto"/>
              <w:left w:val="single" w:sz="8" w:space="0" w:color="auto"/>
              <w:bottom w:val="double" w:sz="4" w:space="0" w:color="auto"/>
              <w:right w:val="single" w:sz="8" w:space="0" w:color="auto"/>
            </w:tcBorders>
            <w:shd w:val="clear" w:color="auto" w:fill="FFFF66"/>
            <w:vAlign w:val="center"/>
            <w:hideMark/>
          </w:tcPr>
          <w:p w:rsidR="00BF1811" w:rsidRPr="003E7796" w:rsidRDefault="00BF1811">
            <w:pPr>
              <w:jc w:val="right"/>
              <w:rPr>
                <w:rFonts w:ascii="Calibri" w:hAnsi="Calibri"/>
                <w:color w:val="000000"/>
                <w:sz w:val="20"/>
                <w:szCs w:val="20"/>
              </w:rPr>
            </w:pPr>
            <w:r w:rsidRPr="003E7796">
              <w:rPr>
                <w:rFonts w:ascii="Calibri" w:hAnsi="Calibri"/>
                <w:color w:val="000000"/>
                <w:sz w:val="20"/>
                <w:szCs w:val="20"/>
              </w:rPr>
              <w:t>-15.3%</w:t>
            </w:r>
          </w:p>
        </w:tc>
        <w:tc>
          <w:tcPr>
            <w:tcW w:w="1262" w:type="dxa"/>
            <w:tcBorders>
              <w:top w:val="single" w:sz="8" w:space="0" w:color="auto"/>
              <w:left w:val="single" w:sz="8" w:space="0" w:color="auto"/>
              <w:bottom w:val="double" w:sz="4" w:space="0" w:color="auto"/>
              <w:right w:val="nil"/>
            </w:tcBorders>
            <w:shd w:val="clear" w:color="auto" w:fill="FFFF66"/>
            <w:vAlign w:val="center"/>
            <w:hideMark/>
          </w:tcPr>
          <w:p w:rsidR="00BF1811" w:rsidRPr="003E7796" w:rsidRDefault="00BF1811" w:rsidP="009C5E3C">
            <w:pPr>
              <w:jc w:val="right"/>
              <w:rPr>
                <w:rFonts w:ascii="Calibri" w:eastAsia="Times New Roman" w:hAnsi="Calibri"/>
                <w:color w:val="000000"/>
                <w:sz w:val="20"/>
                <w:szCs w:val="20"/>
                <w:lang w:eastAsia="en-US"/>
              </w:rPr>
            </w:pPr>
            <w:r w:rsidRPr="003E7796">
              <w:rPr>
                <w:rFonts w:ascii="Calibri" w:eastAsia="Times New Roman" w:hAnsi="Calibri"/>
                <w:color w:val="000000"/>
                <w:sz w:val="20"/>
                <w:szCs w:val="20"/>
                <w:lang w:eastAsia="en-US"/>
              </w:rPr>
              <w:t xml:space="preserve">$606.30 </w:t>
            </w:r>
          </w:p>
        </w:tc>
      </w:tr>
    </w:tbl>
    <w:p w:rsidR="009C5E3C" w:rsidRDefault="009C5E3C" w:rsidP="00B64C67"/>
    <w:p w:rsidR="00541063" w:rsidRDefault="00541063" w:rsidP="00541063">
      <w:r>
        <w:tab/>
        <w:t>Looking to the external environment, the following opportunities and threats can be identified.</w:t>
      </w:r>
    </w:p>
    <w:p w:rsidR="00FB1C9C" w:rsidRDefault="00FB1C9C" w:rsidP="00B64C67"/>
    <w:tbl>
      <w:tblPr>
        <w:tblW w:w="7513" w:type="dxa"/>
        <w:jc w:val="center"/>
        <w:tblInd w:w="-1537" w:type="dxa"/>
        <w:tblLook w:val="04A0" w:firstRow="1" w:lastRow="0" w:firstColumn="1" w:lastColumn="0" w:noHBand="0" w:noVBand="1"/>
      </w:tblPr>
      <w:tblGrid>
        <w:gridCol w:w="7513"/>
      </w:tblGrid>
      <w:tr w:rsidR="00193533" w:rsidRPr="00574704" w:rsidTr="00193533">
        <w:trPr>
          <w:trHeight w:val="315"/>
          <w:jc w:val="center"/>
        </w:trPr>
        <w:tc>
          <w:tcPr>
            <w:tcW w:w="7513" w:type="dxa"/>
            <w:tcBorders>
              <w:top w:val="nil"/>
              <w:left w:val="nil"/>
              <w:bottom w:val="single" w:sz="12" w:space="0" w:color="auto"/>
              <w:right w:val="nil"/>
            </w:tcBorders>
            <w:shd w:val="clear" w:color="auto" w:fill="auto"/>
            <w:vAlign w:val="bottom"/>
          </w:tcPr>
          <w:p w:rsidR="00193533" w:rsidRPr="00574704" w:rsidRDefault="00FA7E40" w:rsidP="00193533">
            <w:pPr>
              <w:jc w:val="center"/>
              <w:rPr>
                <w:rFonts w:ascii="Calibri" w:eastAsia="Times New Roman" w:hAnsi="Calibri" w:cs="Calibri"/>
                <w:b/>
                <w:color w:val="000000"/>
                <w:sz w:val="22"/>
                <w:szCs w:val="22"/>
                <w:lang w:eastAsia="en-US"/>
              </w:rPr>
            </w:pPr>
            <w:r>
              <w:rPr>
                <w:rFonts w:ascii="Calibri" w:eastAsia="Times New Roman" w:hAnsi="Calibri" w:cs="Calibri"/>
                <w:b/>
                <w:color w:val="000000"/>
                <w:sz w:val="22"/>
                <w:szCs w:val="22"/>
                <w:lang w:eastAsia="en-US"/>
              </w:rPr>
              <w:t>Opportuniti</w:t>
            </w:r>
            <w:r w:rsidR="00193533" w:rsidRPr="00574704">
              <w:rPr>
                <w:rFonts w:ascii="Calibri" w:eastAsia="Times New Roman" w:hAnsi="Calibri" w:cs="Calibri"/>
                <w:b/>
                <w:color w:val="000000"/>
                <w:sz w:val="22"/>
                <w:szCs w:val="22"/>
                <w:lang w:eastAsia="en-US"/>
              </w:rPr>
              <w:t>es</w:t>
            </w:r>
          </w:p>
        </w:tc>
      </w:tr>
      <w:tr w:rsidR="00193533" w:rsidRPr="00574704" w:rsidTr="00193533">
        <w:trPr>
          <w:trHeight w:val="75"/>
          <w:jc w:val="center"/>
        </w:trPr>
        <w:tc>
          <w:tcPr>
            <w:tcW w:w="7513" w:type="dxa"/>
            <w:tcBorders>
              <w:top w:val="single" w:sz="12" w:space="0" w:color="auto"/>
              <w:left w:val="nil"/>
              <w:bottom w:val="single" w:sz="4" w:space="0" w:color="auto"/>
              <w:right w:val="nil"/>
            </w:tcBorders>
            <w:shd w:val="clear" w:color="auto" w:fill="auto"/>
            <w:vAlign w:val="bottom"/>
          </w:tcPr>
          <w:p w:rsidR="00193533" w:rsidRPr="00574704" w:rsidRDefault="00193533" w:rsidP="00193533">
            <w:pPr>
              <w:jc w:val="center"/>
              <w:rPr>
                <w:rFonts w:ascii="DilleniaUPC" w:eastAsia="Times New Roman" w:hAnsi="DilleniaUPC" w:cs="DilleniaUPC"/>
                <w:color w:val="000000"/>
                <w:sz w:val="16"/>
                <w:szCs w:val="16"/>
                <w:lang w:eastAsia="en-US"/>
              </w:rPr>
            </w:pPr>
            <w:r w:rsidRPr="0014460E">
              <w:rPr>
                <w:rFonts w:ascii="DilleniaUPC" w:eastAsia="Times New Roman" w:hAnsi="DilleniaUPC" w:cs="DilleniaUPC"/>
                <w:color w:val="000000"/>
                <w:sz w:val="16"/>
                <w:szCs w:val="16"/>
                <w:lang w:eastAsia="en-US"/>
              </w:rPr>
              <w:t xml:space="preserve">  </w:t>
            </w:r>
          </w:p>
        </w:tc>
      </w:tr>
      <w:tr w:rsidR="00193533" w:rsidRPr="00574704" w:rsidTr="00193533">
        <w:trPr>
          <w:trHeight w:val="70"/>
          <w:jc w:val="center"/>
        </w:trPr>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193533" w:rsidRPr="00574704" w:rsidRDefault="00FA7E40" w:rsidP="00FA7E40">
            <w:pP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 xml:space="preserve">Internet technology-driven connectivity – new social networking structures and tools </w:t>
            </w:r>
            <w:r w:rsidR="00684ACD">
              <w:rPr>
                <w:rFonts w:ascii="Calibri" w:eastAsia="Times New Roman" w:hAnsi="Calibri" w:cs="Calibri"/>
                <w:color w:val="000000"/>
                <w:sz w:val="22"/>
                <w:szCs w:val="22"/>
                <w:lang w:eastAsia="en-US"/>
              </w:rPr>
              <w:t>– could have enormous implications for sales representative performance</w:t>
            </w:r>
          </w:p>
        </w:tc>
      </w:tr>
      <w:tr w:rsidR="00193533" w:rsidRPr="00574704" w:rsidTr="00193533">
        <w:trPr>
          <w:trHeight w:val="75"/>
          <w:jc w:val="center"/>
        </w:trPr>
        <w:tc>
          <w:tcPr>
            <w:tcW w:w="7513" w:type="dxa"/>
            <w:tcBorders>
              <w:top w:val="nil"/>
              <w:left w:val="nil"/>
              <w:bottom w:val="single" w:sz="4" w:space="0" w:color="auto"/>
              <w:right w:val="nil"/>
            </w:tcBorders>
            <w:shd w:val="clear" w:color="auto" w:fill="auto"/>
            <w:vAlign w:val="bottom"/>
          </w:tcPr>
          <w:p w:rsidR="00193533" w:rsidRPr="00574704" w:rsidRDefault="00193533" w:rsidP="00193533">
            <w:pPr>
              <w:rPr>
                <w:rFonts w:ascii="DilleniaUPC" w:eastAsia="Times New Roman" w:hAnsi="DilleniaUPC" w:cs="DilleniaUPC"/>
                <w:color w:val="000000"/>
                <w:sz w:val="16"/>
                <w:szCs w:val="16"/>
                <w:lang w:eastAsia="en-US"/>
              </w:rPr>
            </w:pPr>
            <w:r w:rsidRPr="00574704">
              <w:rPr>
                <w:rFonts w:ascii="DilleniaUPC" w:eastAsia="Times New Roman" w:hAnsi="DilleniaUPC" w:cs="DilleniaUPC"/>
                <w:color w:val="000000"/>
                <w:sz w:val="16"/>
                <w:szCs w:val="16"/>
                <w:lang w:eastAsia="en-US"/>
              </w:rPr>
              <w:t> </w:t>
            </w:r>
          </w:p>
        </w:tc>
      </w:tr>
      <w:tr w:rsidR="00193533" w:rsidRPr="00574704" w:rsidTr="00FA7E40">
        <w:trPr>
          <w:trHeight w:val="72"/>
          <w:jc w:val="center"/>
        </w:trPr>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193533" w:rsidRPr="00574704" w:rsidRDefault="00FA7E40" w:rsidP="00193533">
            <w:pP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 xml:space="preserve">International markets – especially in the </w:t>
            </w:r>
            <w:r w:rsidR="00684ACD">
              <w:rPr>
                <w:rFonts w:ascii="Calibri" w:eastAsia="Times New Roman" w:hAnsi="Calibri" w:cs="Calibri"/>
                <w:color w:val="000000"/>
                <w:sz w:val="22"/>
                <w:szCs w:val="22"/>
                <w:lang w:eastAsia="en-US"/>
              </w:rPr>
              <w:t xml:space="preserve">rapidly-expanding </w:t>
            </w:r>
            <w:r>
              <w:rPr>
                <w:rFonts w:ascii="Calibri" w:eastAsia="Times New Roman" w:hAnsi="Calibri" w:cs="Calibri"/>
                <w:color w:val="000000"/>
                <w:sz w:val="22"/>
                <w:szCs w:val="22"/>
                <w:lang w:eastAsia="en-US"/>
              </w:rPr>
              <w:t>Asian Pacific region</w:t>
            </w:r>
          </w:p>
        </w:tc>
      </w:tr>
      <w:tr w:rsidR="00193533" w:rsidRPr="00574704" w:rsidTr="00193533">
        <w:trPr>
          <w:trHeight w:val="75"/>
          <w:jc w:val="center"/>
        </w:trPr>
        <w:tc>
          <w:tcPr>
            <w:tcW w:w="7513" w:type="dxa"/>
            <w:tcBorders>
              <w:top w:val="nil"/>
              <w:left w:val="nil"/>
              <w:bottom w:val="single" w:sz="4" w:space="0" w:color="auto"/>
              <w:right w:val="nil"/>
            </w:tcBorders>
            <w:shd w:val="clear" w:color="auto" w:fill="auto"/>
            <w:vAlign w:val="bottom"/>
          </w:tcPr>
          <w:p w:rsidR="00193533" w:rsidRPr="00574704" w:rsidRDefault="00193533" w:rsidP="00193533">
            <w:pPr>
              <w:rPr>
                <w:rFonts w:ascii="DilleniaUPC" w:eastAsia="Times New Roman" w:hAnsi="DilleniaUPC" w:cs="DilleniaUPC"/>
                <w:color w:val="000000"/>
                <w:sz w:val="16"/>
                <w:szCs w:val="16"/>
                <w:lang w:eastAsia="en-US"/>
              </w:rPr>
            </w:pPr>
            <w:r w:rsidRPr="00574704">
              <w:rPr>
                <w:rFonts w:ascii="DilleniaUPC" w:eastAsia="Times New Roman" w:hAnsi="DilleniaUPC" w:cs="DilleniaUPC"/>
                <w:color w:val="000000"/>
                <w:sz w:val="16"/>
                <w:szCs w:val="16"/>
                <w:lang w:eastAsia="en-US"/>
              </w:rPr>
              <w:t> </w:t>
            </w:r>
          </w:p>
        </w:tc>
      </w:tr>
      <w:tr w:rsidR="00193533" w:rsidRPr="00574704" w:rsidTr="00193533">
        <w:trPr>
          <w:trHeight w:val="70"/>
          <w:jc w:val="center"/>
        </w:trPr>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193533" w:rsidRPr="00574704" w:rsidRDefault="00FA7E40" w:rsidP="00193533">
            <w:pP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Product innovation</w:t>
            </w:r>
            <w:r w:rsidR="00684ACD">
              <w:rPr>
                <w:rFonts w:ascii="Calibri" w:eastAsia="Times New Roman" w:hAnsi="Calibri" w:cs="Calibri"/>
                <w:color w:val="000000"/>
                <w:sz w:val="22"/>
                <w:szCs w:val="22"/>
                <w:lang w:eastAsia="en-US"/>
              </w:rPr>
              <w:t xml:space="preserve"> – Avon has a strong R&amp;D capability to deliver relevant new products to its markets</w:t>
            </w:r>
          </w:p>
        </w:tc>
      </w:tr>
      <w:tr w:rsidR="00193533" w:rsidRPr="00574704" w:rsidTr="00193533">
        <w:trPr>
          <w:trHeight w:val="75"/>
          <w:jc w:val="center"/>
        </w:trPr>
        <w:tc>
          <w:tcPr>
            <w:tcW w:w="7513" w:type="dxa"/>
            <w:tcBorders>
              <w:top w:val="nil"/>
              <w:left w:val="nil"/>
              <w:bottom w:val="single" w:sz="4" w:space="0" w:color="auto"/>
              <w:right w:val="nil"/>
            </w:tcBorders>
            <w:shd w:val="clear" w:color="auto" w:fill="auto"/>
            <w:vAlign w:val="bottom"/>
          </w:tcPr>
          <w:p w:rsidR="00193533" w:rsidRPr="00574704" w:rsidRDefault="00193533" w:rsidP="00193533">
            <w:pPr>
              <w:rPr>
                <w:rFonts w:ascii="DilleniaUPC" w:eastAsia="Times New Roman" w:hAnsi="DilleniaUPC" w:cs="DilleniaUPC"/>
                <w:color w:val="000000"/>
                <w:sz w:val="16"/>
                <w:szCs w:val="16"/>
                <w:lang w:eastAsia="en-US"/>
              </w:rPr>
            </w:pPr>
            <w:r w:rsidRPr="00574704">
              <w:rPr>
                <w:rFonts w:ascii="DilleniaUPC" w:eastAsia="Times New Roman" w:hAnsi="DilleniaUPC" w:cs="DilleniaUPC"/>
                <w:color w:val="000000"/>
                <w:sz w:val="16"/>
                <w:szCs w:val="16"/>
                <w:lang w:eastAsia="en-US"/>
              </w:rPr>
              <w:t> </w:t>
            </w:r>
          </w:p>
        </w:tc>
      </w:tr>
      <w:tr w:rsidR="00193533" w:rsidRPr="00574704" w:rsidTr="00193533">
        <w:trPr>
          <w:trHeight w:val="70"/>
          <w:jc w:val="center"/>
        </w:trPr>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193533" w:rsidRPr="00574704" w:rsidRDefault="00FA7E40" w:rsidP="00D879BB">
            <w:pP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 xml:space="preserve">Niche markets – </w:t>
            </w:r>
            <w:r w:rsidR="00684ACD">
              <w:rPr>
                <w:rFonts w:ascii="Calibri" w:eastAsia="Times New Roman" w:hAnsi="Calibri" w:cs="Calibri"/>
                <w:color w:val="000000"/>
                <w:sz w:val="22"/>
                <w:szCs w:val="22"/>
                <w:lang w:eastAsia="en-US"/>
              </w:rPr>
              <w:t>such as</w:t>
            </w:r>
            <w:r>
              <w:rPr>
                <w:rFonts w:ascii="Calibri" w:eastAsia="Times New Roman" w:hAnsi="Calibri" w:cs="Calibri"/>
                <w:color w:val="000000"/>
                <w:sz w:val="22"/>
                <w:szCs w:val="22"/>
                <w:lang w:eastAsia="en-US"/>
              </w:rPr>
              <w:t xml:space="preserve"> “smarter women” attracted to high-quality, value-priced products</w:t>
            </w:r>
            <w:r w:rsidR="00684ACD">
              <w:rPr>
                <w:rFonts w:ascii="Calibri" w:eastAsia="Times New Roman" w:hAnsi="Calibri" w:cs="Calibri"/>
                <w:color w:val="000000"/>
                <w:sz w:val="22"/>
                <w:szCs w:val="22"/>
                <w:lang w:eastAsia="en-US"/>
              </w:rPr>
              <w:t>, working women, aging women, new mothers, young women</w:t>
            </w:r>
            <w:r w:rsidR="00D879BB">
              <w:rPr>
                <w:rFonts w:ascii="Calibri" w:eastAsia="Times New Roman" w:hAnsi="Calibri" w:cs="Calibri"/>
                <w:color w:val="000000"/>
                <w:sz w:val="22"/>
                <w:szCs w:val="22"/>
                <w:lang w:eastAsia="en-US"/>
              </w:rPr>
              <w:t>, etc.</w:t>
            </w:r>
          </w:p>
        </w:tc>
      </w:tr>
      <w:tr w:rsidR="00193533" w:rsidRPr="00574704" w:rsidTr="00193533">
        <w:trPr>
          <w:trHeight w:val="75"/>
          <w:jc w:val="center"/>
        </w:trPr>
        <w:tc>
          <w:tcPr>
            <w:tcW w:w="7513" w:type="dxa"/>
            <w:tcBorders>
              <w:top w:val="nil"/>
              <w:left w:val="nil"/>
              <w:bottom w:val="single" w:sz="4" w:space="0" w:color="auto"/>
              <w:right w:val="nil"/>
            </w:tcBorders>
            <w:shd w:val="clear" w:color="auto" w:fill="auto"/>
            <w:vAlign w:val="bottom"/>
          </w:tcPr>
          <w:p w:rsidR="00193533" w:rsidRPr="00574704" w:rsidRDefault="00193533" w:rsidP="00193533">
            <w:pPr>
              <w:rPr>
                <w:rFonts w:ascii="DilleniaUPC" w:eastAsia="Times New Roman" w:hAnsi="DilleniaUPC" w:cs="DilleniaUPC"/>
                <w:color w:val="000000"/>
                <w:sz w:val="16"/>
                <w:szCs w:val="16"/>
                <w:lang w:eastAsia="en-US"/>
              </w:rPr>
            </w:pPr>
            <w:r w:rsidRPr="00574704">
              <w:rPr>
                <w:rFonts w:ascii="DilleniaUPC" w:eastAsia="Times New Roman" w:hAnsi="DilleniaUPC" w:cs="DilleniaUPC"/>
                <w:color w:val="000000"/>
                <w:sz w:val="16"/>
                <w:szCs w:val="16"/>
                <w:lang w:eastAsia="en-US"/>
              </w:rPr>
              <w:t> </w:t>
            </w:r>
          </w:p>
        </w:tc>
      </w:tr>
      <w:tr w:rsidR="00193533" w:rsidRPr="00574704" w:rsidTr="00193533">
        <w:trPr>
          <w:trHeight w:val="260"/>
          <w:jc w:val="center"/>
        </w:trPr>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193533" w:rsidRPr="00574704" w:rsidRDefault="00FA7E40" w:rsidP="00193533">
            <w:pP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Cross-selling to clientele of acquired, stand-alone brands</w:t>
            </w:r>
          </w:p>
        </w:tc>
      </w:tr>
      <w:tr w:rsidR="00193533" w:rsidRPr="00574704" w:rsidTr="00193533">
        <w:trPr>
          <w:trHeight w:val="315"/>
          <w:jc w:val="center"/>
        </w:trPr>
        <w:tc>
          <w:tcPr>
            <w:tcW w:w="7513" w:type="dxa"/>
            <w:tcBorders>
              <w:top w:val="nil"/>
              <w:left w:val="nil"/>
              <w:bottom w:val="single" w:sz="12" w:space="0" w:color="auto"/>
              <w:right w:val="nil"/>
            </w:tcBorders>
            <w:shd w:val="clear" w:color="auto" w:fill="auto"/>
            <w:vAlign w:val="bottom"/>
          </w:tcPr>
          <w:p w:rsidR="00193533" w:rsidRPr="00574704" w:rsidRDefault="00FA7E40" w:rsidP="00193533">
            <w:pPr>
              <w:jc w:val="center"/>
              <w:rPr>
                <w:rFonts w:ascii="Calibri" w:eastAsia="Times New Roman" w:hAnsi="Calibri" w:cs="Calibri"/>
                <w:b/>
                <w:color w:val="000000"/>
                <w:sz w:val="22"/>
                <w:szCs w:val="22"/>
                <w:lang w:eastAsia="en-US"/>
              </w:rPr>
            </w:pPr>
            <w:r>
              <w:rPr>
                <w:rFonts w:ascii="Calibri" w:eastAsia="Times New Roman" w:hAnsi="Calibri" w:cs="Calibri"/>
                <w:b/>
                <w:color w:val="000000"/>
                <w:sz w:val="22"/>
                <w:szCs w:val="22"/>
                <w:lang w:eastAsia="en-US"/>
              </w:rPr>
              <w:lastRenderedPageBreak/>
              <w:t>Threat</w:t>
            </w:r>
            <w:r w:rsidR="00193533" w:rsidRPr="00574704">
              <w:rPr>
                <w:rFonts w:ascii="Calibri" w:eastAsia="Times New Roman" w:hAnsi="Calibri" w:cs="Calibri"/>
                <w:b/>
                <w:color w:val="000000"/>
                <w:sz w:val="22"/>
                <w:szCs w:val="22"/>
                <w:lang w:eastAsia="en-US"/>
              </w:rPr>
              <w:t>s</w:t>
            </w:r>
          </w:p>
        </w:tc>
      </w:tr>
      <w:tr w:rsidR="00193533" w:rsidRPr="00574704" w:rsidTr="00193533">
        <w:trPr>
          <w:trHeight w:val="75"/>
          <w:jc w:val="center"/>
        </w:trPr>
        <w:tc>
          <w:tcPr>
            <w:tcW w:w="7513" w:type="dxa"/>
            <w:tcBorders>
              <w:top w:val="single" w:sz="12" w:space="0" w:color="auto"/>
              <w:left w:val="nil"/>
              <w:bottom w:val="single" w:sz="4" w:space="0" w:color="auto"/>
              <w:right w:val="nil"/>
            </w:tcBorders>
            <w:shd w:val="clear" w:color="auto" w:fill="auto"/>
            <w:vAlign w:val="bottom"/>
          </w:tcPr>
          <w:p w:rsidR="00193533" w:rsidRPr="00574704" w:rsidRDefault="00193533" w:rsidP="00193533">
            <w:pPr>
              <w:jc w:val="center"/>
              <w:rPr>
                <w:rFonts w:ascii="DilleniaUPC" w:eastAsia="Times New Roman" w:hAnsi="DilleniaUPC" w:cs="DilleniaUPC"/>
                <w:color w:val="000000"/>
                <w:sz w:val="16"/>
                <w:szCs w:val="16"/>
                <w:lang w:eastAsia="en-US"/>
              </w:rPr>
            </w:pPr>
            <w:r w:rsidRPr="0014460E">
              <w:rPr>
                <w:rFonts w:ascii="DilleniaUPC" w:eastAsia="Times New Roman" w:hAnsi="DilleniaUPC" w:cs="DilleniaUPC"/>
                <w:color w:val="000000"/>
                <w:sz w:val="16"/>
                <w:szCs w:val="16"/>
                <w:lang w:eastAsia="en-US"/>
              </w:rPr>
              <w:t xml:space="preserve">  </w:t>
            </w:r>
          </w:p>
        </w:tc>
      </w:tr>
      <w:tr w:rsidR="00193533" w:rsidRPr="00574704" w:rsidTr="00193533">
        <w:trPr>
          <w:trHeight w:val="70"/>
          <w:jc w:val="center"/>
        </w:trPr>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193533" w:rsidRPr="00574704" w:rsidRDefault="00614989" w:rsidP="00193533">
            <w:pP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Economic challenges</w:t>
            </w:r>
          </w:p>
        </w:tc>
      </w:tr>
      <w:tr w:rsidR="00193533" w:rsidRPr="00574704" w:rsidTr="00193533">
        <w:trPr>
          <w:trHeight w:val="75"/>
          <w:jc w:val="center"/>
        </w:trPr>
        <w:tc>
          <w:tcPr>
            <w:tcW w:w="7513" w:type="dxa"/>
            <w:tcBorders>
              <w:top w:val="nil"/>
              <w:left w:val="nil"/>
              <w:bottom w:val="single" w:sz="4" w:space="0" w:color="auto"/>
              <w:right w:val="nil"/>
            </w:tcBorders>
            <w:shd w:val="clear" w:color="auto" w:fill="auto"/>
            <w:vAlign w:val="bottom"/>
          </w:tcPr>
          <w:p w:rsidR="00193533" w:rsidRPr="00574704" w:rsidRDefault="00193533" w:rsidP="00193533">
            <w:pPr>
              <w:rPr>
                <w:rFonts w:ascii="DilleniaUPC" w:eastAsia="Times New Roman" w:hAnsi="DilleniaUPC" w:cs="DilleniaUPC"/>
                <w:color w:val="000000"/>
                <w:sz w:val="16"/>
                <w:szCs w:val="16"/>
                <w:lang w:eastAsia="en-US"/>
              </w:rPr>
            </w:pPr>
            <w:r w:rsidRPr="00574704">
              <w:rPr>
                <w:rFonts w:ascii="DilleniaUPC" w:eastAsia="Times New Roman" w:hAnsi="DilleniaUPC" w:cs="DilleniaUPC"/>
                <w:color w:val="000000"/>
                <w:sz w:val="16"/>
                <w:szCs w:val="16"/>
                <w:lang w:eastAsia="en-US"/>
              </w:rPr>
              <w:t> </w:t>
            </w:r>
          </w:p>
        </w:tc>
      </w:tr>
      <w:tr w:rsidR="00193533" w:rsidRPr="00574704" w:rsidTr="00614989">
        <w:trPr>
          <w:trHeight w:val="72"/>
          <w:jc w:val="center"/>
        </w:trPr>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193533" w:rsidRPr="00574704" w:rsidRDefault="00614989" w:rsidP="00193533">
            <w:pP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Exchange rate fluctuations</w:t>
            </w:r>
          </w:p>
        </w:tc>
      </w:tr>
      <w:tr w:rsidR="00193533" w:rsidRPr="00574704" w:rsidTr="00193533">
        <w:trPr>
          <w:trHeight w:val="75"/>
          <w:jc w:val="center"/>
        </w:trPr>
        <w:tc>
          <w:tcPr>
            <w:tcW w:w="7513" w:type="dxa"/>
            <w:tcBorders>
              <w:top w:val="nil"/>
              <w:left w:val="nil"/>
              <w:bottom w:val="single" w:sz="4" w:space="0" w:color="auto"/>
              <w:right w:val="nil"/>
            </w:tcBorders>
            <w:shd w:val="clear" w:color="auto" w:fill="auto"/>
            <w:vAlign w:val="bottom"/>
          </w:tcPr>
          <w:p w:rsidR="00193533" w:rsidRPr="00574704" w:rsidRDefault="00193533" w:rsidP="00193533">
            <w:pPr>
              <w:rPr>
                <w:rFonts w:ascii="DilleniaUPC" w:eastAsia="Times New Roman" w:hAnsi="DilleniaUPC" w:cs="DilleniaUPC"/>
                <w:color w:val="000000"/>
                <w:sz w:val="16"/>
                <w:szCs w:val="16"/>
                <w:lang w:eastAsia="en-US"/>
              </w:rPr>
            </w:pPr>
            <w:r w:rsidRPr="00574704">
              <w:rPr>
                <w:rFonts w:ascii="DilleniaUPC" w:eastAsia="Times New Roman" w:hAnsi="DilleniaUPC" w:cs="DilleniaUPC"/>
                <w:color w:val="000000"/>
                <w:sz w:val="16"/>
                <w:szCs w:val="16"/>
                <w:lang w:eastAsia="en-US"/>
              </w:rPr>
              <w:t> </w:t>
            </w:r>
          </w:p>
        </w:tc>
      </w:tr>
      <w:tr w:rsidR="00193533" w:rsidRPr="00574704" w:rsidTr="00193533">
        <w:trPr>
          <w:trHeight w:val="70"/>
          <w:jc w:val="center"/>
        </w:trPr>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193533" w:rsidRPr="00574704" w:rsidRDefault="00614989" w:rsidP="00614989">
            <w:pP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Unfriendly foreign government policies – i.e. Venezuela</w:t>
            </w:r>
          </w:p>
        </w:tc>
      </w:tr>
      <w:tr w:rsidR="00193533" w:rsidRPr="00574704" w:rsidTr="00193533">
        <w:trPr>
          <w:trHeight w:val="75"/>
          <w:jc w:val="center"/>
        </w:trPr>
        <w:tc>
          <w:tcPr>
            <w:tcW w:w="7513" w:type="dxa"/>
            <w:tcBorders>
              <w:top w:val="nil"/>
              <w:left w:val="nil"/>
              <w:bottom w:val="single" w:sz="4" w:space="0" w:color="auto"/>
              <w:right w:val="nil"/>
            </w:tcBorders>
            <w:shd w:val="clear" w:color="auto" w:fill="auto"/>
            <w:vAlign w:val="bottom"/>
          </w:tcPr>
          <w:p w:rsidR="00193533" w:rsidRPr="00574704" w:rsidRDefault="00193533" w:rsidP="00193533">
            <w:pPr>
              <w:rPr>
                <w:rFonts w:ascii="DilleniaUPC" w:eastAsia="Times New Roman" w:hAnsi="DilleniaUPC" w:cs="DilleniaUPC"/>
                <w:color w:val="000000"/>
                <w:sz w:val="16"/>
                <w:szCs w:val="16"/>
                <w:lang w:eastAsia="en-US"/>
              </w:rPr>
            </w:pPr>
            <w:r w:rsidRPr="00574704">
              <w:rPr>
                <w:rFonts w:ascii="DilleniaUPC" w:eastAsia="Times New Roman" w:hAnsi="DilleniaUPC" w:cs="DilleniaUPC"/>
                <w:color w:val="000000"/>
                <w:sz w:val="16"/>
                <w:szCs w:val="16"/>
                <w:lang w:eastAsia="en-US"/>
              </w:rPr>
              <w:t> </w:t>
            </w:r>
          </w:p>
        </w:tc>
      </w:tr>
      <w:tr w:rsidR="00193533" w:rsidRPr="00574704" w:rsidTr="00193533">
        <w:trPr>
          <w:trHeight w:val="70"/>
          <w:jc w:val="center"/>
        </w:trPr>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193533" w:rsidRPr="00574704" w:rsidRDefault="00614989" w:rsidP="00193533">
            <w:pP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Potential fines for non-compliance with FCPA and SEC regulations</w:t>
            </w:r>
          </w:p>
        </w:tc>
      </w:tr>
      <w:tr w:rsidR="00193533" w:rsidRPr="00574704" w:rsidTr="00193533">
        <w:trPr>
          <w:trHeight w:val="75"/>
          <w:jc w:val="center"/>
        </w:trPr>
        <w:tc>
          <w:tcPr>
            <w:tcW w:w="7513" w:type="dxa"/>
            <w:tcBorders>
              <w:top w:val="nil"/>
              <w:left w:val="nil"/>
              <w:bottom w:val="single" w:sz="4" w:space="0" w:color="auto"/>
              <w:right w:val="nil"/>
            </w:tcBorders>
            <w:shd w:val="clear" w:color="auto" w:fill="auto"/>
            <w:vAlign w:val="bottom"/>
          </w:tcPr>
          <w:p w:rsidR="00193533" w:rsidRPr="00574704" w:rsidRDefault="00193533" w:rsidP="00193533">
            <w:pPr>
              <w:rPr>
                <w:rFonts w:ascii="DilleniaUPC" w:eastAsia="Times New Roman" w:hAnsi="DilleniaUPC" w:cs="DilleniaUPC"/>
                <w:color w:val="000000"/>
                <w:sz w:val="16"/>
                <w:szCs w:val="16"/>
                <w:lang w:eastAsia="en-US"/>
              </w:rPr>
            </w:pPr>
            <w:r w:rsidRPr="00574704">
              <w:rPr>
                <w:rFonts w:ascii="DilleniaUPC" w:eastAsia="Times New Roman" w:hAnsi="DilleniaUPC" w:cs="DilleniaUPC"/>
                <w:color w:val="000000"/>
                <w:sz w:val="16"/>
                <w:szCs w:val="16"/>
                <w:lang w:eastAsia="en-US"/>
              </w:rPr>
              <w:t> </w:t>
            </w:r>
          </w:p>
        </w:tc>
      </w:tr>
      <w:tr w:rsidR="00193533" w:rsidRPr="00574704" w:rsidTr="00193533">
        <w:trPr>
          <w:trHeight w:val="260"/>
          <w:jc w:val="center"/>
        </w:trPr>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193533" w:rsidRPr="00574704" w:rsidRDefault="00614989" w:rsidP="00614989">
            <w:pP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Competition and rivalry in the beauty industry – primary sources: other direct sellers, Internet shops, mass-market retail channels</w:t>
            </w:r>
          </w:p>
        </w:tc>
      </w:tr>
      <w:tr w:rsidR="00193533" w:rsidRPr="00574704" w:rsidTr="00193533">
        <w:trPr>
          <w:trHeight w:val="75"/>
          <w:jc w:val="center"/>
        </w:trPr>
        <w:tc>
          <w:tcPr>
            <w:tcW w:w="7513" w:type="dxa"/>
            <w:tcBorders>
              <w:top w:val="nil"/>
              <w:left w:val="nil"/>
              <w:bottom w:val="single" w:sz="4" w:space="0" w:color="auto"/>
              <w:right w:val="nil"/>
            </w:tcBorders>
            <w:shd w:val="clear" w:color="auto" w:fill="auto"/>
            <w:vAlign w:val="bottom"/>
          </w:tcPr>
          <w:p w:rsidR="00193533" w:rsidRPr="00574704" w:rsidRDefault="00193533" w:rsidP="00193533">
            <w:pPr>
              <w:rPr>
                <w:rFonts w:ascii="DilleniaUPC" w:eastAsia="Times New Roman" w:hAnsi="DilleniaUPC" w:cs="DilleniaUPC"/>
                <w:color w:val="000000"/>
                <w:sz w:val="16"/>
                <w:szCs w:val="16"/>
                <w:lang w:eastAsia="en-US"/>
              </w:rPr>
            </w:pPr>
            <w:r w:rsidRPr="00574704">
              <w:rPr>
                <w:rFonts w:ascii="DilleniaUPC" w:eastAsia="Times New Roman" w:hAnsi="DilleniaUPC" w:cs="DilleniaUPC"/>
                <w:color w:val="000000"/>
                <w:sz w:val="16"/>
                <w:szCs w:val="16"/>
                <w:lang w:eastAsia="en-US"/>
              </w:rPr>
              <w:t> </w:t>
            </w:r>
          </w:p>
        </w:tc>
      </w:tr>
      <w:tr w:rsidR="00193533" w:rsidRPr="00574704" w:rsidTr="00193533">
        <w:trPr>
          <w:trHeight w:val="70"/>
          <w:jc w:val="center"/>
        </w:trPr>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193533" w:rsidRPr="00574704" w:rsidRDefault="00614989" w:rsidP="00614989">
            <w:pP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Ina</w:t>
            </w:r>
            <w:r w:rsidR="00193533" w:rsidRPr="00574704">
              <w:rPr>
                <w:rFonts w:ascii="Calibri" w:eastAsia="Times New Roman" w:hAnsi="Calibri" w:cs="Calibri"/>
                <w:color w:val="000000"/>
                <w:sz w:val="22"/>
                <w:szCs w:val="22"/>
                <w:lang w:eastAsia="en-US"/>
              </w:rPr>
              <w:t xml:space="preserve">bility to </w:t>
            </w:r>
            <w:r>
              <w:rPr>
                <w:rFonts w:ascii="Calibri" w:eastAsia="Times New Roman" w:hAnsi="Calibri" w:cs="Calibri"/>
                <w:color w:val="000000"/>
                <w:sz w:val="22"/>
                <w:szCs w:val="22"/>
                <w:lang w:eastAsia="en-US"/>
              </w:rPr>
              <w:t>recruit quality sales representatives</w:t>
            </w:r>
          </w:p>
        </w:tc>
      </w:tr>
      <w:tr w:rsidR="00193533" w:rsidRPr="00574704" w:rsidTr="00193533">
        <w:trPr>
          <w:trHeight w:val="75"/>
          <w:jc w:val="center"/>
        </w:trPr>
        <w:tc>
          <w:tcPr>
            <w:tcW w:w="7513" w:type="dxa"/>
            <w:tcBorders>
              <w:top w:val="nil"/>
              <w:left w:val="nil"/>
              <w:bottom w:val="single" w:sz="4" w:space="0" w:color="auto"/>
              <w:right w:val="nil"/>
            </w:tcBorders>
            <w:shd w:val="clear" w:color="auto" w:fill="auto"/>
            <w:vAlign w:val="bottom"/>
          </w:tcPr>
          <w:p w:rsidR="00193533" w:rsidRPr="00574704" w:rsidRDefault="00193533" w:rsidP="00193533">
            <w:pPr>
              <w:rPr>
                <w:rFonts w:ascii="DilleniaUPC" w:eastAsia="Times New Roman" w:hAnsi="DilleniaUPC" w:cs="DilleniaUPC"/>
                <w:color w:val="000000"/>
                <w:sz w:val="16"/>
                <w:szCs w:val="16"/>
                <w:lang w:eastAsia="en-US"/>
              </w:rPr>
            </w:pPr>
            <w:r w:rsidRPr="00574704">
              <w:rPr>
                <w:rFonts w:ascii="DilleniaUPC" w:eastAsia="Times New Roman" w:hAnsi="DilleniaUPC" w:cs="DilleniaUPC"/>
                <w:color w:val="000000"/>
                <w:sz w:val="16"/>
                <w:szCs w:val="16"/>
                <w:lang w:eastAsia="en-US"/>
              </w:rPr>
              <w:t> </w:t>
            </w:r>
          </w:p>
        </w:tc>
      </w:tr>
      <w:tr w:rsidR="00193533" w:rsidRPr="00574704" w:rsidTr="00193533">
        <w:trPr>
          <w:trHeight w:val="70"/>
          <w:jc w:val="center"/>
        </w:trPr>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193533" w:rsidRPr="00574704" w:rsidRDefault="00614989" w:rsidP="00193533">
            <w:pP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Supplier pricing and quality</w:t>
            </w:r>
          </w:p>
        </w:tc>
      </w:tr>
      <w:tr w:rsidR="00193533" w:rsidRPr="00574704" w:rsidTr="00193533">
        <w:trPr>
          <w:trHeight w:val="75"/>
          <w:jc w:val="center"/>
        </w:trPr>
        <w:tc>
          <w:tcPr>
            <w:tcW w:w="7513" w:type="dxa"/>
            <w:tcBorders>
              <w:top w:val="nil"/>
              <w:left w:val="nil"/>
              <w:bottom w:val="single" w:sz="4" w:space="0" w:color="auto"/>
              <w:right w:val="nil"/>
            </w:tcBorders>
            <w:shd w:val="clear" w:color="auto" w:fill="auto"/>
            <w:vAlign w:val="bottom"/>
          </w:tcPr>
          <w:p w:rsidR="00193533" w:rsidRPr="00574704" w:rsidRDefault="00193533" w:rsidP="00193533">
            <w:pPr>
              <w:rPr>
                <w:rFonts w:ascii="DilleniaUPC" w:eastAsia="Times New Roman" w:hAnsi="DilleniaUPC" w:cs="DilleniaUPC"/>
                <w:color w:val="000000"/>
                <w:sz w:val="16"/>
                <w:szCs w:val="16"/>
                <w:lang w:eastAsia="en-US"/>
              </w:rPr>
            </w:pPr>
            <w:r w:rsidRPr="00574704">
              <w:rPr>
                <w:rFonts w:ascii="DilleniaUPC" w:eastAsia="Times New Roman" w:hAnsi="DilleniaUPC" w:cs="DilleniaUPC"/>
                <w:color w:val="000000"/>
                <w:sz w:val="16"/>
                <w:szCs w:val="16"/>
                <w:lang w:eastAsia="en-US"/>
              </w:rPr>
              <w:t> </w:t>
            </w:r>
          </w:p>
        </w:tc>
      </w:tr>
      <w:tr w:rsidR="00193533" w:rsidRPr="00574704" w:rsidTr="00193533">
        <w:trPr>
          <w:trHeight w:val="305"/>
          <w:jc w:val="center"/>
        </w:trPr>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193533" w:rsidRPr="00574704" w:rsidRDefault="00614989" w:rsidP="00D879BB">
            <w:pP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 xml:space="preserve">Entry of new rivals – expansion of large, diversified companies </w:t>
            </w:r>
            <w:r w:rsidR="008A469C">
              <w:rPr>
                <w:rFonts w:ascii="Calibri" w:eastAsia="Times New Roman" w:hAnsi="Calibri" w:cs="Calibri"/>
                <w:color w:val="000000"/>
                <w:sz w:val="22"/>
                <w:szCs w:val="22"/>
                <w:lang w:eastAsia="en-US"/>
              </w:rPr>
              <w:t>leveraging technologies and economies of scope</w:t>
            </w:r>
          </w:p>
        </w:tc>
      </w:tr>
      <w:tr w:rsidR="00193533" w:rsidRPr="00574704" w:rsidTr="00193533">
        <w:trPr>
          <w:trHeight w:val="75"/>
          <w:jc w:val="center"/>
        </w:trPr>
        <w:tc>
          <w:tcPr>
            <w:tcW w:w="7513" w:type="dxa"/>
            <w:tcBorders>
              <w:top w:val="nil"/>
              <w:left w:val="nil"/>
              <w:bottom w:val="single" w:sz="4" w:space="0" w:color="auto"/>
              <w:right w:val="nil"/>
            </w:tcBorders>
            <w:shd w:val="clear" w:color="auto" w:fill="auto"/>
            <w:vAlign w:val="bottom"/>
          </w:tcPr>
          <w:p w:rsidR="00193533" w:rsidRPr="00574704" w:rsidRDefault="00193533" w:rsidP="00193533">
            <w:pPr>
              <w:rPr>
                <w:rFonts w:ascii="DilleniaUPC" w:eastAsia="Times New Roman" w:hAnsi="DilleniaUPC" w:cs="DilleniaUPC"/>
                <w:color w:val="000000"/>
                <w:sz w:val="16"/>
                <w:szCs w:val="16"/>
                <w:lang w:eastAsia="en-US"/>
              </w:rPr>
            </w:pPr>
            <w:r w:rsidRPr="00574704">
              <w:rPr>
                <w:rFonts w:ascii="DilleniaUPC" w:eastAsia="Times New Roman" w:hAnsi="DilleniaUPC" w:cs="DilleniaUPC"/>
                <w:color w:val="000000"/>
                <w:sz w:val="16"/>
                <w:szCs w:val="16"/>
                <w:lang w:eastAsia="en-US"/>
              </w:rPr>
              <w:t> </w:t>
            </w:r>
          </w:p>
        </w:tc>
      </w:tr>
      <w:tr w:rsidR="00193533" w:rsidRPr="00574704" w:rsidTr="00193533">
        <w:trPr>
          <w:trHeight w:val="197"/>
          <w:jc w:val="center"/>
        </w:trPr>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193533" w:rsidRPr="00574704" w:rsidRDefault="00614989" w:rsidP="00193533">
            <w:pP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Imitation and price undercutting of proprietary products</w:t>
            </w:r>
          </w:p>
        </w:tc>
      </w:tr>
      <w:tr w:rsidR="00193533" w:rsidRPr="00574704" w:rsidTr="00193533">
        <w:trPr>
          <w:trHeight w:val="75"/>
          <w:jc w:val="center"/>
        </w:trPr>
        <w:tc>
          <w:tcPr>
            <w:tcW w:w="7513" w:type="dxa"/>
            <w:tcBorders>
              <w:top w:val="nil"/>
              <w:left w:val="nil"/>
              <w:bottom w:val="single" w:sz="4" w:space="0" w:color="auto"/>
              <w:right w:val="nil"/>
            </w:tcBorders>
            <w:shd w:val="clear" w:color="auto" w:fill="auto"/>
            <w:vAlign w:val="bottom"/>
          </w:tcPr>
          <w:p w:rsidR="00193533" w:rsidRPr="00574704" w:rsidRDefault="00193533" w:rsidP="00193533">
            <w:pPr>
              <w:rPr>
                <w:rFonts w:ascii="DilleniaUPC" w:eastAsia="Times New Roman" w:hAnsi="DilleniaUPC" w:cs="DilleniaUPC"/>
                <w:color w:val="000000"/>
                <w:sz w:val="16"/>
                <w:szCs w:val="16"/>
                <w:lang w:eastAsia="en-US"/>
              </w:rPr>
            </w:pPr>
            <w:r w:rsidRPr="00574704">
              <w:rPr>
                <w:rFonts w:ascii="DilleniaUPC" w:eastAsia="Times New Roman" w:hAnsi="DilleniaUPC" w:cs="DilleniaUPC"/>
                <w:color w:val="000000"/>
                <w:sz w:val="16"/>
                <w:szCs w:val="16"/>
                <w:lang w:eastAsia="en-US"/>
              </w:rPr>
              <w:t> </w:t>
            </w:r>
          </w:p>
        </w:tc>
      </w:tr>
      <w:tr w:rsidR="00193533" w:rsidRPr="00574704" w:rsidTr="00193533">
        <w:trPr>
          <w:trHeight w:val="70"/>
          <w:jc w:val="center"/>
        </w:trPr>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rsidR="00193533" w:rsidRPr="00574704" w:rsidRDefault="00056AA2" w:rsidP="00684ACD">
            <w:pPr>
              <w:rPr>
                <w:rFonts w:ascii="Calibri" w:eastAsia="Times New Roman" w:hAnsi="Calibri" w:cs="Calibri"/>
                <w:color w:val="000000"/>
                <w:sz w:val="22"/>
                <w:szCs w:val="22"/>
                <w:lang w:eastAsia="en-US"/>
              </w:rPr>
            </w:pPr>
            <w:r>
              <w:rPr>
                <w:rFonts w:ascii="Calibri" w:eastAsia="Times New Roman" w:hAnsi="Calibri" w:cs="Calibri"/>
                <w:color w:val="000000"/>
                <w:sz w:val="22"/>
                <w:szCs w:val="22"/>
                <w:lang w:eastAsia="en-US"/>
              </w:rPr>
              <w:t xml:space="preserve">Insufficient protection of niche markets – particularly in emerging </w:t>
            </w:r>
            <w:r w:rsidR="00684ACD">
              <w:rPr>
                <w:rFonts w:ascii="Calibri" w:eastAsia="Times New Roman" w:hAnsi="Calibri" w:cs="Calibri"/>
                <w:color w:val="000000"/>
                <w:sz w:val="22"/>
                <w:szCs w:val="22"/>
                <w:lang w:eastAsia="en-US"/>
              </w:rPr>
              <w:t>nation</w:t>
            </w:r>
            <w:r>
              <w:rPr>
                <w:rFonts w:ascii="Calibri" w:eastAsia="Times New Roman" w:hAnsi="Calibri" w:cs="Calibri"/>
                <w:color w:val="000000"/>
                <w:sz w:val="22"/>
                <w:szCs w:val="22"/>
                <w:lang w:eastAsia="en-US"/>
              </w:rPr>
              <w:t>s</w:t>
            </w:r>
          </w:p>
        </w:tc>
      </w:tr>
    </w:tbl>
    <w:p w:rsidR="00B64C67" w:rsidRDefault="00B64C67" w:rsidP="00B64C67"/>
    <w:p w:rsidR="00684ACD" w:rsidRDefault="00684ACD" w:rsidP="00B64C67"/>
    <w:p w:rsidR="003A596A" w:rsidRPr="00EB1F8B" w:rsidRDefault="00A6630B" w:rsidP="00EB1F8B">
      <w:pPr>
        <w:pBdr>
          <w:bottom w:val="single" w:sz="12" w:space="1" w:color="auto"/>
        </w:pBdr>
        <w:rPr>
          <w:b/>
          <w:bCs/>
          <w:spacing w:val="20"/>
        </w:rPr>
      </w:pPr>
      <w:r>
        <w:rPr>
          <w:b/>
          <w:bCs/>
          <w:spacing w:val="20"/>
        </w:rPr>
        <w:t>STRATEG</w:t>
      </w:r>
      <w:r w:rsidR="002717DA">
        <w:rPr>
          <w:b/>
          <w:bCs/>
          <w:spacing w:val="20"/>
        </w:rPr>
        <w:t>Y</w:t>
      </w:r>
    </w:p>
    <w:p w:rsidR="00FB1C9C" w:rsidRDefault="00FB1C9C" w:rsidP="00FB1C9C"/>
    <w:p w:rsidR="00FB1C9C" w:rsidRDefault="00FB1C9C" w:rsidP="00FB1C9C">
      <w:pPr>
        <w:numPr>
          <w:ilvl w:val="0"/>
          <w:numId w:val="7"/>
        </w:numPr>
        <w:rPr>
          <w:b/>
          <w:i/>
        </w:rPr>
      </w:pPr>
      <w:r w:rsidRPr="00FB1C9C">
        <w:rPr>
          <w:b/>
          <w:i/>
        </w:rPr>
        <w:t xml:space="preserve">Compare and contrast Jung’s strategy with McCoy’s new strategy. </w:t>
      </w:r>
    </w:p>
    <w:p w:rsidR="00FB1C9C" w:rsidRPr="00FB1C9C" w:rsidRDefault="00FB1C9C" w:rsidP="00FB1C9C"/>
    <w:p w:rsidR="00FB1C9C" w:rsidRDefault="0046563B" w:rsidP="00FB1C9C">
      <w:r>
        <w:tab/>
        <w:t xml:space="preserve">Avon’s vision, mission, and organizational objectives are not dissimilar for Jung and McCoy. Both leaders are responsible for developing and executing all of the company’s long-term growth strategies. They are charged with restoring Avon as a premier direct seller of beauty products, shaping the women’s brand to fit the modern world. Their </w:t>
      </w:r>
      <w:r w:rsidR="009A31EB">
        <w:t xml:space="preserve">central </w:t>
      </w:r>
      <w:r>
        <w:t xml:space="preserve">focus is fostering relationships with women, both </w:t>
      </w:r>
      <w:r w:rsidR="00684ACD">
        <w:t xml:space="preserve">by </w:t>
      </w:r>
      <w:r>
        <w:t xml:space="preserve">creating internal opportunities for female representatives and </w:t>
      </w:r>
      <w:r w:rsidR="00684ACD">
        <w:t xml:space="preserve">by </w:t>
      </w:r>
      <w:r>
        <w:t xml:space="preserve">meeting the external needs of a predominantly female market. </w:t>
      </w:r>
    </w:p>
    <w:p w:rsidR="009A31EB" w:rsidRDefault="009A31EB" w:rsidP="00FB1C9C"/>
    <w:p w:rsidR="009A31EB" w:rsidRDefault="009A31EB" w:rsidP="00FB1C9C">
      <w:r>
        <w:tab/>
        <w:t xml:space="preserve">A comparison of the two leaders’ approaches </w:t>
      </w:r>
      <w:r w:rsidR="00684ACD">
        <w:t>based on</w:t>
      </w:r>
      <w:r>
        <w:t xml:space="preserve"> critical strategic elements is presented below. </w:t>
      </w:r>
    </w:p>
    <w:p w:rsidR="009A31EB" w:rsidRDefault="009A31EB" w:rsidP="00FB1C9C"/>
    <w:p w:rsidR="00684ACD" w:rsidRDefault="00684ACD" w:rsidP="00FB1C9C"/>
    <w:p w:rsidR="00684ACD" w:rsidRDefault="00684ACD" w:rsidP="00FB1C9C"/>
    <w:p w:rsidR="00684ACD" w:rsidRDefault="00684ACD" w:rsidP="00FB1C9C"/>
    <w:p w:rsidR="00684ACD" w:rsidRDefault="00684ACD" w:rsidP="00FB1C9C"/>
    <w:p w:rsidR="00684ACD" w:rsidRDefault="00684ACD" w:rsidP="00FB1C9C"/>
    <w:p w:rsidR="00684ACD" w:rsidRDefault="00684ACD" w:rsidP="00FB1C9C"/>
    <w:p w:rsidR="00684ACD" w:rsidRDefault="00684ACD" w:rsidP="00FB1C9C"/>
    <w:p w:rsidR="00684ACD" w:rsidRDefault="00684ACD" w:rsidP="00FB1C9C"/>
    <w:tbl>
      <w:tblPr>
        <w:tblStyle w:val="MediumList2-Accent5"/>
        <w:tblW w:w="8910" w:type="dxa"/>
        <w:tblInd w:w="108" w:type="dxa"/>
        <w:tblLayout w:type="fixed"/>
        <w:tblLook w:val="04A0" w:firstRow="1" w:lastRow="0" w:firstColumn="1" w:lastColumn="0" w:noHBand="0" w:noVBand="1"/>
      </w:tblPr>
      <w:tblGrid>
        <w:gridCol w:w="1620"/>
        <w:gridCol w:w="3619"/>
        <w:gridCol w:w="3671"/>
      </w:tblGrid>
      <w:tr w:rsidR="009A31EB" w:rsidTr="00EC080F">
        <w:trPr>
          <w:cnfStyle w:val="100000000000" w:firstRow="1" w:lastRow="0" w:firstColumn="0" w:lastColumn="0" w:oddVBand="0" w:evenVBand="0" w:oddHBand="0" w:evenHBand="0" w:firstRowFirstColumn="0" w:firstRowLastColumn="0" w:lastRowFirstColumn="0" w:lastRowLastColumn="0"/>
          <w:trHeight w:val="333"/>
        </w:trPr>
        <w:tc>
          <w:tcPr>
            <w:cnfStyle w:val="001000000100" w:firstRow="0" w:lastRow="0" w:firstColumn="1" w:lastColumn="0" w:oddVBand="0" w:evenVBand="0" w:oddHBand="0" w:evenHBand="0" w:firstRowFirstColumn="1" w:firstRowLastColumn="0" w:lastRowFirstColumn="0" w:lastRowLastColumn="0"/>
            <w:tcW w:w="1620" w:type="dxa"/>
          </w:tcPr>
          <w:p w:rsidR="009A31EB" w:rsidRDefault="009A31EB" w:rsidP="00FB1C9C"/>
        </w:tc>
        <w:tc>
          <w:tcPr>
            <w:tcW w:w="3619" w:type="dxa"/>
          </w:tcPr>
          <w:p w:rsidR="009A31EB" w:rsidRPr="008023FC" w:rsidRDefault="008023FC" w:rsidP="008023FC">
            <w:pPr>
              <w:jc w:val="center"/>
              <w:cnfStyle w:val="100000000000" w:firstRow="1" w:lastRow="0" w:firstColumn="0" w:lastColumn="0" w:oddVBand="0" w:evenVBand="0" w:oddHBand="0" w:evenHBand="0" w:firstRowFirstColumn="0" w:firstRowLastColumn="0" w:lastRowFirstColumn="0" w:lastRowLastColumn="0"/>
              <w:rPr>
                <w:b/>
              </w:rPr>
            </w:pPr>
            <w:r w:rsidRPr="008023FC">
              <w:rPr>
                <w:b/>
              </w:rPr>
              <w:t>Jung</w:t>
            </w:r>
          </w:p>
        </w:tc>
        <w:tc>
          <w:tcPr>
            <w:tcW w:w="3671" w:type="dxa"/>
          </w:tcPr>
          <w:p w:rsidR="009A31EB" w:rsidRPr="008023FC" w:rsidRDefault="008023FC" w:rsidP="008023FC">
            <w:pPr>
              <w:jc w:val="center"/>
              <w:cnfStyle w:val="100000000000" w:firstRow="1" w:lastRow="0" w:firstColumn="0" w:lastColumn="0" w:oddVBand="0" w:evenVBand="0" w:oddHBand="0" w:evenHBand="0" w:firstRowFirstColumn="0" w:firstRowLastColumn="0" w:lastRowFirstColumn="0" w:lastRowLastColumn="0"/>
              <w:rPr>
                <w:b/>
              </w:rPr>
            </w:pPr>
            <w:r w:rsidRPr="008023FC">
              <w:rPr>
                <w:b/>
              </w:rPr>
              <w:t>McCoy</w:t>
            </w:r>
          </w:p>
        </w:tc>
      </w:tr>
      <w:tr w:rsidR="009A31EB" w:rsidTr="00EC08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tcBorders>
              <w:top w:val="single" w:sz="24" w:space="0" w:color="4BACC6" w:themeColor="accent5"/>
              <w:bottom w:val="single" w:sz="8" w:space="0" w:color="auto"/>
            </w:tcBorders>
          </w:tcPr>
          <w:p w:rsidR="009A31EB" w:rsidRPr="009C18BE" w:rsidRDefault="008023FC" w:rsidP="00FB1C9C">
            <w:pPr>
              <w:rPr>
                <w:b/>
                <w:i/>
                <w:sz w:val="22"/>
              </w:rPr>
            </w:pPr>
            <w:r w:rsidRPr="009C18BE">
              <w:rPr>
                <w:b/>
                <w:i/>
                <w:sz w:val="22"/>
              </w:rPr>
              <w:t>Product</w:t>
            </w:r>
          </w:p>
        </w:tc>
        <w:tc>
          <w:tcPr>
            <w:tcW w:w="3619" w:type="dxa"/>
            <w:tcBorders>
              <w:top w:val="single" w:sz="24" w:space="0" w:color="4BACC6" w:themeColor="accent5"/>
              <w:bottom w:val="single" w:sz="8" w:space="0" w:color="auto"/>
              <w:right w:val="single" w:sz="8" w:space="0" w:color="auto"/>
            </w:tcBorders>
            <w:shd w:val="clear" w:color="auto" w:fill="D2EAF1"/>
          </w:tcPr>
          <w:p w:rsidR="009A31EB" w:rsidRPr="00684ACD" w:rsidRDefault="008023FC" w:rsidP="008023FC">
            <w:pPr>
              <w:ind w:left="360" w:hanging="360"/>
              <w:cnfStyle w:val="000000100000" w:firstRow="0" w:lastRow="0" w:firstColumn="0" w:lastColumn="0" w:oddVBand="0" w:evenVBand="0" w:oddHBand="1" w:evenHBand="0" w:firstRowFirstColumn="0" w:firstRowLastColumn="0" w:lastRowFirstColumn="0" w:lastRowLastColumn="0"/>
              <w:rPr>
                <w:sz w:val="22"/>
              </w:rPr>
            </w:pPr>
            <w:r w:rsidRPr="00684ACD">
              <w:rPr>
                <w:sz w:val="22"/>
              </w:rPr>
              <w:t>Up-scaled high-end beauty lines</w:t>
            </w:r>
          </w:p>
        </w:tc>
        <w:tc>
          <w:tcPr>
            <w:tcW w:w="3671" w:type="dxa"/>
            <w:tcBorders>
              <w:top w:val="single" w:sz="24" w:space="0" w:color="4BACC6" w:themeColor="accent5"/>
              <w:left w:val="single" w:sz="8" w:space="0" w:color="auto"/>
              <w:bottom w:val="single" w:sz="8" w:space="0" w:color="auto"/>
            </w:tcBorders>
            <w:shd w:val="clear" w:color="auto" w:fill="D2EAF1"/>
          </w:tcPr>
          <w:p w:rsidR="009A31EB" w:rsidRPr="00684ACD" w:rsidRDefault="008023FC" w:rsidP="008023FC">
            <w:pPr>
              <w:ind w:left="360" w:hanging="360"/>
              <w:cnfStyle w:val="000000100000" w:firstRow="0" w:lastRow="0" w:firstColumn="0" w:lastColumn="0" w:oddVBand="0" w:evenVBand="0" w:oddHBand="1" w:evenHBand="0" w:firstRowFirstColumn="0" w:firstRowLastColumn="0" w:lastRowFirstColumn="0" w:lastRowLastColumn="0"/>
              <w:rPr>
                <w:sz w:val="22"/>
              </w:rPr>
            </w:pPr>
            <w:r w:rsidRPr="00684ACD">
              <w:rPr>
                <w:sz w:val="22"/>
              </w:rPr>
              <w:t>Premium brands (i.e. Anew)</w:t>
            </w:r>
          </w:p>
        </w:tc>
      </w:tr>
      <w:tr w:rsidR="009A31EB" w:rsidTr="00EC080F">
        <w:tc>
          <w:tcPr>
            <w:cnfStyle w:val="001000000000" w:firstRow="0" w:lastRow="0" w:firstColumn="1" w:lastColumn="0" w:oddVBand="0" w:evenVBand="0" w:oddHBand="0" w:evenHBand="0" w:firstRowFirstColumn="0" w:firstRowLastColumn="0" w:lastRowFirstColumn="0" w:lastRowLastColumn="0"/>
            <w:tcW w:w="1620" w:type="dxa"/>
            <w:tcBorders>
              <w:top w:val="single" w:sz="8" w:space="0" w:color="auto"/>
              <w:bottom w:val="single" w:sz="8" w:space="0" w:color="auto"/>
            </w:tcBorders>
          </w:tcPr>
          <w:p w:rsidR="008023FC" w:rsidRPr="009C18BE" w:rsidRDefault="008023FC" w:rsidP="00FB1C9C">
            <w:pPr>
              <w:rPr>
                <w:b/>
                <w:i/>
                <w:sz w:val="22"/>
              </w:rPr>
            </w:pPr>
            <w:r w:rsidRPr="009C18BE">
              <w:rPr>
                <w:b/>
                <w:i/>
                <w:sz w:val="22"/>
              </w:rPr>
              <w:t>Market</w:t>
            </w:r>
          </w:p>
        </w:tc>
        <w:tc>
          <w:tcPr>
            <w:tcW w:w="3619" w:type="dxa"/>
            <w:tcBorders>
              <w:top w:val="single" w:sz="8" w:space="0" w:color="auto"/>
              <w:bottom w:val="single" w:sz="8" w:space="0" w:color="auto"/>
              <w:right w:val="single" w:sz="8" w:space="0" w:color="auto"/>
            </w:tcBorders>
            <w:shd w:val="clear" w:color="auto" w:fill="auto"/>
          </w:tcPr>
          <w:p w:rsidR="009A31EB" w:rsidRPr="00684ACD" w:rsidRDefault="008023FC" w:rsidP="008023FC">
            <w:pPr>
              <w:ind w:left="360" w:hanging="360"/>
              <w:cnfStyle w:val="000000000000" w:firstRow="0" w:lastRow="0" w:firstColumn="0" w:lastColumn="0" w:oddVBand="0" w:evenVBand="0" w:oddHBand="0" w:evenHBand="0" w:firstRowFirstColumn="0" w:firstRowLastColumn="0" w:lastRowFirstColumn="0" w:lastRowLastColumn="0"/>
              <w:rPr>
                <w:sz w:val="22"/>
              </w:rPr>
            </w:pPr>
            <w:r w:rsidRPr="00684ACD">
              <w:rPr>
                <w:sz w:val="22"/>
              </w:rPr>
              <w:t>Trendy, educated, professional, high-end clientele</w:t>
            </w:r>
          </w:p>
        </w:tc>
        <w:tc>
          <w:tcPr>
            <w:tcW w:w="3671" w:type="dxa"/>
            <w:tcBorders>
              <w:top w:val="single" w:sz="8" w:space="0" w:color="auto"/>
              <w:left w:val="single" w:sz="8" w:space="0" w:color="auto"/>
              <w:bottom w:val="single" w:sz="8" w:space="0" w:color="auto"/>
            </w:tcBorders>
            <w:shd w:val="clear" w:color="auto" w:fill="auto"/>
          </w:tcPr>
          <w:p w:rsidR="009A31EB" w:rsidRPr="00684ACD" w:rsidRDefault="008023FC" w:rsidP="008023FC">
            <w:pPr>
              <w:ind w:left="360" w:hanging="360"/>
              <w:cnfStyle w:val="000000000000" w:firstRow="0" w:lastRow="0" w:firstColumn="0" w:lastColumn="0" w:oddVBand="0" w:evenVBand="0" w:oddHBand="0" w:evenHBand="0" w:firstRowFirstColumn="0" w:firstRowLastColumn="0" w:lastRowFirstColumn="0" w:lastRowLastColumn="0"/>
              <w:rPr>
                <w:sz w:val="22"/>
              </w:rPr>
            </w:pPr>
            <w:r w:rsidRPr="00684ACD">
              <w:rPr>
                <w:sz w:val="22"/>
              </w:rPr>
              <w:t xml:space="preserve">Status and demographics matched to </w:t>
            </w:r>
            <w:r w:rsidR="00354EE2" w:rsidRPr="00684ACD">
              <w:rPr>
                <w:sz w:val="22"/>
              </w:rPr>
              <w:t xml:space="preserve">sales </w:t>
            </w:r>
            <w:r w:rsidR="00B6757B" w:rsidRPr="00B6757B">
              <w:rPr>
                <w:sz w:val="22"/>
              </w:rPr>
              <w:t>rep</w:t>
            </w:r>
            <w:r w:rsidR="00B6757B">
              <w:rPr>
                <w:sz w:val="22"/>
              </w:rPr>
              <w:t>re</w:t>
            </w:r>
            <w:r w:rsidR="00B6757B" w:rsidRPr="00B6757B">
              <w:rPr>
                <w:sz w:val="22"/>
              </w:rPr>
              <w:t>s</w:t>
            </w:r>
            <w:r w:rsidR="00B6757B">
              <w:rPr>
                <w:sz w:val="22"/>
              </w:rPr>
              <w:t>entatives’</w:t>
            </w:r>
            <w:r w:rsidRPr="00684ACD">
              <w:rPr>
                <w:sz w:val="22"/>
              </w:rPr>
              <w:t xml:space="preserve"> social network</w:t>
            </w:r>
          </w:p>
        </w:tc>
      </w:tr>
      <w:tr w:rsidR="009A31EB" w:rsidTr="00EC08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tcBorders>
              <w:top w:val="single" w:sz="8" w:space="0" w:color="auto"/>
              <w:bottom w:val="single" w:sz="8" w:space="0" w:color="auto"/>
            </w:tcBorders>
          </w:tcPr>
          <w:p w:rsidR="009A31EB" w:rsidRPr="009C18BE" w:rsidRDefault="008023FC" w:rsidP="00FB1C9C">
            <w:pPr>
              <w:rPr>
                <w:b/>
                <w:i/>
                <w:sz w:val="22"/>
              </w:rPr>
            </w:pPr>
            <w:r w:rsidRPr="009C18BE">
              <w:rPr>
                <w:b/>
                <w:i/>
                <w:sz w:val="22"/>
              </w:rPr>
              <w:t>Process</w:t>
            </w:r>
          </w:p>
        </w:tc>
        <w:tc>
          <w:tcPr>
            <w:tcW w:w="3619" w:type="dxa"/>
            <w:tcBorders>
              <w:top w:val="single" w:sz="8" w:space="0" w:color="auto"/>
              <w:bottom w:val="single" w:sz="8" w:space="0" w:color="auto"/>
              <w:right w:val="single" w:sz="8" w:space="0" w:color="auto"/>
            </w:tcBorders>
            <w:shd w:val="clear" w:color="auto" w:fill="D2EAF1"/>
          </w:tcPr>
          <w:p w:rsidR="009A31EB" w:rsidRPr="00684ACD" w:rsidRDefault="008023FC" w:rsidP="00354EE2">
            <w:pPr>
              <w:ind w:left="360" w:hanging="360"/>
              <w:cnfStyle w:val="000000100000" w:firstRow="0" w:lastRow="0" w:firstColumn="0" w:lastColumn="0" w:oddVBand="0" w:evenVBand="0" w:oddHBand="1" w:evenHBand="0" w:firstRowFirstColumn="0" w:firstRowLastColumn="0" w:lastRowFirstColumn="0" w:lastRowLastColumn="0"/>
              <w:rPr>
                <w:sz w:val="22"/>
              </w:rPr>
            </w:pPr>
            <w:r w:rsidRPr="00684ACD">
              <w:rPr>
                <w:sz w:val="22"/>
              </w:rPr>
              <w:t xml:space="preserve">Pull </w:t>
            </w:r>
            <w:r w:rsidR="00354EE2" w:rsidRPr="00684ACD">
              <w:rPr>
                <w:sz w:val="22"/>
              </w:rPr>
              <w:t>m</w:t>
            </w:r>
            <w:r w:rsidRPr="00684ACD">
              <w:rPr>
                <w:sz w:val="22"/>
              </w:rPr>
              <w:t>arketing – media advertising</w:t>
            </w:r>
          </w:p>
        </w:tc>
        <w:tc>
          <w:tcPr>
            <w:tcW w:w="3671" w:type="dxa"/>
            <w:tcBorders>
              <w:top w:val="single" w:sz="8" w:space="0" w:color="auto"/>
              <w:left w:val="single" w:sz="8" w:space="0" w:color="auto"/>
              <w:bottom w:val="single" w:sz="8" w:space="0" w:color="auto"/>
            </w:tcBorders>
            <w:shd w:val="clear" w:color="auto" w:fill="D2EAF1"/>
          </w:tcPr>
          <w:p w:rsidR="009A31EB" w:rsidRPr="00684ACD" w:rsidRDefault="00354EE2" w:rsidP="008023FC">
            <w:pPr>
              <w:ind w:left="360" w:hanging="360"/>
              <w:cnfStyle w:val="000000100000" w:firstRow="0" w:lastRow="0" w:firstColumn="0" w:lastColumn="0" w:oddVBand="0" w:evenVBand="0" w:oddHBand="1" w:evenHBand="0" w:firstRowFirstColumn="0" w:firstRowLastColumn="0" w:lastRowFirstColumn="0" w:lastRowLastColumn="0"/>
              <w:rPr>
                <w:sz w:val="22"/>
              </w:rPr>
            </w:pPr>
            <w:r w:rsidRPr="00684ACD">
              <w:rPr>
                <w:sz w:val="22"/>
              </w:rPr>
              <w:t>Revitalized sales force</w:t>
            </w:r>
          </w:p>
        </w:tc>
      </w:tr>
      <w:tr w:rsidR="009A31EB" w:rsidTr="00EC080F">
        <w:tc>
          <w:tcPr>
            <w:cnfStyle w:val="001000000000" w:firstRow="0" w:lastRow="0" w:firstColumn="1" w:lastColumn="0" w:oddVBand="0" w:evenVBand="0" w:oddHBand="0" w:evenHBand="0" w:firstRowFirstColumn="0" w:firstRowLastColumn="0" w:lastRowFirstColumn="0" w:lastRowLastColumn="0"/>
            <w:tcW w:w="1620" w:type="dxa"/>
            <w:tcBorders>
              <w:top w:val="single" w:sz="8" w:space="0" w:color="auto"/>
            </w:tcBorders>
          </w:tcPr>
          <w:p w:rsidR="009A31EB" w:rsidRPr="009C18BE" w:rsidRDefault="008023FC" w:rsidP="00FB1C9C">
            <w:pPr>
              <w:rPr>
                <w:b/>
                <w:i/>
                <w:sz w:val="22"/>
              </w:rPr>
            </w:pPr>
            <w:r w:rsidRPr="009C18BE">
              <w:rPr>
                <w:b/>
                <w:i/>
                <w:sz w:val="22"/>
              </w:rPr>
              <w:t>Capabilities</w:t>
            </w:r>
            <w:r w:rsidR="00684ACD">
              <w:rPr>
                <w:b/>
                <w:i/>
                <w:sz w:val="22"/>
              </w:rPr>
              <w:t>/ Investments</w:t>
            </w:r>
          </w:p>
        </w:tc>
        <w:tc>
          <w:tcPr>
            <w:tcW w:w="3619" w:type="dxa"/>
            <w:tcBorders>
              <w:top w:val="single" w:sz="8" w:space="0" w:color="auto"/>
              <w:bottom w:val="single" w:sz="8" w:space="0" w:color="auto"/>
              <w:right w:val="single" w:sz="8" w:space="0" w:color="auto"/>
            </w:tcBorders>
          </w:tcPr>
          <w:p w:rsidR="008023FC" w:rsidRPr="00684ACD" w:rsidRDefault="008023FC" w:rsidP="008023FC">
            <w:pPr>
              <w:ind w:left="360" w:hanging="360"/>
              <w:cnfStyle w:val="000000000000" w:firstRow="0" w:lastRow="0" w:firstColumn="0" w:lastColumn="0" w:oddVBand="0" w:evenVBand="0" w:oddHBand="0" w:evenHBand="0" w:firstRowFirstColumn="0" w:firstRowLastColumn="0" w:lastRowFirstColumn="0" w:lastRowLastColumn="0"/>
              <w:rPr>
                <w:sz w:val="22"/>
              </w:rPr>
            </w:pPr>
            <w:r w:rsidRPr="00684ACD">
              <w:rPr>
                <w:sz w:val="22"/>
              </w:rPr>
              <w:t>Innovation (R&amp;D) – new product development</w:t>
            </w:r>
          </w:p>
        </w:tc>
        <w:tc>
          <w:tcPr>
            <w:tcW w:w="3671" w:type="dxa"/>
            <w:tcBorders>
              <w:top w:val="single" w:sz="8" w:space="0" w:color="auto"/>
              <w:left w:val="single" w:sz="8" w:space="0" w:color="auto"/>
              <w:bottom w:val="single" w:sz="8" w:space="0" w:color="auto"/>
            </w:tcBorders>
          </w:tcPr>
          <w:p w:rsidR="00354EE2" w:rsidRPr="00684ACD" w:rsidRDefault="00354EE2" w:rsidP="00EC080F">
            <w:pPr>
              <w:ind w:left="360" w:hanging="360"/>
              <w:cnfStyle w:val="000000000000" w:firstRow="0" w:lastRow="0" w:firstColumn="0" w:lastColumn="0" w:oddVBand="0" w:evenVBand="0" w:oddHBand="0" w:evenHBand="0" w:firstRowFirstColumn="0" w:firstRowLastColumn="0" w:lastRowFirstColumn="0" w:lastRowLastColumn="0"/>
              <w:rPr>
                <w:sz w:val="22"/>
              </w:rPr>
            </w:pPr>
            <w:r w:rsidRPr="00684ACD">
              <w:rPr>
                <w:sz w:val="22"/>
              </w:rPr>
              <w:t>S</w:t>
            </w:r>
            <w:r w:rsidR="00EC080F">
              <w:rPr>
                <w:sz w:val="22"/>
              </w:rPr>
              <w:t>treamlined operations and product offerings</w:t>
            </w:r>
          </w:p>
        </w:tc>
      </w:tr>
      <w:tr w:rsidR="009C18BE" w:rsidTr="00EC08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tcPr>
          <w:p w:rsidR="009C18BE" w:rsidRPr="009C18BE" w:rsidRDefault="009C18BE" w:rsidP="00FB1C9C">
            <w:pPr>
              <w:rPr>
                <w:b/>
                <w:i/>
                <w:sz w:val="22"/>
              </w:rPr>
            </w:pPr>
          </w:p>
        </w:tc>
        <w:tc>
          <w:tcPr>
            <w:tcW w:w="3619" w:type="dxa"/>
            <w:tcBorders>
              <w:top w:val="single" w:sz="8" w:space="0" w:color="auto"/>
              <w:bottom w:val="single" w:sz="8" w:space="0" w:color="auto"/>
              <w:right w:val="single" w:sz="8" w:space="0" w:color="auto"/>
            </w:tcBorders>
            <w:shd w:val="clear" w:color="auto" w:fill="D2EAF1"/>
          </w:tcPr>
          <w:p w:rsidR="009C18BE" w:rsidRPr="002A0E99" w:rsidRDefault="00737E24" w:rsidP="008023FC">
            <w:pPr>
              <w:ind w:left="360" w:hanging="360"/>
              <w:cnfStyle w:val="000000100000" w:firstRow="0" w:lastRow="0" w:firstColumn="0" w:lastColumn="0" w:oddVBand="0" w:evenVBand="0" w:oddHBand="1" w:evenHBand="0" w:firstRowFirstColumn="0" w:firstRowLastColumn="0" w:lastRowFirstColumn="0" w:lastRowLastColumn="0"/>
              <w:rPr>
                <w:sz w:val="22"/>
              </w:rPr>
            </w:pPr>
            <w:r w:rsidRPr="002A0E99">
              <w:rPr>
                <w:sz w:val="22"/>
              </w:rPr>
              <w:t>Efficiency</w:t>
            </w:r>
          </w:p>
        </w:tc>
        <w:tc>
          <w:tcPr>
            <w:tcW w:w="3671" w:type="dxa"/>
            <w:tcBorders>
              <w:top w:val="single" w:sz="8" w:space="0" w:color="auto"/>
              <w:left w:val="single" w:sz="8" w:space="0" w:color="auto"/>
              <w:bottom w:val="single" w:sz="8" w:space="0" w:color="auto"/>
            </w:tcBorders>
          </w:tcPr>
          <w:p w:rsidR="009C18BE" w:rsidRPr="002A0E99" w:rsidRDefault="00737E24" w:rsidP="008023FC">
            <w:pPr>
              <w:ind w:left="360" w:hanging="360"/>
              <w:cnfStyle w:val="000000100000" w:firstRow="0" w:lastRow="0" w:firstColumn="0" w:lastColumn="0" w:oddVBand="0" w:evenVBand="0" w:oddHBand="1" w:evenHBand="0" w:firstRowFirstColumn="0" w:firstRowLastColumn="0" w:lastRowFirstColumn="0" w:lastRowLastColumn="0"/>
              <w:rPr>
                <w:sz w:val="22"/>
              </w:rPr>
            </w:pPr>
            <w:r w:rsidRPr="002A0E99">
              <w:rPr>
                <w:sz w:val="22"/>
              </w:rPr>
              <w:t>Efficiency</w:t>
            </w:r>
          </w:p>
        </w:tc>
      </w:tr>
      <w:tr w:rsidR="009C18BE" w:rsidTr="00EC080F">
        <w:tc>
          <w:tcPr>
            <w:cnfStyle w:val="001000000000" w:firstRow="0" w:lastRow="0" w:firstColumn="1" w:lastColumn="0" w:oddVBand="0" w:evenVBand="0" w:oddHBand="0" w:evenHBand="0" w:firstRowFirstColumn="0" w:firstRowLastColumn="0" w:lastRowFirstColumn="0" w:lastRowLastColumn="0"/>
            <w:tcW w:w="1620" w:type="dxa"/>
            <w:tcBorders>
              <w:top w:val="nil"/>
              <w:bottom w:val="single" w:sz="8" w:space="0" w:color="auto"/>
            </w:tcBorders>
          </w:tcPr>
          <w:p w:rsidR="009C18BE" w:rsidRPr="009C18BE" w:rsidRDefault="009C18BE" w:rsidP="00FB1C9C">
            <w:pPr>
              <w:rPr>
                <w:b/>
                <w:i/>
                <w:sz w:val="22"/>
              </w:rPr>
            </w:pPr>
          </w:p>
        </w:tc>
        <w:tc>
          <w:tcPr>
            <w:tcW w:w="3619" w:type="dxa"/>
            <w:tcBorders>
              <w:top w:val="single" w:sz="8" w:space="0" w:color="auto"/>
              <w:bottom w:val="single" w:sz="8" w:space="0" w:color="auto"/>
              <w:right w:val="single" w:sz="8" w:space="0" w:color="auto"/>
            </w:tcBorders>
          </w:tcPr>
          <w:p w:rsidR="009C18BE" w:rsidRPr="00684ACD" w:rsidRDefault="00737E24" w:rsidP="008023FC">
            <w:pPr>
              <w:ind w:left="360" w:hanging="360"/>
              <w:cnfStyle w:val="000000000000" w:firstRow="0" w:lastRow="0" w:firstColumn="0" w:lastColumn="0" w:oddVBand="0" w:evenVBand="0" w:oddHBand="0" w:evenHBand="0" w:firstRowFirstColumn="0" w:firstRowLastColumn="0" w:lastRowFirstColumn="0" w:lastRowLastColumn="0"/>
              <w:rPr>
                <w:sz w:val="22"/>
              </w:rPr>
            </w:pPr>
            <w:r w:rsidRPr="00684ACD">
              <w:rPr>
                <w:sz w:val="22"/>
              </w:rPr>
              <w:t>Brand diversity through acquisitions</w:t>
            </w:r>
          </w:p>
        </w:tc>
        <w:tc>
          <w:tcPr>
            <w:tcW w:w="3671" w:type="dxa"/>
            <w:tcBorders>
              <w:top w:val="single" w:sz="8" w:space="0" w:color="auto"/>
              <w:left w:val="single" w:sz="8" w:space="0" w:color="auto"/>
              <w:bottom w:val="single" w:sz="8" w:space="0" w:color="auto"/>
            </w:tcBorders>
          </w:tcPr>
          <w:p w:rsidR="00737E24" w:rsidRPr="00684ACD" w:rsidRDefault="00737E24" w:rsidP="00737E24">
            <w:pPr>
              <w:ind w:left="360" w:hanging="360"/>
              <w:cnfStyle w:val="000000000000" w:firstRow="0" w:lastRow="0" w:firstColumn="0" w:lastColumn="0" w:oddVBand="0" w:evenVBand="0" w:oddHBand="0" w:evenHBand="0" w:firstRowFirstColumn="0" w:firstRowLastColumn="0" w:lastRowFirstColumn="0" w:lastRowLastColumn="0"/>
              <w:rPr>
                <w:sz w:val="22"/>
              </w:rPr>
            </w:pPr>
            <w:r w:rsidRPr="00684ACD">
              <w:rPr>
                <w:sz w:val="22"/>
              </w:rPr>
              <w:t>Updated information systems</w:t>
            </w:r>
          </w:p>
          <w:p w:rsidR="009C18BE" w:rsidRPr="00684ACD" w:rsidRDefault="00737E24" w:rsidP="00737E24">
            <w:pPr>
              <w:ind w:left="360" w:hanging="360"/>
              <w:cnfStyle w:val="000000000000" w:firstRow="0" w:lastRow="0" w:firstColumn="0" w:lastColumn="0" w:oddVBand="0" w:evenVBand="0" w:oddHBand="0" w:evenHBand="0" w:firstRowFirstColumn="0" w:firstRowLastColumn="0" w:lastRowFirstColumn="0" w:lastRowLastColumn="0"/>
              <w:rPr>
                <w:sz w:val="22"/>
              </w:rPr>
            </w:pPr>
            <w:r w:rsidRPr="00684ACD">
              <w:rPr>
                <w:sz w:val="22"/>
              </w:rPr>
              <w:t>Digital and social media selling tools</w:t>
            </w:r>
          </w:p>
        </w:tc>
      </w:tr>
      <w:tr w:rsidR="008023FC" w:rsidTr="00EC08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tcBorders>
              <w:top w:val="single" w:sz="8" w:space="0" w:color="auto"/>
              <w:bottom w:val="single" w:sz="8" w:space="0" w:color="auto"/>
            </w:tcBorders>
          </w:tcPr>
          <w:p w:rsidR="008023FC" w:rsidRPr="009C18BE" w:rsidRDefault="008023FC" w:rsidP="00FB1C9C">
            <w:pPr>
              <w:rPr>
                <w:b/>
                <w:i/>
                <w:sz w:val="22"/>
              </w:rPr>
            </w:pPr>
            <w:r w:rsidRPr="009C18BE">
              <w:rPr>
                <w:b/>
                <w:i/>
                <w:sz w:val="22"/>
              </w:rPr>
              <w:t>Competitive Position</w:t>
            </w:r>
          </w:p>
        </w:tc>
        <w:tc>
          <w:tcPr>
            <w:tcW w:w="3619" w:type="dxa"/>
            <w:tcBorders>
              <w:top w:val="single" w:sz="8" w:space="0" w:color="auto"/>
              <w:bottom w:val="single" w:sz="8" w:space="0" w:color="auto"/>
              <w:right w:val="single" w:sz="8" w:space="0" w:color="auto"/>
            </w:tcBorders>
          </w:tcPr>
          <w:p w:rsidR="008023FC" w:rsidRPr="00684ACD" w:rsidRDefault="008023FC" w:rsidP="00737E24">
            <w:pPr>
              <w:ind w:left="360" w:hanging="360"/>
              <w:cnfStyle w:val="000000100000" w:firstRow="0" w:lastRow="0" w:firstColumn="0" w:lastColumn="0" w:oddVBand="0" w:evenVBand="0" w:oddHBand="1" w:evenHBand="0" w:firstRowFirstColumn="0" w:firstRowLastColumn="0" w:lastRowFirstColumn="0" w:lastRowLastColumn="0"/>
              <w:rPr>
                <w:sz w:val="22"/>
              </w:rPr>
            </w:pPr>
            <w:r w:rsidRPr="00684ACD">
              <w:rPr>
                <w:sz w:val="22"/>
              </w:rPr>
              <w:t>Against large-scale</w:t>
            </w:r>
            <w:r w:rsidR="00737E24" w:rsidRPr="00684ACD">
              <w:rPr>
                <w:sz w:val="22"/>
              </w:rPr>
              <w:t>, mass-market</w:t>
            </w:r>
            <w:r w:rsidRPr="00684ACD">
              <w:rPr>
                <w:sz w:val="22"/>
              </w:rPr>
              <w:t xml:space="preserve"> producers </w:t>
            </w:r>
            <w:r w:rsidR="00EC080F">
              <w:rPr>
                <w:sz w:val="22"/>
              </w:rPr>
              <w:t>(i.e. L’Oreal, P&amp;G)</w:t>
            </w:r>
          </w:p>
        </w:tc>
        <w:tc>
          <w:tcPr>
            <w:tcW w:w="3671" w:type="dxa"/>
            <w:tcBorders>
              <w:top w:val="single" w:sz="8" w:space="0" w:color="auto"/>
              <w:left w:val="single" w:sz="8" w:space="0" w:color="auto"/>
              <w:bottom w:val="single" w:sz="8" w:space="0" w:color="auto"/>
            </w:tcBorders>
          </w:tcPr>
          <w:p w:rsidR="008023FC" w:rsidRPr="00684ACD" w:rsidRDefault="00354EE2" w:rsidP="008023FC">
            <w:pPr>
              <w:ind w:left="360" w:hanging="360"/>
              <w:cnfStyle w:val="000000100000" w:firstRow="0" w:lastRow="0" w:firstColumn="0" w:lastColumn="0" w:oddVBand="0" w:evenVBand="0" w:oddHBand="1" w:evenHBand="0" w:firstRowFirstColumn="0" w:firstRowLastColumn="0" w:lastRowFirstColumn="0" w:lastRowLastColumn="0"/>
              <w:rPr>
                <w:sz w:val="22"/>
              </w:rPr>
            </w:pPr>
            <w:r w:rsidRPr="00684ACD">
              <w:rPr>
                <w:sz w:val="22"/>
              </w:rPr>
              <w:t>Against direct s</w:t>
            </w:r>
            <w:r w:rsidR="009C18BE" w:rsidRPr="00684ACD">
              <w:rPr>
                <w:sz w:val="22"/>
              </w:rPr>
              <w:t xml:space="preserve">eller competitors (i.e. Mary Kay, Arbonne) </w:t>
            </w:r>
          </w:p>
        </w:tc>
      </w:tr>
      <w:tr w:rsidR="008023FC" w:rsidTr="00EC080F">
        <w:tc>
          <w:tcPr>
            <w:cnfStyle w:val="001000000000" w:firstRow="0" w:lastRow="0" w:firstColumn="1" w:lastColumn="0" w:oddVBand="0" w:evenVBand="0" w:oddHBand="0" w:evenHBand="0" w:firstRowFirstColumn="0" w:firstRowLastColumn="0" w:lastRowFirstColumn="0" w:lastRowLastColumn="0"/>
            <w:tcW w:w="1620" w:type="dxa"/>
            <w:tcBorders>
              <w:top w:val="single" w:sz="8" w:space="0" w:color="auto"/>
            </w:tcBorders>
          </w:tcPr>
          <w:p w:rsidR="008023FC" w:rsidRPr="009C18BE" w:rsidRDefault="008023FC" w:rsidP="00FB1C9C">
            <w:pPr>
              <w:rPr>
                <w:b/>
                <w:i/>
                <w:sz w:val="22"/>
              </w:rPr>
            </w:pPr>
            <w:r w:rsidRPr="009C18BE">
              <w:rPr>
                <w:b/>
                <w:i/>
                <w:sz w:val="22"/>
              </w:rPr>
              <w:t xml:space="preserve">International </w:t>
            </w:r>
          </w:p>
        </w:tc>
        <w:tc>
          <w:tcPr>
            <w:tcW w:w="3619" w:type="dxa"/>
            <w:tcBorders>
              <w:top w:val="single" w:sz="8" w:space="0" w:color="auto"/>
              <w:bottom w:val="single" w:sz="8" w:space="0" w:color="4BACC6" w:themeColor="accent5"/>
              <w:right w:val="single" w:sz="8" w:space="0" w:color="auto"/>
            </w:tcBorders>
          </w:tcPr>
          <w:p w:rsidR="008023FC" w:rsidRPr="00684ACD" w:rsidRDefault="008023FC" w:rsidP="008023FC">
            <w:pPr>
              <w:ind w:left="360" w:hanging="360"/>
              <w:cnfStyle w:val="000000000000" w:firstRow="0" w:lastRow="0" w:firstColumn="0" w:lastColumn="0" w:oddVBand="0" w:evenVBand="0" w:oddHBand="0" w:evenHBand="0" w:firstRowFirstColumn="0" w:firstRowLastColumn="0" w:lastRowFirstColumn="0" w:lastRowLastColumn="0"/>
              <w:rPr>
                <w:sz w:val="22"/>
              </w:rPr>
            </w:pPr>
            <w:r w:rsidRPr="00684ACD">
              <w:rPr>
                <w:sz w:val="22"/>
              </w:rPr>
              <w:t>Standardization (Global)</w:t>
            </w:r>
          </w:p>
        </w:tc>
        <w:tc>
          <w:tcPr>
            <w:tcW w:w="3671" w:type="dxa"/>
            <w:tcBorders>
              <w:top w:val="single" w:sz="8" w:space="0" w:color="auto"/>
              <w:left w:val="single" w:sz="8" w:space="0" w:color="auto"/>
              <w:bottom w:val="single" w:sz="8" w:space="0" w:color="4BACC6" w:themeColor="accent5"/>
            </w:tcBorders>
          </w:tcPr>
          <w:p w:rsidR="008023FC" w:rsidRPr="00684ACD" w:rsidRDefault="00354EE2" w:rsidP="008023FC">
            <w:pPr>
              <w:ind w:left="360" w:hanging="360"/>
              <w:cnfStyle w:val="000000000000" w:firstRow="0" w:lastRow="0" w:firstColumn="0" w:lastColumn="0" w:oddVBand="0" w:evenVBand="0" w:oddHBand="0" w:evenHBand="0" w:firstRowFirstColumn="0" w:firstRowLastColumn="0" w:lastRowFirstColumn="0" w:lastRowLastColumn="0"/>
              <w:rPr>
                <w:sz w:val="22"/>
              </w:rPr>
            </w:pPr>
            <w:r w:rsidRPr="00684ACD">
              <w:rPr>
                <w:sz w:val="22"/>
              </w:rPr>
              <w:t>Restructure</w:t>
            </w:r>
            <w:r w:rsidR="002A0E99">
              <w:rPr>
                <w:sz w:val="22"/>
              </w:rPr>
              <w:t>,</w:t>
            </w:r>
            <w:r w:rsidRPr="00684ACD">
              <w:rPr>
                <w:sz w:val="22"/>
              </w:rPr>
              <w:t xml:space="preserve"> with focus on priority markets</w:t>
            </w:r>
          </w:p>
        </w:tc>
      </w:tr>
    </w:tbl>
    <w:p w:rsidR="009A31EB" w:rsidRPr="00FB1C9C" w:rsidRDefault="009A31EB" w:rsidP="00FB1C9C">
      <w:r>
        <w:t xml:space="preserve"> </w:t>
      </w:r>
    </w:p>
    <w:p w:rsidR="007E2F1A" w:rsidRDefault="00737E24" w:rsidP="00FB1C9C">
      <w:r>
        <w:tab/>
      </w:r>
      <w:r w:rsidR="007E2F1A">
        <w:t>Out of the gate, McCoy has devised a restructuring plan to quickly reverse falling revenue, rising cost</w:t>
      </w:r>
      <w:r w:rsidR="00D879BB">
        <w:t>s</w:t>
      </w:r>
      <w:r w:rsidR="007E2F1A">
        <w:t xml:space="preserve"> of sales, margin instability, and recent losses. Lowering costs will have an immediate effect on profitability, </w:t>
      </w:r>
      <w:r w:rsidR="00684ACD">
        <w:t>which</w:t>
      </w:r>
      <w:r w:rsidR="007E2F1A">
        <w:t xml:space="preserve"> should improve share prices. </w:t>
      </w:r>
      <w:r w:rsidR="00D879BB">
        <w:t>Her w</w:t>
      </w:r>
      <w:r w:rsidR="007E2F1A">
        <w:t>ithdrawal from low priority or underperforming international markets will divert focus to struggling priority markets and to a new direction for the company.</w:t>
      </w:r>
    </w:p>
    <w:p w:rsidR="007E2F1A" w:rsidRDefault="007E2F1A" w:rsidP="00FB1C9C"/>
    <w:p w:rsidR="00FB1C9C" w:rsidRPr="00FB1C9C" w:rsidRDefault="007E2F1A" w:rsidP="00FB1C9C">
      <w:r>
        <w:tab/>
      </w:r>
      <w:r w:rsidR="00737E24">
        <w:t xml:space="preserve">While McCoy will maintain emphasis on Avon’s premium brands and achieving operational efficiencies, she will shift market focus and competitive positioning with a reemphasis on the company’s traditional selling strategy. At this point, it does not appear that the McCoy will pursue growth through an acquisition strategy, but by investing in technologies to support a push marketing strategy. Her international strategy will </w:t>
      </w:r>
      <w:r w:rsidR="00684ACD">
        <w:t xml:space="preserve">enable Avon to </w:t>
      </w:r>
      <w:r w:rsidR="00CE6AF2">
        <w:t xml:space="preserve">progress </w:t>
      </w:r>
      <w:r w:rsidR="00737E24">
        <w:t>toward a transnational strategy</w:t>
      </w:r>
      <w:r w:rsidR="00684ACD">
        <w:t xml:space="preserve"> to increase local responsiveness</w:t>
      </w:r>
      <w:r w:rsidR="00737E24">
        <w:t xml:space="preserve">. </w:t>
      </w:r>
    </w:p>
    <w:p w:rsidR="00FB1C9C" w:rsidRPr="00FB1C9C" w:rsidRDefault="00FB1C9C" w:rsidP="00FB1C9C"/>
    <w:p w:rsidR="00FB1C9C" w:rsidRDefault="00FB1C9C" w:rsidP="00FB1C9C">
      <w:pPr>
        <w:numPr>
          <w:ilvl w:val="0"/>
          <w:numId w:val="7"/>
        </w:numPr>
        <w:rPr>
          <w:b/>
          <w:i/>
        </w:rPr>
      </w:pPr>
      <w:r w:rsidRPr="00FB1C9C">
        <w:rPr>
          <w:b/>
          <w:i/>
        </w:rPr>
        <w:t xml:space="preserve">Did Jung’s strategy fit the situation? Why or why not? </w:t>
      </w:r>
      <w:r w:rsidR="007152E9">
        <w:rPr>
          <w:b/>
          <w:i/>
        </w:rPr>
        <w:t xml:space="preserve">Does McCoy’s strategy </w:t>
      </w:r>
      <w:r w:rsidR="00684ACD">
        <w:rPr>
          <w:b/>
          <w:i/>
        </w:rPr>
        <w:t>fit the current situation? Explain your answer.</w:t>
      </w:r>
      <w:r w:rsidR="007152E9">
        <w:rPr>
          <w:b/>
          <w:i/>
        </w:rPr>
        <w:t xml:space="preserve"> </w:t>
      </w:r>
      <w:r w:rsidR="00CE6AF2">
        <w:rPr>
          <w:b/>
          <w:i/>
        </w:rPr>
        <w:t>What suggestions can be derived from the analysis to enhance McCoy’s strategic plans?</w:t>
      </w:r>
    </w:p>
    <w:p w:rsidR="00FB1C9C" w:rsidRDefault="00FB1C9C" w:rsidP="00FB1C9C"/>
    <w:p w:rsidR="00FB1C9C" w:rsidRDefault="00CE6AF2" w:rsidP="00FB1C9C">
      <w:r>
        <w:tab/>
      </w:r>
      <w:r w:rsidR="00684ACD">
        <w:t xml:space="preserve">Using the strategic elements identified in the previous comparison to assess fit reveals that Jung’s strategy was well-suited to existing conditions. </w:t>
      </w:r>
      <w:r w:rsidR="00EC080F">
        <w:t xml:space="preserve">(This assessment is presented in the table on the following page.) </w:t>
      </w:r>
      <w:r w:rsidR="00684ACD">
        <w:t>However, she did deviate from a successful business formula</w:t>
      </w:r>
      <w:r w:rsidR="00EC080F">
        <w:t xml:space="preserve">; and in doing so, Jung led the company down an unsustainable path. </w:t>
      </w:r>
    </w:p>
    <w:p w:rsidR="00273DED" w:rsidRDefault="00273DED" w:rsidP="00FB1C9C"/>
    <w:p w:rsidR="00EC080F" w:rsidRDefault="00EC080F" w:rsidP="00FB1C9C"/>
    <w:p w:rsidR="00EC080F" w:rsidRDefault="00EC080F" w:rsidP="00FB1C9C"/>
    <w:p w:rsidR="00EC080F" w:rsidRDefault="00EC080F" w:rsidP="00FB1C9C"/>
    <w:p w:rsidR="00EC080F" w:rsidRDefault="00EC080F" w:rsidP="00FB1C9C"/>
    <w:p w:rsidR="00EC080F" w:rsidRDefault="00EC080F" w:rsidP="00FB1C9C"/>
    <w:p w:rsidR="00EC080F" w:rsidRDefault="00EC080F" w:rsidP="00FB1C9C"/>
    <w:p w:rsidR="00EC080F" w:rsidRDefault="00EC080F" w:rsidP="00FB1C9C"/>
    <w:p w:rsidR="00273DED" w:rsidRDefault="00273DED" w:rsidP="00FB1C9C"/>
    <w:tbl>
      <w:tblPr>
        <w:tblStyle w:val="MediumList2-Accent5"/>
        <w:tblW w:w="9706" w:type="dxa"/>
        <w:tblInd w:w="108" w:type="dxa"/>
        <w:tblLayout w:type="fixed"/>
        <w:tblLook w:val="04A0" w:firstRow="1" w:lastRow="0" w:firstColumn="1" w:lastColumn="0" w:noHBand="0" w:noVBand="1"/>
      </w:tblPr>
      <w:tblGrid>
        <w:gridCol w:w="1620"/>
        <w:gridCol w:w="2430"/>
        <w:gridCol w:w="720"/>
        <w:gridCol w:w="4936"/>
      </w:tblGrid>
      <w:tr w:rsidR="00CE6AF2" w:rsidTr="00EC080F">
        <w:trPr>
          <w:cnfStyle w:val="100000000000" w:firstRow="1" w:lastRow="0" w:firstColumn="0" w:lastColumn="0" w:oddVBand="0" w:evenVBand="0" w:oddHBand="0" w:evenHBand="0" w:firstRowFirstColumn="0" w:firstRowLastColumn="0" w:lastRowFirstColumn="0" w:lastRowLastColumn="0"/>
          <w:trHeight w:val="342"/>
        </w:trPr>
        <w:tc>
          <w:tcPr>
            <w:cnfStyle w:val="001000000100" w:firstRow="0" w:lastRow="0" w:firstColumn="1" w:lastColumn="0" w:oddVBand="0" w:evenVBand="0" w:oddHBand="0" w:evenHBand="0" w:firstRowFirstColumn="1" w:firstRowLastColumn="0" w:lastRowFirstColumn="0" w:lastRowLastColumn="0"/>
            <w:tcW w:w="1620" w:type="dxa"/>
          </w:tcPr>
          <w:p w:rsidR="00CE6AF2" w:rsidRDefault="00CE6AF2" w:rsidP="003665AD"/>
        </w:tc>
        <w:tc>
          <w:tcPr>
            <w:tcW w:w="2430" w:type="dxa"/>
          </w:tcPr>
          <w:p w:rsidR="00CE6AF2" w:rsidRPr="008023FC" w:rsidRDefault="00CE6AF2" w:rsidP="003665AD">
            <w:pPr>
              <w:jc w:val="center"/>
              <w:cnfStyle w:val="100000000000" w:firstRow="1" w:lastRow="0" w:firstColumn="0" w:lastColumn="0" w:oddVBand="0" w:evenVBand="0" w:oddHBand="0" w:evenHBand="0" w:firstRowFirstColumn="0" w:firstRowLastColumn="0" w:lastRowFirstColumn="0" w:lastRowLastColumn="0"/>
              <w:rPr>
                <w:b/>
              </w:rPr>
            </w:pPr>
            <w:r w:rsidRPr="008023FC">
              <w:rPr>
                <w:b/>
              </w:rPr>
              <w:t>Jung</w:t>
            </w:r>
          </w:p>
        </w:tc>
        <w:tc>
          <w:tcPr>
            <w:tcW w:w="720" w:type="dxa"/>
          </w:tcPr>
          <w:p w:rsidR="00CE6AF2" w:rsidRPr="008023FC" w:rsidRDefault="00784A2F" w:rsidP="003665AD">
            <w:pPr>
              <w:jc w:val="center"/>
              <w:cnfStyle w:val="100000000000" w:firstRow="1" w:lastRow="0" w:firstColumn="0" w:lastColumn="0" w:oddVBand="0" w:evenVBand="0" w:oddHBand="0" w:evenHBand="0" w:firstRowFirstColumn="0" w:firstRowLastColumn="0" w:lastRowFirstColumn="0" w:lastRowLastColumn="0"/>
              <w:rPr>
                <w:b/>
              </w:rPr>
            </w:pPr>
            <w:r>
              <w:rPr>
                <w:b/>
              </w:rPr>
              <w:t>Fit</w:t>
            </w:r>
          </w:p>
        </w:tc>
        <w:tc>
          <w:tcPr>
            <w:tcW w:w="4936" w:type="dxa"/>
          </w:tcPr>
          <w:p w:rsidR="00CE6AF2" w:rsidRPr="008023FC" w:rsidRDefault="00784A2F" w:rsidP="003665AD">
            <w:pPr>
              <w:jc w:val="center"/>
              <w:cnfStyle w:val="100000000000" w:firstRow="1" w:lastRow="0" w:firstColumn="0" w:lastColumn="0" w:oddVBand="0" w:evenVBand="0" w:oddHBand="0" w:evenHBand="0" w:firstRowFirstColumn="0" w:firstRowLastColumn="0" w:lastRowFirstColumn="0" w:lastRowLastColumn="0"/>
              <w:rPr>
                <w:b/>
              </w:rPr>
            </w:pPr>
            <w:r>
              <w:rPr>
                <w:b/>
              </w:rPr>
              <w:t>Comments</w:t>
            </w:r>
          </w:p>
        </w:tc>
      </w:tr>
      <w:tr w:rsidR="00CE6AF2" w:rsidTr="00EC08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tcBorders>
              <w:top w:val="single" w:sz="24" w:space="0" w:color="4BACC6" w:themeColor="accent5"/>
              <w:bottom w:val="single" w:sz="8" w:space="0" w:color="auto"/>
            </w:tcBorders>
          </w:tcPr>
          <w:p w:rsidR="00CE6AF2" w:rsidRPr="009C18BE" w:rsidRDefault="00CE6AF2" w:rsidP="003665AD">
            <w:pPr>
              <w:rPr>
                <w:b/>
                <w:i/>
                <w:sz w:val="22"/>
              </w:rPr>
            </w:pPr>
            <w:r w:rsidRPr="009C18BE">
              <w:rPr>
                <w:b/>
                <w:i/>
                <w:sz w:val="22"/>
              </w:rPr>
              <w:t>Product</w:t>
            </w:r>
          </w:p>
        </w:tc>
        <w:tc>
          <w:tcPr>
            <w:tcW w:w="2430" w:type="dxa"/>
            <w:tcBorders>
              <w:top w:val="single" w:sz="24" w:space="0" w:color="4BACC6" w:themeColor="accent5"/>
              <w:bottom w:val="single" w:sz="8" w:space="0" w:color="auto"/>
              <w:right w:val="single" w:sz="8" w:space="0" w:color="auto"/>
            </w:tcBorders>
            <w:shd w:val="clear" w:color="auto" w:fill="D2EAF1"/>
          </w:tcPr>
          <w:p w:rsidR="00CE6AF2" w:rsidRPr="00EC080F" w:rsidRDefault="00CE6AF2" w:rsidP="003665AD">
            <w:pPr>
              <w:ind w:left="360" w:hanging="360"/>
              <w:cnfStyle w:val="000000100000" w:firstRow="0" w:lastRow="0" w:firstColumn="0" w:lastColumn="0" w:oddVBand="0" w:evenVBand="0" w:oddHBand="1" w:evenHBand="0" w:firstRowFirstColumn="0" w:firstRowLastColumn="0" w:lastRowFirstColumn="0" w:lastRowLastColumn="0"/>
              <w:rPr>
                <w:sz w:val="22"/>
              </w:rPr>
            </w:pPr>
            <w:r w:rsidRPr="00EC080F">
              <w:rPr>
                <w:sz w:val="22"/>
              </w:rPr>
              <w:t>Up-scaled high-end beauty lines</w:t>
            </w:r>
          </w:p>
        </w:tc>
        <w:tc>
          <w:tcPr>
            <w:tcW w:w="720" w:type="dxa"/>
            <w:tcBorders>
              <w:top w:val="single" w:sz="24" w:space="0" w:color="4BACC6" w:themeColor="accent5"/>
              <w:left w:val="single" w:sz="8" w:space="0" w:color="auto"/>
              <w:bottom w:val="single" w:sz="8" w:space="0" w:color="auto"/>
              <w:right w:val="single" w:sz="8" w:space="0" w:color="auto"/>
            </w:tcBorders>
            <w:shd w:val="clear" w:color="auto" w:fill="D2EAF1"/>
          </w:tcPr>
          <w:p w:rsidR="00CE6AF2" w:rsidRPr="00EC080F" w:rsidRDefault="00784A2F" w:rsidP="00784A2F">
            <w:pPr>
              <w:ind w:left="360" w:hanging="360"/>
              <w:jc w:val="center"/>
              <w:cnfStyle w:val="000000100000" w:firstRow="0" w:lastRow="0" w:firstColumn="0" w:lastColumn="0" w:oddVBand="0" w:evenVBand="0" w:oddHBand="1" w:evenHBand="0" w:firstRowFirstColumn="0" w:firstRowLastColumn="0" w:lastRowFirstColumn="0" w:lastRowLastColumn="0"/>
              <w:rPr>
                <w:sz w:val="22"/>
              </w:rPr>
            </w:pPr>
            <w:r w:rsidRPr="00EC080F">
              <w:rPr>
                <w:sz w:val="22"/>
              </w:rPr>
              <w:t>Yes</w:t>
            </w:r>
          </w:p>
        </w:tc>
        <w:tc>
          <w:tcPr>
            <w:tcW w:w="4936" w:type="dxa"/>
            <w:tcBorders>
              <w:top w:val="single" w:sz="24" w:space="0" w:color="4BACC6" w:themeColor="accent5"/>
              <w:left w:val="single" w:sz="8" w:space="0" w:color="auto"/>
              <w:bottom w:val="single" w:sz="8" w:space="0" w:color="auto"/>
            </w:tcBorders>
            <w:shd w:val="clear" w:color="auto" w:fill="D2EAF1"/>
          </w:tcPr>
          <w:p w:rsidR="00CE6AF2" w:rsidRPr="00EC080F" w:rsidRDefault="00784A2F" w:rsidP="003665AD">
            <w:pPr>
              <w:ind w:left="360" w:hanging="360"/>
              <w:cnfStyle w:val="000000100000" w:firstRow="0" w:lastRow="0" w:firstColumn="0" w:lastColumn="0" w:oddVBand="0" w:evenVBand="0" w:oddHBand="1" w:evenHBand="0" w:firstRowFirstColumn="0" w:firstRowLastColumn="0" w:lastRowFirstColumn="0" w:lastRowLastColumn="0"/>
              <w:rPr>
                <w:sz w:val="22"/>
              </w:rPr>
            </w:pPr>
            <w:r w:rsidRPr="00EC080F">
              <w:rPr>
                <w:sz w:val="22"/>
              </w:rPr>
              <w:t xml:space="preserve">Maintained core beauty and skin care line, upgrading products to </w:t>
            </w:r>
            <w:r w:rsidR="007152E9" w:rsidRPr="00EC080F">
              <w:rPr>
                <w:sz w:val="22"/>
              </w:rPr>
              <w:t xml:space="preserve">differentiate and to </w:t>
            </w:r>
            <w:r w:rsidRPr="00EC080F">
              <w:rPr>
                <w:sz w:val="22"/>
              </w:rPr>
              <w:t xml:space="preserve">attract new customers and higher gross margins </w:t>
            </w:r>
          </w:p>
        </w:tc>
      </w:tr>
      <w:tr w:rsidR="00CE6AF2" w:rsidTr="00EC080F">
        <w:tc>
          <w:tcPr>
            <w:cnfStyle w:val="001000000000" w:firstRow="0" w:lastRow="0" w:firstColumn="1" w:lastColumn="0" w:oddVBand="0" w:evenVBand="0" w:oddHBand="0" w:evenHBand="0" w:firstRowFirstColumn="0" w:firstRowLastColumn="0" w:lastRowFirstColumn="0" w:lastRowLastColumn="0"/>
            <w:tcW w:w="1620" w:type="dxa"/>
            <w:tcBorders>
              <w:top w:val="single" w:sz="8" w:space="0" w:color="auto"/>
              <w:bottom w:val="single" w:sz="8" w:space="0" w:color="auto"/>
            </w:tcBorders>
          </w:tcPr>
          <w:p w:rsidR="00CE6AF2" w:rsidRPr="009C18BE" w:rsidRDefault="00CE6AF2" w:rsidP="003665AD">
            <w:pPr>
              <w:rPr>
                <w:b/>
                <w:i/>
                <w:sz w:val="22"/>
              </w:rPr>
            </w:pPr>
            <w:r w:rsidRPr="009C18BE">
              <w:rPr>
                <w:b/>
                <w:i/>
                <w:sz w:val="22"/>
              </w:rPr>
              <w:t>Market</w:t>
            </w:r>
          </w:p>
        </w:tc>
        <w:tc>
          <w:tcPr>
            <w:tcW w:w="2430" w:type="dxa"/>
            <w:tcBorders>
              <w:top w:val="single" w:sz="8" w:space="0" w:color="auto"/>
              <w:bottom w:val="single" w:sz="8" w:space="0" w:color="auto"/>
              <w:right w:val="single" w:sz="8" w:space="0" w:color="auto"/>
            </w:tcBorders>
            <w:shd w:val="clear" w:color="auto" w:fill="auto"/>
          </w:tcPr>
          <w:p w:rsidR="00CE6AF2" w:rsidRPr="00EC080F" w:rsidRDefault="00CE6AF2" w:rsidP="003665AD">
            <w:pPr>
              <w:ind w:left="360" w:hanging="360"/>
              <w:cnfStyle w:val="000000000000" w:firstRow="0" w:lastRow="0" w:firstColumn="0" w:lastColumn="0" w:oddVBand="0" w:evenVBand="0" w:oddHBand="0" w:evenHBand="0" w:firstRowFirstColumn="0" w:firstRowLastColumn="0" w:lastRowFirstColumn="0" w:lastRowLastColumn="0"/>
              <w:rPr>
                <w:sz w:val="22"/>
              </w:rPr>
            </w:pPr>
            <w:r w:rsidRPr="00EC080F">
              <w:rPr>
                <w:sz w:val="22"/>
              </w:rPr>
              <w:t>Trendy, educated, professional, high-end clientele</w:t>
            </w:r>
          </w:p>
        </w:tc>
        <w:tc>
          <w:tcPr>
            <w:tcW w:w="720" w:type="dxa"/>
            <w:tcBorders>
              <w:top w:val="single" w:sz="8" w:space="0" w:color="auto"/>
              <w:left w:val="single" w:sz="8" w:space="0" w:color="auto"/>
              <w:bottom w:val="single" w:sz="8" w:space="0" w:color="auto"/>
              <w:right w:val="single" w:sz="8" w:space="0" w:color="auto"/>
            </w:tcBorders>
            <w:shd w:val="clear" w:color="auto" w:fill="auto"/>
          </w:tcPr>
          <w:p w:rsidR="00CE6AF2" w:rsidRPr="00EC080F" w:rsidRDefault="00784A2F" w:rsidP="00784A2F">
            <w:pPr>
              <w:ind w:left="360" w:hanging="360"/>
              <w:jc w:val="center"/>
              <w:cnfStyle w:val="000000000000" w:firstRow="0" w:lastRow="0" w:firstColumn="0" w:lastColumn="0" w:oddVBand="0" w:evenVBand="0" w:oddHBand="0" w:evenHBand="0" w:firstRowFirstColumn="0" w:firstRowLastColumn="0" w:lastRowFirstColumn="0" w:lastRowLastColumn="0"/>
              <w:rPr>
                <w:sz w:val="22"/>
              </w:rPr>
            </w:pPr>
            <w:r w:rsidRPr="00EC080F">
              <w:rPr>
                <w:sz w:val="22"/>
              </w:rPr>
              <w:t>Yes</w:t>
            </w:r>
          </w:p>
        </w:tc>
        <w:tc>
          <w:tcPr>
            <w:tcW w:w="4936" w:type="dxa"/>
            <w:tcBorders>
              <w:top w:val="single" w:sz="8" w:space="0" w:color="auto"/>
              <w:left w:val="single" w:sz="8" w:space="0" w:color="auto"/>
              <w:bottom w:val="single" w:sz="8" w:space="0" w:color="auto"/>
            </w:tcBorders>
          </w:tcPr>
          <w:p w:rsidR="00CE6AF2" w:rsidRPr="00EC080F" w:rsidRDefault="00784A2F" w:rsidP="00784A2F">
            <w:pPr>
              <w:ind w:left="360" w:hanging="360"/>
              <w:cnfStyle w:val="000000000000" w:firstRow="0" w:lastRow="0" w:firstColumn="0" w:lastColumn="0" w:oddVBand="0" w:evenVBand="0" w:oddHBand="0" w:evenHBand="0" w:firstRowFirstColumn="0" w:firstRowLastColumn="0" w:lastRowFirstColumn="0" w:lastRowLastColumn="0"/>
              <w:rPr>
                <w:sz w:val="22"/>
              </w:rPr>
            </w:pPr>
            <w:r w:rsidRPr="00EC080F">
              <w:rPr>
                <w:sz w:val="22"/>
              </w:rPr>
              <w:t>Pursued working and professional women, a rising demographic</w:t>
            </w:r>
          </w:p>
        </w:tc>
      </w:tr>
      <w:tr w:rsidR="00CE6AF2" w:rsidTr="00EC08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tcBorders>
              <w:top w:val="single" w:sz="8" w:space="0" w:color="auto"/>
              <w:bottom w:val="single" w:sz="8" w:space="0" w:color="auto"/>
            </w:tcBorders>
          </w:tcPr>
          <w:p w:rsidR="00CE6AF2" w:rsidRPr="009C18BE" w:rsidRDefault="00CE6AF2" w:rsidP="003665AD">
            <w:pPr>
              <w:rPr>
                <w:b/>
                <w:i/>
                <w:sz w:val="22"/>
              </w:rPr>
            </w:pPr>
            <w:r w:rsidRPr="009C18BE">
              <w:rPr>
                <w:b/>
                <w:i/>
                <w:sz w:val="22"/>
              </w:rPr>
              <w:t>Process</w:t>
            </w:r>
          </w:p>
        </w:tc>
        <w:tc>
          <w:tcPr>
            <w:tcW w:w="2430" w:type="dxa"/>
            <w:tcBorders>
              <w:top w:val="single" w:sz="8" w:space="0" w:color="auto"/>
              <w:bottom w:val="single" w:sz="8" w:space="0" w:color="auto"/>
              <w:right w:val="single" w:sz="8" w:space="0" w:color="auto"/>
            </w:tcBorders>
            <w:shd w:val="clear" w:color="auto" w:fill="D2EAF1"/>
          </w:tcPr>
          <w:p w:rsidR="00CE6AF2" w:rsidRPr="00EC080F" w:rsidRDefault="00CE6AF2" w:rsidP="003665AD">
            <w:pPr>
              <w:ind w:left="360" w:hanging="360"/>
              <w:cnfStyle w:val="000000100000" w:firstRow="0" w:lastRow="0" w:firstColumn="0" w:lastColumn="0" w:oddVBand="0" w:evenVBand="0" w:oddHBand="1" w:evenHBand="0" w:firstRowFirstColumn="0" w:firstRowLastColumn="0" w:lastRowFirstColumn="0" w:lastRowLastColumn="0"/>
              <w:rPr>
                <w:sz w:val="22"/>
              </w:rPr>
            </w:pPr>
            <w:r w:rsidRPr="00EC080F">
              <w:rPr>
                <w:sz w:val="22"/>
              </w:rPr>
              <w:t>Pull marketing – media advertising</w:t>
            </w:r>
          </w:p>
        </w:tc>
        <w:tc>
          <w:tcPr>
            <w:tcW w:w="720" w:type="dxa"/>
            <w:tcBorders>
              <w:top w:val="single" w:sz="8" w:space="0" w:color="auto"/>
              <w:left w:val="single" w:sz="8" w:space="0" w:color="auto"/>
              <w:bottom w:val="single" w:sz="8" w:space="0" w:color="auto"/>
              <w:right w:val="single" w:sz="8" w:space="0" w:color="auto"/>
            </w:tcBorders>
            <w:shd w:val="clear" w:color="auto" w:fill="D2EAF1"/>
          </w:tcPr>
          <w:p w:rsidR="00CE6AF2" w:rsidRPr="00EC080F" w:rsidRDefault="00784A2F" w:rsidP="00784A2F">
            <w:pPr>
              <w:ind w:left="360" w:hanging="360"/>
              <w:jc w:val="center"/>
              <w:cnfStyle w:val="000000100000" w:firstRow="0" w:lastRow="0" w:firstColumn="0" w:lastColumn="0" w:oddVBand="0" w:evenVBand="0" w:oddHBand="1" w:evenHBand="0" w:firstRowFirstColumn="0" w:firstRowLastColumn="0" w:lastRowFirstColumn="0" w:lastRowLastColumn="0"/>
              <w:rPr>
                <w:sz w:val="22"/>
              </w:rPr>
            </w:pPr>
            <w:r w:rsidRPr="00EC080F">
              <w:rPr>
                <w:sz w:val="22"/>
              </w:rPr>
              <w:t>No</w:t>
            </w:r>
          </w:p>
        </w:tc>
        <w:tc>
          <w:tcPr>
            <w:tcW w:w="4936" w:type="dxa"/>
            <w:tcBorders>
              <w:top w:val="single" w:sz="8" w:space="0" w:color="auto"/>
              <w:left w:val="single" w:sz="8" w:space="0" w:color="auto"/>
              <w:bottom w:val="single" w:sz="8" w:space="0" w:color="auto"/>
            </w:tcBorders>
            <w:shd w:val="clear" w:color="auto" w:fill="D2EAF1"/>
          </w:tcPr>
          <w:p w:rsidR="00CE6AF2" w:rsidRPr="00EC080F" w:rsidRDefault="00784A2F" w:rsidP="00784A2F">
            <w:pPr>
              <w:ind w:left="360" w:hanging="360"/>
              <w:cnfStyle w:val="000000100000" w:firstRow="0" w:lastRow="0" w:firstColumn="0" w:lastColumn="0" w:oddVBand="0" w:evenVBand="0" w:oddHBand="1" w:evenHBand="0" w:firstRowFirstColumn="0" w:firstRowLastColumn="0" w:lastRowFirstColumn="0" w:lastRowLastColumn="0"/>
              <w:rPr>
                <w:sz w:val="22"/>
              </w:rPr>
            </w:pPr>
            <w:r w:rsidRPr="00EC080F">
              <w:rPr>
                <w:sz w:val="22"/>
              </w:rPr>
              <w:t>Adopted approach that disadvantaged the company and abandoned its  competitive advantage</w:t>
            </w:r>
          </w:p>
        </w:tc>
      </w:tr>
      <w:tr w:rsidR="00CE6AF2" w:rsidTr="00EC080F">
        <w:tc>
          <w:tcPr>
            <w:cnfStyle w:val="001000000000" w:firstRow="0" w:lastRow="0" w:firstColumn="1" w:lastColumn="0" w:oddVBand="0" w:evenVBand="0" w:oddHBand="0" w:evenHBand="0" w:firstRowFirstColumn="0" w:firstRowLastColumn="0" w:lastRowFirstColumn="0" w:lastRowLastColumn="0"/>
            <w:tcW w:w="1620" w:type="dxa"/>
            <w:tcBorders>
              <w:top w:val="single" w:sz="8" w:space="0" w:color="auto"/>
            </w:tcBorders>
          </w:tcPr>
          <w:p w:rsidR="00CE6AF2" w:rsidRPr="009C18BE" w:rsidRDefault="00CE6AF2" w:rsidP="003665AD">
            <w:pPr>
              <w:rPr>
                <w:b/>
                <w:i/>
                <w:sz w:val="22"/>
              </w:rPr>
            </w:pPr>
            <w:r w:rsidRPr="009C18BE">
              <w:rPr>
                <w:b/>
                <w:i/>
                <w:sz w:val="22"/>
              </w:rPr>
              <w:t>Capabilities</w:t>
            </w:r>
            <w:r w:rsidR="00EC080F">
              <w:rPr>
                <w:b/>
                <w:i/>
                <w:sz w:val="22"/>
              </w:rPr>
              <w:t>/ Investments</w:t>
            </w:r>
          </w:p>
        </w:tc>
        <w:tc>
          <w:tcPr>
            <w:tcW w:w="2430" w:type="dxa"/>
            <w:tcBorders>
              <w:top w:val="single" w:sz="8" w:space="0" w:color="auto"/>
              <w:bottom w:val="single" w:sz="8" w:space="0" w:color="auto"/>
              <w:right w:val="single" w:sz="8" w:space="0" w:color="auto"/>
            </w:tcBorders>
          </w:tcPr>
          <w:p w:rsidR="00CE6AF2" w:rsidRPr="00EC080F" w:rsidRDefault="00CE6AF2" w:rsidP="00784A2F">
            <w:pPr>
              <w:ind w:left="360" w:hanging="360"/>
              <w:cnfStyle w:val="000000000000" w:firstRow="0" w:lastRow="0" w:firstColumn="0" w:lastColumn="0" w:oddVBand="0" w:evenVBand="0" w:oddHBand="0" w:evenHBand="0" w:firstRowFirstColumn="0" w:firstRowLastColumn="0" w:lastRowFirstColumn="0" w:lastRowLastColumn="0"/>
              <w:rPr>
                <w:sz w:val="22"/>
              </w:rPr>
            </w:pPr>
            <w:r w:rsidRPr="00EC080F">
              <w:rPr>
                <w:sz w:val="22"/>
              </w:rPr>
              <w:t xml:space="preserve">Innovation (R&amp;D) </w:t>
            </w:r>
          </w:p>
        </w:tc>
        <w:tc>
          <w:tcPr>
            <w:tcW w:w="720" w:type="dxa"/>
            <w:tcBorders>
              <w:top w:val="single" w:sz="8" w:space="0" w:color="auto"/>
              <w:left w:val="single" w:sz="8" w:space="0" w:color="auto"/>
              <w:bottom w:val="single" w:sz="8" w:space="0" w:color="auto"/>
              <w:right w:val="single" w:sz="8" w:space="0" w:color="auto"/>
            </w:tcBorders>
          </w:tcPr>
          <w:p w:rsidR="00CE6AF2" w:rsidRPr="00EC080F" w:rsidRDefault="00784A2F" w:rsidP="00784A2F">
            <w:pPr>
              <w:ind w:left="360" w:hanging="360"/>
              <w:jc w:val="center"/>
              <w:cnfStyle w:val="000000000000" w:firstRow="0" w:lastRow="0" w:firstColumn="0" w:lastColumn="0" w:oddVBand="0" w:evenVBand="0" w:oddHBand="0" w:evenHBand="0" w:firstRowFirstColumn="0" w:firstRowLastColumn="0" w:lastRowFirstColumn="0" w:lastRowLastColumn="0"/>
              <w:rPr>
                <w:sz w:val="22"/>
              </w:rPr>
            </w:pPr>
            <w:r w:rsidRPr="00EC080F">
              <w:rPr>
                <w:sz w:val="22"/>
              </w:rPr>
              <w:t>Yes</w:t>
            </w:r>
          </w:p>
        </w:tc>
        <w:tc>
          <w:tcPr>
            <w:tcW w:w="4936" w:type="dxa"/>
            <w:tcBorders>
              <w:top w:val="single" w:sz="8" w:space="0" w:color="auto"/>
              <w:left w:val="single" w:sz="8" w:space="0" w:color="auto"/>
              <w:bottom w:val="single" w:sz="8" w:space="0" w:color="auto"/>
            </w:tcBorders>
          </w:tcPr>
          <w:p w:rsidR="00CE6AF2" w:rsidRPr="00EC080F" w:rsidRDefault="00784A2F" w:rsidP="00784A2F">
            <w:pPr>
              <w:ind w:left="360" w:hanging="360"/>
              <w:cnfStyle w:val="000000000000" w:firstRow="0" w:lastRow="0" w:firstColumn="0" w:lastColumn="0" w:oddVBand="0" w:evenVBand="0" w:oddHBand="0" w:evenHBand="0" w:firstRowFirstColumn="0" w:firstRowLastColumn="0" w:lastRowFirstColumn="0" w:lastRowLastColumn="0"/>
              <w:rPr>
                <w:sz w:val="22"/>
              </w:rPr>
            </w:pPr>
            <w:r w:rsidRPr="00EC080F">
              <w:rPr>
                <w:sz w:val="22"/>
              </w:rPr>
              <w:t>Invested in new product development to differentiate Avon from its rivals</w:t>
            </w:r>
          </w:p>
        </w:tc>
      </w:tr>
      <w:tr w:rsidR="00CE6AF2" w:rsidTr="00EC08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tcPr>
          <w:p w:rsidR="00CE6AF2" w:rsidRPr="009C18BE" w:rsidRDefault="00CE6AF2" w:rsidP="003665AD">
            <w:pPr>
              <w:rPr>
                <w:b/>
                <w:i/>
                <w:sz w:val="22"/>
              </w:rPr>
            </w:pPr>
          </w:p>
        </w:tc>
        <w:tc>
          <w:tcPr>
            <w:tcW w:w="2430" w:type="dxa"/>
            <w:tcBorders>
              <w:top w:val="single" w:sz="8" w:space="0" w:color="auto"/>
              <w:bottom w:val="single" w:sz="8" w:space="0" w:color="auto"/>
              <w:right w:val="single" w:sz="8" w:space="0" w:color="auto"/>
            </w:tcBorders>
            <w:shd w:val="clear" w:color="auto" w:fill="D2EAF1"/>
          </w:tcPr>
          <w:p w:rsidR="00CE6AF2" w:rsidRPr="00EC080F" w:rsidRDefault="00CE6AF2" w:rsidP="003665AD">
            <w:pPr>
              <w:ind w:left="360" w:hanging="360"/>
              <w:cnfStyle w:val="000000100000" w:firstRow="0" w:lastRow="0" w:firstColumn="0" w:lastColumn="0" w:oddVBand="0" w:evenVBand="0" w:oddHBand="1" w:evenHBand="0" w:firstRowFirstColumn="0" w:firstRowLastColumn="0" w:lastRowFirstColumn="0" w:lastRowLastColumn="0"/>
              <w:rPr>
                <w:sz w:val="22"/>
              </w:rPr>
            </w:pPr>
            <w:r w:rsidRPr="00EC080F">
              <w:rPr>
                <w:sz w:val="22"/>
              </w:rPr>
              <w:t>Efficiency</w:t>
            </w:r>
          </w:p>
        </w:tc>
        <w:tc>
          <w:tcPr>
            <w:tcW w:w="720" w:type="dxa"/>
            <w:tcBorders>
              <w:top w:val="single" w:sz="8" w:space="0" w:color="auto"/>
              <w:left w:val="single" w:sz="8" w:space="0" w:color="auto"/>
              <w:bottom w:val="single" w:sz="8" w:space="0" w:color="auto"/>
              <w:right w:val="single" w:sz="8" w:space="0" w:color="auto"/>
            </w:tcBorders>
          </w:tcPr>
          <w:p w:rsidR="00CE6AF2" w:rsidRPr="00EC080F" w:rsidRDefault="00784A2F" w:rsidP="00784A2F">
            <w:pPr>
              <w:ind w:left="360" w:hanging="360"/>
              <w:jc w:val="center"/>
              <w:cnfStyle w:val="000000100000" w:firstRow="0" w:lastRow="0" w:firstColumn="0" w:lastColumn="0" w:oddVBand="0" w:evenVBand="0" w:oddHBand="1" w:evenHBand="0" w:firstRowFirstColumn="0" w:firstRowLastColumn="0" w:lastRowFirstColumn="0" w:lastRowLastColumn="0"/>
              <w:rPr>
                <w:sz w:val="22"/>
              </w:rPr>
            </w:pPr>
            <w:r w:rsidRPr="00EC080F">
              <w:rPr>
                <w:sz w:val="22"/>
              </w:rPr>
              <w:t>Yes</w:t>
            </w:r>
          </w:p>
        </w:tc>
        <w:tc>
          <w:tcPr>
            <w:tcW w:w="4936" w:type="dxa"/>
            <w:tcBorders>
              <w:top w:val="single" w:sz="8" w:space="0" w:color="auto"/>
              <w:left w:val="single" w:sz="8" w:space="0" w:color="auto"/>
              <w:bottom w:val="single" w:sz="8" w:space="0" w:color="auto"/>
            </w:tcBorders>
          </w:tcPr>
          <w:p w:rsidR="00CE6AF2" w:rsidRPr="00EC080F" w:rsidRDefault="00784A2F" w:rsidP="00EC080F">
            <w:pPr>
              <w:ind w:left="360" w:hanging="360"/>
              <w:cnfStyle w:val="000000100000" w:firstRow="0" w:lastRow="0" w:firstColumn="0" w:lastColumn="0" w:oddVBand="0" w:evenVBand="0" w:oddHBand="1" w:evenHBand="0" w:firstRowFirstColumn="0" w:firstRowLastColumn="0" w:lastRowFirstColumn="0" w:lastRowLastColumn="0"/>
              <w:rPr>
                <w:sz w:val="22"/>
              </w:rPr>
            </w:pPr>
            <w:r w:rsidRPr="00EC080F">
              <w:rPr>
                <w:sz w:val="22"/>
              </w:rPr>
              <w:t xml:space="preserve">Invested in </w:t>
            </w:r>
            <w:r w:rsidR="00273DED" w:rsidRPr="00EC080F">
              <w:rPr>
                <w:sz w:val="22"/>
              </w:rPr>
              <w:t xml:space="preserve">ERP system to </w:t>
            </w:r>
            <w:r w:rsidR="00EC080F" w:rsidRPr="00EC080F">
              <w:rPr>
                <w:sz w:val="22"/>
              </w:rPr>
              <w:t xml:space="preserve">improve </w:t>
            </w:r>
            <w:r w:rsidR="00273DED" w:rsidRPr="00EC080F">
              <w:rPr>
                <w:sz w:val="22"/>
              </w:rPr>
              <w:t>cost structure and price competiveness against mass-market beauty manufacturers</w:t>
            </w:r>
            <w:r w:rsidR="00EC080F">
              <w:rPr>
                <w:sz w:val="22"/>
              </w:rPr>
              <w:t xml:space="preserve"> and online rivals </w:t>
            </w:r>
          </w:p>
        </w:tc>
      </w:tr>
      <w:tr w:rsidR="00CE6AF2" w:rsidTr="00EC080F">
        <w:tc>
          <w:tcPr>
            <w:cnfStyle w:val="001000000000" w:firstRow="0" w:lastRow="0" w:firstColumn="1" w:lastColumn="0" w:oddVBand="0" w:evenVBand="0" w:oddHBand="0" w:evenHBand="0" w:firstRowFirstColumn="0" w:firstRowLastColumn="0" w:lastRowFirstColumn="0" w:lastRowLastColumn="0"/>
            <w:tcW w:w="1620" w:type="dxa"/>
            <w:tcBorders>
              <w:top w:val="nil"/>
              <w:bottom w:val="single" w:sz="8" w:space="0" w:color="auto"/>
            </w:tcBorders>
          </w:tcPr>
          <w:p w:rsidR="00CE6AF2" w:rsidRPr="009C18BE" w:rsidRDefault="00CE6AF2" w:rsidP="003665AD">
            <w:pPr>
              <w:rPr>
                <w:b/>
                <w:i/>
                <w:sz w:val="22"/>
              </w:rPr>
            </w:pPr>
          </w:p>
        </w:tc>
        <w:tc>
          <w:tcPr>
            <w:tcW w:w="2430" w:type="dxa"/>
            <w:tcBorders>
              <w:top w:val="single" w:sz="8" w:space="0" w:color="auto"/>
              <w:bottom w:val="single" w:sz="8" w:space="0" w:color="auto"/>
              <w:right w:val="single" w:sz="8" w:space="0" w:color="auto"/>
            </w:tcBorders>
          </w:tcPr>
          <w:p w:rsidR="00CE6AF2" w:rsidRPr="00EC080F" w:rsidRDefault="00CE6AF2" w:rsidP="003665AD">
            <w:pPr>
              <w:ind w:left="360" w:hanging="360"/>
              <w:cnfStyle w:val="000000000000" w:firstRow="0" w:lastRow="0" w:firstColumn="0" w:lastColumn="0" w:oddVBand="0" w:evenVBand="0" w:oddHBand="0" w:evenHBand="0" w:firstRowFirstColumn="0" w:firstRowLastColumn="0" w:lastRowFirstColumn="0" w:lastRowLastColumn="0"/>
              <w:rPr>
                <w:sz w:val="22"/>
              </w:rPr>
            </w:pPr>
            <w:r w:rsidRPr="00EC080F">
              <w:rPr>
                <w:sz w:val="22"/>
              </w:rPr>
              <w:t>Brand diversity through acquisitions</w:t>
            </w:r>
          </w:p>
        </w:tc>
        <w:tc>
          <w:tcPr>
            <w:tcW w:w="720" w:type="dxa"/>
            <w:tcBorders>
              <w:top w:val="single" w:sz="8" w:space="0" w:color="auto"/>
              <w:left w:val="single" w:sz="8" w:space="0" w:color="auto"/>
              <w:bottom w:val="single" w:sz="8" w:space="0" w:color="auto"/>
              <w:right w:val="single" w:sz="8" w:space="0" w:color="auto"/>
            </w:tcBorders>
          </w:tcPr>
          <w:p w:rsidR="00CE6AF2" w:rsidRPr="00EC080F" w:rsidRDefault="00273DED" w:rsidP="00784A2F">
            <w:pPr>
              <w:ind w:left="360" w:hanging="360"/>
              <w:jc w:val="center"/>
              <w:cnfStyle w:val="000000000000" w:firstRow="0" w:lastRow="0" w:firstColumn="0" w:lastColumn="0" w:oddVBand="0" w:evenVBand="0" w:oddHBand="0" w:evenHBand="0" w:firstRowFirstColumn="0" w:firstRowLastColumn="0" w:lastRowFirstColumn="0" w:lastRowLastColumn="0"/>
              <w:rPr>
                <w:sz w:val="22"/>
              </w:rPr>
            </w:pPr>
            <w:r w:rsidRPr="00EC080F">
              <w:rPr>
                <w:sz w:val="22"/>
              </w:rPr>
              <w:t>Yes</w:t>
            </w:r>
          </w:p>
        </w:tc>
        <w:tc>
          <w:tcPr>
            <w:tcW w:w="4936" w:type="dxa"/>
            <w:tcBorders>
              <w:top w:val="single" w:sz="8" w:space="0" w:color="auto"/>
              <w:left w:val="single" w:sz="8" w:space="0" w:color="auto"/>
              <w:bottom w:val="single" w:sz="8" w:space="0" w:color="auto"/>
            </w:tcBorders>
          </w:tcPr>
          <w:p w:rsidR="00CE6AF2" w:rsidRPr="00EC080F" w:rsidRDefault="00273DED" w:rsidP="00273DED">
            <w:pPr>
              <w:ind w:left="360" w:hanging="360"/>
              <w:cnfStyle w:val="000000000000" w:firstRow="0" w:lastRow="0" w:firstColumn="0" w:lastColumn="0" w:oddVBand="0" w:evenVBand="0" w:oddHBand="0" w:evenHBand="0" w:firstRowFirstColumn="0" w:firstRowLastColumn="0" w:lastRowFirstColumn="0" w:lastRowLastColumn="0"/>
              <w:rPr>
                <w:sz w:val="22"/>
              </w:rPr>
            </w:pPr>
            <w:r w:rsidRPr="00EC080F">
              <w:rPr>
                <w:sz w:val="22"/>
              </w:rPr>
              <w:t xml:space="preserve">Attempted to reduce over-dependence on single product line </w:t>
            </w:r>
            <w:r w:rsidR="00EC080F">
              <w:rPr>
                <w:sz w:val="22"/>
              </w:rPr>
              <w:t>– introduced new products to Avon’s line-up</w:t>
            </w:r>
          </w:p>
        </w:tc>
      </w:tr>
      <w:tr w:rsidR="00CE6AF2" w:rsidTr="00EC080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tcBorders>
              <w:top w:val="single" w:sz="8" w:space="0" w:color="auto"/>
              <w:bottom w:val="single" w:sz="8" w:space="0" w:color="auto"/>
            </w:tcBorders>
          </w:tcPr>
          <w:p w:rsidR="00CE6AF2" w:rsidRPr="009C18BE" w:rsidRDefault="00CE6AF2" w:rsidP="003665AD">
            <w:pPr>
              <w:rPr>
                <w:b/>
                <w:i/>
                <w:sz w:val="22"/>
              </w:rPr>
            </w:pPr>
            <w:r w:rsidRPr="009C18BE">
              <w:rPr>
                <w:b/>
                <w:i/>
                <w:sz w:val="22"/>
              </w:rPr>
              <w:t>Competitive Position</w:t>
            </w:r>
          </w:p>
        </w:tc>
        <w:tc>
          <w:tcPr>
            <w:tcW w:w="2430" w:type="dxa"/>
            <w:tcBorders>
              <w:top w:val="single" w:sz="8" w:space="0" w:color="auto"/>
              <w:bottom w:val="single" w:sz="8" w:space="0" w:color="auto"/>
              <w:right w:val="single" w:sz="8" w:space="0" w:color="auto"/>
            </w:tcBorders>
          </w:tcPr>
          <w:p w:rsidR="00CE6AF2" w:rsidRPr="00EC080F" w:rsidRDefault="00CE6AF2" w:rsidP="003665AD">
            <w:pPr>
              <w:ind w:left="360" w:hanging="360"/>
              <w:cnfStyle w:val="000000100000" w:firstRow="0" w:lastRow="0" w:firstColumn="0" w:lastColumn="0" w:oddVBand="0" w:evenVBand="0" w:oddHBand="1" w:evenHBand="0" w:firstRowFirstColumn="0" w:firstRowLastColumn="0" w:lastRowFirstColumn="0" w:lastRowLastColumn="0"/>
              <w:rPr>
                <w:sz w:val="22"/>
              </w:rPr>
            </w:pPr>
            <w:r w:rsidRPr="00EC080F">
              <w:rPr>
                <w:sz w:val="22"/>
              </w:rPr>
              <w:t xml:space="preserve">Against large-scale, mass-market producers </w:t>
            </w:r>
            <w:r w:rsidR="00EC080F">
              <w:rPr>
                <w:sz w:val="22"/>
              </w:rPr>
              <w:t>(i.e. L’Oreal, P&amp;G)</w:t>
            </w:r>
          </w:p>
        </w:tc>
        <w:tc>
          <w:tcPr>
            <w:tcW w:w="720" w:type="dxa"/>
            <w:tcBorders>
              <w:top w:val="single" w:sz="8" w:space="0" w:color="auto"/>
              <w:left w:val="single" w:sz="8" w:space="0" w:color="auto"/>
              <w:bottom w:val="single" w:sz="8" w:space="0" w:color="auto"/>
              <w:right w:val="single" w:sz="8" w:space="0" w:color="auto"/>
            </w:tcBorders>
          </w:tcPr>
          <w:p w:rsidR="00CE6AF2" w:rsidRPr="00EC080F" w:rsidRDefault="00273DED" w:rsidP="00784A2F">
            <w:pPr>
              <w:ind w:left="360" w:hanging="360"/>
              <w:jc w:val="center"/>
              <w:cnfStyle w:val="000000100000" w:firstRow="0" w:lastRow="0" w:firstColumn="0" w:lastColumn="0" w:oddVBand="0" w:evenVBand="0" w:oddHBand="1" w:evenHBand="0" w:firstRowFirstColumn="0" w:firstRowLastColumn="0" w:lastRowFirstColumn="0" w:lastRowLastColumn="0"/>
              <w:rPr>
                <w:sz w:val="22"/>
              </w:rPr>
            </w:pPr>
            <w:r w:rsidRPr="00EC080F">
              <w:rPr>
                <w:sz w:val="22"/>
              </w:rPr>
              <w:t>No</w:t>
            </w:r>
          </w:p>
        </w:tc>
        <w:tc>
          <w:tcPr>
            <w:tcW w:w="4936" w:type="dxa"/>
            <w:tcBorders>
              <w:top w:val="single" w:sz="8" w:space="0" w:color="auto"/>
              <w:left w:val="single" w:sz="8" w:space="0" w:color="auto"/>
              <w:bottom w:val="single" w:sz="8" w:space="0" w:color="auto"/>
            </w:tcBorders>
          </w:tcPr>
          <w:p w:rsidR="00CE6AF2" w:rsidRPr="00EC080F" w:rsidRDefault="00273DED" w:rsidP="003665AD">
            <w:pPr>
              <w:ind w:left="360" w:hanging="360"/>
              <w:cnfStyle w:val="000000100000" w:firstRow="0" w:lastRow="0" w:firstColumn="0" w:lastColumn="0" w:oddVBand="0" w:evenVBand="0" w:oddHBand="1" w:evenHBand="0" w:firstRowFirstColumn="0" w:firstRowLastColumn="0" w:lastRowFirstColumn="0" w:lastRowLastColumn="0"/>
              <w:rPr>
                <w:sz w:val="22"/>
              </w:rPr>
            </w:pPr>
            <w:r w:rsidRPr="00EC080F">
              <w:rPr>
                <w:sz w:val="22"/>
              </w:rPr>
              <w:t>Moved into market position where the company would be at a distinct disadvantage against large rivals with enormous scope and extensive organizational resources</w:t>
            </w:r>
          </w:p>
        </w:tc>
      </w:tr>
      <w:tr w:rsidR="00CE6AF2" w:rsidTr="00EC080F">
        <w:tc>
          <w:tcPr>
            <w:cnfStyle w:val="001000000000" w:firstRow="0" w:lastRow="0" w:firstColumn="1" w:lastColumn="0" w:oddVBand="0" w:evenVBand="0" w:oddHBand="0" w:evenHBand="0" w:firstRowFirstColumn="0" w:firstRowLastColumn="0" w:lastRowFirstColumn="0" w:lastRowLastColumn="0"/>
            <w:tcW w:w="1620" w:type="dxa"/>
            <w:tcBorders>
              <w:top w:val="single" w:sz="8" w:space="0" w:color="auto"/>
            </w:tcBorders>
          </w:tcPr>
          <w:p w:rsidR="00CE6AF2" w:rsidRPr="009C18BE" w:rsidRDefault="00CE6AF2" w:rsidP="003665AD">
            <w:pPr>
              <w:rPr>
                <w:b/>
                <w:i/>
                <w:sz w:val="22"/>
              </w:rPr>
            </w:pPr>
            <w:r w:rsidRPr="009C18BE">
              <w:rPr>
                <w:b/>
                <w:i/>
                <w:sz w:val="22"/>
              </w:rPr>
              <w:t xml:space="preserve">International </w:t>
            </w:r>
          </w:p>
        </w:tc>
        <w:tc>
          <w:tcPr>
            <w:tcW w:w="2430" w:type="dxa"/>
            <w:tcBorders>
              <w:top w:val="single" w:sz="8" w:space="0" w:color="auto"/>
              <w:bottom w:val="single" w:sz="8" w:space="0" w:color="4BACC6" w:themeColor="accent5"/>
              <w:right w:val="single" w:sz="8" w:space="0" w:color="auto"/>
            </w:tcBorders>
          </w:tcPr>
          <w:p w:rsidR="00CE6AF2" w:rsidRPr="00EC080F" w:rsidRDefault="00CE6AF2" w:rsidP="003665AD">
            <w:pPr>
              <w:ind w:left="360" w:hanging="360"/>
              <w:cnfStyle w:val="000000000000" w:firstRow="0" w:lastRow="0" w:firstColumn="0" w:lastColumn="0" w:oddVBand="0" w:evenVBand="0" w:oddHBand="0" w:evenHBand="0" w:firstRowFirstColumn="0" w:firstRowLastColumn="0" w:lastRowFirstColumn="0" w:lastRowLastColumn="0"/>
              <w:rPr>
                <w:sz w:val="22"/>
              </w:rPr>
            </w:pPr>
            <w:r w:rsidRPr="00EC080F">
              <w:rPr>
                <w:sz w:val="22"/>
              </w:rPr>
              <w:t>Standardization (Global)</w:t>
            </w:r>
          </w:p>
        </w:tc>
        <w:tc>
          <w:tcPr>
            <w:tcW w:w="720" w:type="dxa"/>
            <w:tcBorders>
              <w:top w:val="single" w:sz="8" w:space="0" w:color="auto"/>
              <w:left w:val="single" w:sz="8" w:space="0" w:color="auto"/>
              <w:bottom w:val="single" w:sz="8" w:space="0" w:color="4BACC6" w:themeColor="accent5"/>
              <w:right w:val="single" w:sz="8" w:space="0" w:color="auto"/>
            </w:tcBorders>
          </w:tcPr>
          <w:p w:rsidR="00CE6AF2" w:rsidRPr="00EC080F" w:rsidRDefault="00273DED" w:rsidP="00273DED">
            <w:pPr>
              <w:jc w:val="center"/>
              <w:cnfStyle w:val="000000000000" w:firstRow="0" w:lastRow="0" w:firstColumn="0" w:lastColumn="0" w:oddVBand="0" w:evenVBand="0" w:oddHBand="0" w:evenHBand="0" w:firstRowFirstColumn="0" w:firstRowLastColumn="0" w:lastRowFirstColumn="0" w:lastRowLastColumn="0"/>
              <w:rPr>
                <w:sz w:val="22"/>
              </w:rPr>
            </w:pPr>
            <w:r w:rsidRPr="00EC080F">
              <w:rPr>
                <w:sz w:val="22"/>
              </w:rPr>
              <w:t>Yes, but…</w:t>
            </w:r>
          </w:p>
        </w:tc>
        <w:tc>
          <w:tcPr>
            <w:tcW w:w="4936" w:type="dxa"/>
            <w:tcBorders>
              <w:top w:val="single" w:sz="8" w:space="0" w:color="auto"/>
              <w:left w:val="single" w:sz="8" w:space="0" w:color="auto"/>
              <w:bottom w:val="single" w:sz="8" w:space="0" w:color="4BACC6" w:themeColor="accent5"/>
            </w:tcBorders>
          </w:tcPr>
          <w:p w:rsidR="00CE6AF2" w:rsidRPr="00EC080F" w:rsidRDefault="00273DED" w:rsidP="00273DED">
            <w:pPr>
              <w:ind w:left="360" w:hanging="360"/>
              <w:cnfStyle w:val="000000000000" w:firstRow="0" w:lastRow="0" w:firstColumn="0" w:lastColumn="0" w:oddVBand="0" w:evenVBand="0" w:oddHBand="0" w:evenHBand="0" w:firstRowFirstColumn="0" w:firstRowLastColumn="0" w:lastRowFirstColumn="0" w:lastRowLastColumn="0"/>
              <w:rPr>
                <w:sz w:val="22"/>
              </w:rPr>
            </w:pPr>
            <w:r w:rsidRPr="00EC080F">
              <w:rPr>
                <w:sz w:val="22"/>
              </w:rPr>
              <w:t>Used a suitable approach for entry to establish a</w:t>
            </w:r>
            <w:r w:rsidR="00EC080F">
              <w:rPr>
                <w:sz w:val="22"/>
              </w:rPr>
              <w:t>nd strengthen Avon’s</w:t>
            </w:r>
            <w:r w:rsidRPr="00EC080F">
              <w:rPr>
                <w:sz w:val="22"/>
              </w:rPr>
              <w:t xml:space="preserve"> position in emerging markets, but clearly will not be able to sustain a lead in these markets without adopting region-specific product and distribution strategies </w:t>
            </w:r>
          </w:p>
        </w:tc>
      </w:tr>
    </w:tbl>
    <w:p w:rsidR="00FB1C9C" w:rsidRDefault="00FB1C9C" w:rsidP="00FB1C9C"/>
    <w:p w:rsidR="005B0759" w:rsidRDefault="00EC080F" w:rsidP="00FB1C9C">
      <w:r>
        <w:tab/>
        <w:t>A troubl</w:t>
      </w:r>
      <w:r w:rsidR="00931DEC">
        <w:t>ing</w:t>
      </w:r>
      <w:r>
        <w:t xml:space="preserve"> </w:t>
      </w:r>
      <w:r w:rsidR="00931DEC">
        <w:t xml:space="preserve">sign </w:t>
      </w:r>
      <w:r>
        <w:t>under Jung is that Avon’s e</w:t>
      </w:r>
      <w:r w:rsidR="008A469C">
        <w:t xml:space="preserve">arnings expectations </w:t>
      </w:r>
      <w:r>
        <w:t>we</w:t>
      </w:r>
      <w:r w:rsidR="008A469C">
        <w:t>re not being met at a time when the industry was growing</w:t>
      </w:r>
      <w:r>
        <w:t>. She began to receive criticism that the influence of her own style and profile</w:t>
      </w:r>
      <w:r w:rsidRPr="00EC080F">
        <w:t xml:space="preserve"> </w:t>
      </w:r>
      <w:r>
        <w:t xml:space="preserve">did not align with </w:t>
      </w:r>
      <w:r w:rsidR="00931DEC">
        <w:t xml:space="preserve">the </w:t>
      </w:r>
      <w:r>
        <w:t xml:space="preserve">company’s core values and vision. Objectively, the analysis shows that </w:t>
      </w:r>
      <w:r w:rsidR="005B0759">
        <w:t>Jung’s pull marketing strategy did not match the company’s core competencies. Developing a high-end product line did not take into account the company’s inability to reach that niche segment of women through Avon’s existing direct selling and personal marketing approach. Substituting media advertising to overcome th</w:t>
      </w:r>
      <w:r>
        <w:t>is disconnect (</w:t>
      </w:r>
      <w:r w:rsidR="005B0759">
        <w:t>even by increasing advertising dollars year over year</w:t>
      </w:r>
      <w:r>
        <w:t>)</w:t>
      </w:r>
      <w:r w:rsidR="005B0759">
        <w:t xml:space="preserve"> was ineffective. In addition, it eventually became obvious that pitting the company directly against mainstream beauty product companies was a losing proposition. The resource gap was just too great. </w:t>
      </w:r>
      <w:r w:rsidR="007152E9">
        <w:t>In contrast, the relationship marketing model remained productive in emerging markets.</w:t>
      </w:r>
      <w:r w:rsidR="00931DEC">
        <w:t xml:space="preserve"> Additionally, the product development capabilities and the efficiency gains achieved by trying to compete against large-scale competitors will benefit Avon moving forward. </w:t>
      </w:r>
    </w:p>
    <w:p w:rsidR="005B0759" w:rsidRDefault="005B0759" w:rsidP="00FB1C9C"/>
    <w:p w:rsidR="00B6757B" w:rsidRDefault="00EC080F" w:rsidP="00FB1C9C">
      <w:r>
        <w:tab/>
        <w:t xml:space="preserve">Using the same approach to assess McCoy’s strategy </w:t>
      </w:r>
      <w:r w:rsidR="00C22FCA">
        <w:t>gauges</w:t>
      </w:r>
      <w:r w:rsidR="00B6757B">
        <w:t xml:space="preserve"> </w:t>
      </w:r>
      <w:r w:rsidR="00320917">
        <w:t xml:space="preserve">whether </w:t>
      </w:r>
      <w:r w:rsidR="00320917">
        <w:t xml:space="preserve">her plans fit the current situation </w:t>
      </w:r>
      <w:r w:rsidR="00320917">
        <w:t>and adequately</w:t>
      </w:r>
      <w:r w:rsidR="00B6757B">
        <w:t xml:space="preserve"> address Avon’s </w:t>
      </w:r>
      <w:r w:rsidR="00C22FCA">
        <w:t>present weaknesses</w:t>
      </w:r>
      <w:bookmarkStart w:id="0" w:name="_GoBack"/>
      <w:bookmarkEnd w:id="0"/>
      <w:r w:rsidR="00B6757B">
        <w:t>.</w:t>
      </w:r>
    </w:p>
    <w:tbl>
      <w:tblPr>
        <w:tblStyle w:val="MediumList2-Accent5"/>
        <w:tblW w:w="9803" w:type="dxa"/>
        <w:tblInd w:w="108" w:type="dxa"/>
        <w:tblLayout w:type="fixed"/>
        <w:tblLook w:val="04A0" w:firstRow="1" w:lastRow="0" w:firstColumn="1" w:lastColumn="0" w:noHBand="0" w:noVBand="1"/>
      </w:tblPr>
      <w:tblGrid>
        <w:gridCol w:w="1620"/>
        <w:gridCol w:w="2250"/>
        <w:gridCol w:w="720"/>
        <w:gridCol w:w="5213"/>
      </w:tblGrid>
      <w:tr w:rsidR="007152E9" w:rsidTr="00931DE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620" w:type="dxa"/>
          </w:tcPr>
          <w:p w:rsidR="007152E9" w:rsidRDefault="007152E9" w:rsidP="003665AD"/>
        </w:tc>
        <w:tc>
          <w:tcPr>
            <w:tcW w:w="2250" w:type="dxa"/>
          </w:tcPr>
          <w:p w:rsidR="007152E9" w:rsidRPr="008023FC" w:rsidRDefault="007152E9" w:rsidP="003665AD">
            <w:pPr>
              <w:jc w:val="center"/>
              <w:cnfStyle w:val="100000000000" w:firstRow="1" w:lastRow="0" w:firstColumn="0" w:lastColumn="0" w:oddVBand="0" w:evenVBand="0" w:oddHBand="0" w:evenHBand="0" w:firstRowFirstColumn="0" w:firstRowLastColumn="0" w:lastRowFirstColumn="0" w:lastRowLastColumn="0"/>
              <w:rPr>
                <w:b/>
              </w:rPr>
            </w:pPr>
            <w:r w:rsidRPr="008023FC">
              <w:rPr>
                <w:b/>
              </w:rPr>
              <w:t>McCoy</w:t>
            </w:r>
          </w:p>
        </w:tc>
        <w:tc>
          <w:tcPr>
            <w:tcW w:w="720" w:type="dxa"/>
          </w:tcPr>
          <w:p w:rsidR="007152E9" w:rsidRPr="008023FC" w:rsidRDefault="007152E9" w:rsidP="003665AD">
            <w:pPr>
              <w:jc w:val="center"/>
              <w:cnfStyle w:val="100000000000" w:firstRow="1" w:lastRow="0" w:firstColumn="0" w:lastColumn="0" w:oddVBand="0" w:evenVBand="0" w:oddHBand="0" w:evenHBand="0" w:firstRowFirstColumn="0" w:firstRowLastColumn="0" w:lastRowFirstColumn="0" w:lastRowLastColumn="0"/>
              <w:rPr>
                <w:b/>
              </w:rPr>
            </w:pPr>
            <w:r>
              <w:rPr>
                <w:b/>
              </w:rPr>
              <w:t>Fit</w:t>
            </w:r>
          </w:p>
        </w:tc>
        <w:tc>
          <w:tcPr>
            <w:tcW w:w="5213" w:type="dxa"/>
          </w:tcPr>
          <w:p w:rsidR="007152E9" w:rsidRPr="008023FC" w:rsidRDefault="007152E9" w:rsidP="003665AD">
            <w:pPr>
              <w:jc w:val="center"/>
              <w:cnfStyle w:val="100000000000" w:firstRow="1" w:lastRow="0" w:firstColumn="0" w:lastColumn="0" w:oddVBand="0" w:evenVBand="0" w:oddHBand="0" w:evenHBand="0" w:firstRowFirstColumn="0" w:firstRowLastColumn="0" w:lastRowFirstColumn="0" w:lastRowLastColumn="0"/>
              <w:rPr>
                <w:b/>
              </w:rPr>
            </w:pPr>
            <w:r>
              <w:rPr>
                <w:b/>
              </w:rPr>
              <w:t>Comments</w:t>
            </w:r>
          </w:p>
        </w:tc>
      </w:tr>
      <w:tr w:rsidR="007152E9" w:rsidTr="00931D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tcBorders>
              <w:top w:val="single" w:sz="24" w:space="0" w:color="4BACC6" w:themeColor="accent5"/>
              <w:bottom w:val="single" w:sz="8" w:space="0" w:color="auto"/>
            </w:tcBorders>
          </w:tcPr>
          <w:p w:rsidR="007152E9" w:rsidRPr="009C18BE" w:rsidRDefault="007152E9" w:rsidP="003665AD">
            <w:pPr>
              <w:rPr>
                <w:b/>
                <w:i/>
                <w:sz w:val="22"/>
              </w:rPr>
            </w:pPr>
            <w:r w:rsidRPr="009C18BE">
              <w:rPr>
                <w:b/>
                <w:i/>
                <w:sz w:val="22"/>
              </w:rPr>
              <w:t>Product</w:t>
            </w:r>
          </w:p>
        </w:tc>
        <w:tc>
          <w:tcPr>
            <w:tcW w:w="2250" w:type="dxa"/>
            <w:tcBorders>
              <w:top w:val="single" w:sz="24" w:space="0" w:color="4BACC6" w:themeColor="accent5"/>
              <w:bottom w:val="single" w:sz="8" w:space="0" w:color="auto"/>
              <w:right w:val="single" w:sz="8" w:space="0" w:color="auto"/>
            </w:tcBorders>
            <w:shd w:val="clear" w:color="auto" w:fill="D2EAF1"/>
          </w:tcPr>
          <w:p w:rsidR="007152E9" w:rsidRPr="00B6757B" w:rsidRDefault="007152E9" w:rsidP="003665AD">
            <w:pPr>
              <w:ind w:left="360" w:hanging="360"/>
              <w:cnfStyle w:val="000000100000" w:firstRow="0" w:lastRow="0" w:firstColumn="0" w:lastColumn="0" w:oddVBand="0" w:evenVBand="0" w:oddHBand="1" w:evenHBand="0" w:firstRowFirstColumn="0" w:firstRowLastColumn="0" w:lastRowFirstColumn="0" w:lastRowLastColumn="0"/>
              <w:rPr>
                <w:sz w:val="22"/>
              </w:rPr>
            </w:pPr>
            <w:r w:rsidRPr="00B6757B">
              <w:rPr>
                <w:sz w:val="22"/>
              </w:rPr>
              <w:t>Premium brands (i.e. Anew)</w:t>
            </w:r>
          </w:p>
        </w:tc>
        <w:tc>
          <w:tcPr>
            <w:tcW w:w="720" w:type="dxa"/>
            <w:tcBorders>
              <w:top w:val="single" w:sz="24" w:space="0" w:color="4BACC6" w:themeColor="accent5"/>
              <w:left w:val="single" w:sz="8" w:space="0" w:color="auto"/>
              <w:bottom w:val="single" w:sz="8" w:space="0" w:color="auto"/>
              <w:right w:val="single" w:sz="8" w:space="0" w:color="auto"/>
            </w:tcBorders>
            <w:shd w:val="clear" w:color="auto" w:fill="D2EAF1"/>
          </w:tcPr>
          <w:p w:rsidR="007152E9" w:rsidRPr="00B6757B" w:rsidRDefault="007152E9" w:rsidP="003665AD">
            <w:pPr>
              <w:ind w:left="360" w:hanging="360"/>
              <w:jc w:val="center"/>
              <w:cnfStyle w:val="000000100000" w:firstRow="0" w:lastRow="0" w:firstColumn="0" w:lastColumn="0" w:oddVBand="0" w:evenVBand="0" w:oddHBand="1" w:evenHBand="0" w:firstRowFirstColumn="0" w:firstRowLastColumn="0" w:lastRowFirstColumn="0" w:lastRowLastColumn="0"/>
              <w:rPr>
                <w:sz w:val="22"/>
              </w:rPr>
            </w:pPr>
            <w:r w:rsidRPr="00B6757B">
              <w:rPr>
                <w:sz w:val="22"/>
              </w:rPr>
              <w:t>Yes</w:t>
            </w:r>
          </w:p>
        </w:tc>
        <w:tc>
          <w:tcPr>
            <w:tcW w:w="5213" w:type="dxa"/>
            <w:tcBorders>
              <w:top w:val="single" w:sz="24" w:space="0" w:color="4BACC6" w:themeColor="accent5"/>
              <w:left w:val="single" w:sz="8" w:space="0" w:color="auto"/>
              <w:bottom w:val="single" w:sz="8" w:space="0" w:color="auto"/>
            </w:tcBorders>
            <w:shd w:val="clear" w:color="auto" w:fill="D2EAF1"/>
          </w:tcPr>
          <w:p w:rsidR="007152E9" w:rsidRPr="00B6757B" w:rsidRDefault="007152E9" w:rsidP="00B6757B">
            <w:pPr>
              <w:ind w:left="360" w:hanging="360"/>
              <w:cnfStyle w:val="000000100000" w:firstRow="0" w:lastRow="0" w:firstColumn="0" w:lastColumn="0" w:oddVBand="0" w:evenVBand="0" w:oddHBand="1" w:evenHBand="0" w:firstRowFirstColumn="0" w:firstRowLastColumn="0" w:lastRowFirstColumn="0" w:lastRowLastColumn="0"/>
              <w:rPr>
                <w:sz w:val="22"/>
              </w:rPr>
            </w:pPr>
            <w:r w:rsidRPr="00B6757B">
              <w:rPr>
                <w:sz w:val="22"/>
              </w:rPr>
              <w:t xml:space="preserve">Maintains core beauty and skin care line, upgrading products to differentiate and to attract new customers and higher gross margins </w:t>
            </w:r>
            <w:r w:rsidR="00B6757B">
              <w:rPr>
                <w:sz w:val="22"/>
              </w:rPr>
              <w:t>– takes advantage of premium lines developed through Jung’s innovation initiatives</w:t>
            </w:r>
          </w:p>
        </w:tc>
      </w:tr>
      <w:tr w:rsidR="007152E9" w:rsidTr="00931DEC">
        <w:tc>
          <w:tcPr>
            <w:cnfStyle w:val="001000000000" w:firstRow="0" w:lastRow="0" w:firstColumn="1" w:lastColumn="0" w:oddVBand="0" w:evenVBand="0" w:oddHBand="0" w:evenHBand="0" w:firstRowFirstColumn="0" w:firstRowLastColumn="0" w:lastRowFirstColumn="0" w:lastRowLastColumn="0"/>
            <w:tcW w:w="1620" w:type="dxa"/>
            <w:tcBorders>
              <w:top w:val="single" w:sz="8" w:space="0" w:color="auto"/>
              <w:bottom w:val="single" w:sz="8" w:space="0" w:color="auto"/>
            </w:tcBorders>
          </w:tcPr>
          <w:p w:rsidR="007152E9" w:rsidRPr="009C18BE" w:rsidRDefault="007152E9" w:rsidP="003665AD">
            <w:pPr>
              <w:rPr>
                <w:b/>
                <w:i/>
                <w:sz w:val="22"/>
              </w:rPr>
            </w:pPr>
            <w:r w:rsidRPr="009C18BE">
              <w:rPr>
                <w:b/>
                <w:i/>
                <w:sz w:val="22"/>
              </w:rPr>
              <w:t>Market</w:t>
            </w:r>
          </w:p>
        </w:tc>
        <w:tc>
          <w:tcPr>
            <w:tcW w:w="2250" w:type="dxa"/>
            <w:tcBorders>
              <w:top w:val="single" w:sz="8" w:space="0" w:color="auto"/>
              <w:bottom w:val="single" w:sz="8" w:space="0" w:color="auto"/>
              <w:right w:val="single" w:sz="8" w:space="0" w:color="auto"/>
            </w:tcBorders>
          </w:tcPr>
          <w:p w:rsidR="007152E9" w:rsidRPr="00B6757B" w:rsidRDefault="007152E9" w:rsidP="00B6757B">
            <w:pPr>
              <w:ind w:left="360" w:hanging="360"/>
              <w:cnfStyle w:val="000000000000" w:firstRow="0" w:lastRow="0" w:firstColumn="0" w:lastColumn="0" w:oddVBand="0" w:evenVBand="0" w:oddHBand="0" w:evenHBand="0" w:firstRowFirstColumn="0" w:firstRowLastColumn="0" w:lastRowFirstColumn="0" w:lastRowLastColumn="0"/>
              <w:rPr>
                <w:sz w:val="22"/>
              </w:rPr>
            </w:pPr>
            <w:r w:rsidRPr="00B6757B">
              <w:rPr>
                <w:sz w:val="22"/>
              </w:rPr>
              <w:t>Status and demographics matched to sales rep</w:t>
            </w:r>
            <w:r w:rsidR="00B6757B">
              <w:rPr>
                <w:sz w:val="22"/>
              </w:rPr>
              <w:t>re</w:t>
            </w:r>
            <w:r w:rsidRPr="00B6757B">
              <w:rPr>
                <w:sz w:val="22"/>
              </w:rPr>
              <w:t>s</w:t>
            </w:r>
            <w:r w:rsidR="00B6757B">
              <w:rPr>
                <w:sz w:val="22"/>
              </w:rPr>
              <w:t>entatives’</w:t>
            </w:r>
            <w:r w:rsidRPr="00B6757B">
              <w:rPr>
                <w:sz w:val="22"/>
              </w:rPr>
              <w:t xml:space="preserve"> social network</w:t>
            </w:r>
          </w:p>
        </w:tc>
        <w:tc>
          <w:tcPr>
            <w:tcW w:w="720" w:type="dxa"/>
            <w:tcBorders>
              <w:top w:val="single" w:sz="8" w:space="0" w:color="auto"/>
              <w:left w:val="single" w:sz="8" w:space="0" w:color="auto"/>
              <w:bottom w:val="single" w:sz="8" w:space="0" w:color="auto"/>
              <w:right w:val="single" w:sz="8" w:space="0" w:color="auto"/>
            </w:tcBorders>
          </w:tcPr>
          <w:p w:rsidR="007152E9" w:rsidRPr="00B6757B" w:rsidRDefault="007152E9" w:rsidP="003665AD">
            <w:pPr>
              <w:ind w:left="360" w:hanging="360"/>
              <w:jc w:val="center"/>
              <w:cnfStyle w:val="000000000000" w:firstRow="0" w:lastRow="0" w:firstColumn="0" w:lastColumn="0" w:oddVBand="0" w:evenVBand="0" w:oddHBand="0" w:evenHBand="0" w:firstRowFirstColumn="0" w:firstRowLastColumn="0" w:lastRowFirstColumn="0" w:lastRowLastColumn="0"/>
              <w:rPr>
                <w:sz w:val="22"/>
              </w:rPr>
            </w:pPr>
            <w:r w:rsidRPr="00B6757B">
              <w:rPr>
                <w:sz w:val="22"/>
              </w:rPr>
              <w:t>Yes</w:t>
            </w:r>
          </w:p>
        </w:tc>
        <w:tc>
          <w:tcPr>
            <w:tcW w:w="5213" w:type="dxa"/>
            <w:tcBorders>
              <w:top w:val="single" w:sz="8" w:space="0" w:color="auto"/>
              <w:left w:val="single" w:sz="8" w:space="0" w:color="auto"/>
              <w:bottom w:val="single" w:sz="8" w:space="0" w:color="auto"/>
            </w:tcBorders>
          </w:tcPr>
          <w:p w:rsidR="007152E9" w:rsidRPr="00B6757B" w:rsidRDefault="007152E9" w:rsidP="008D3779">
            <w:pPr>
              <w:ind w:left="360" w:hanging="360"/>
              <w:cnfStyle w:val="000000000000" w:firstRow="0" w:lastRow="0" w:firstColumn="0" w:lastColumn="0" w:oddVBand="0" w:evenVBand="0" w:oddHBand="0" w:evenHBand="0" w:firstRowFirstColumn="0" w:firstRowLastColumn="0" w:lastRowFirstColumn="0" w:lastRowLastColumn="0"/>
              <w:rPr>
                <w:sz w:val="22"/>
              </w:rPr>
            </w:pPr>
            <w:r w:rsidRPr="00B6757B">
              <w:rPr>
                <w:sz w:val="22"/>
              </w:rPr>
              <w:t>Recognizes the need to align process with Avon’s distinctive core competencies and the reali</w:t>
            </w:r>
            <w:r w:rsidR="008D3779" w:rsidRPr="00B6757B">
              <w:rPr>
                <w:sz w:val="22"/>
              </w:rPr>
              <w:t>s</w:t>
            </w:r>
            <w:r w:rsidRPr="00B6757B">
              <w:rPr>
                <w:sz w:val="22"/>
              </w:rPr>
              <w:t>t</w:t>
            </w:r>
            <w:r w:rsidR="008D3779" w:rsidRPr="00B6757B">
              <w:rPr>
                <w:sz w:val="22"/>
              </w:rPr>
              <w:t xml:space="preserve">ic reach of </w:t>
            </w:r>
            <w:r w:rsidRPr="00B6757B">
              <w:rPr>
                <w:sz w:val="22"/>
              </w:rPr>
              <w:t xml:space="preserve">a </w:t>
            </w:r>
            <w:r w:rsidR="008D3779" w:rsidRPr="00B6757B">
              <w:rPr>
                <w:sz w:val="22"/>
              </w:rPr>
              <w:t xml:space="preserve">quality </w:t>
            </w:r>
            <w:r w:rsidRPr="00B6757B">
              <w:rPr>
                <w:sz w:val="22"/>
              </w:rPr>
              <w:t xml:space="preserve">sales team </w:t>
            </w:r>
          </w:p>
        </w:tc>
      </w:tr>
      <w:tr w:rsidR="007152E9" w:rsidTr="00931D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tcBorders>
              <w:top w:val="single" w:sz="8" w:space="0" w:color="auto"/>
              <w:bottom w:val="single" w:sz="8" w:space="0" w:color="auto"/>
            </w:tcBorders>
          </w:tcPr>
          <w:p w:rsidR="007152E9" w:rsidRPr="009C18BE" w:rsidRDefault="007152E9" w:rsidP="003665AD">
            <w:pPr>
              <w:rPr>
                <w:b/>
                <w:i/>
                <w:sz w:val="22"/>
              </w:rPr>
            </w:pPr>
            <w:r w:rsidRPr="009C18BE">
              <w:rPr>
                <w:b/>
                <w:i/>
                <w:sz w:val="22"/>
              </w:rPr>
              <w:t>Process</w:t>
            </w:r>
          </w:p>
        </w:tc>
        <w:tc>
          <w:tcPr>
            <w:tcW w:w="2250" w:type="dxa"/>
            <w:tcBorders>
              <w:top w:val="single" w:sz="8" w:space="0" w:color="auto"/>
              <w:bottom w:val="single" w:sz="8" w:space="0" w:color="auto"/>
              <w:right w:val="single" w:sz="8" w:space="0" w:color="auto"/>
            </w:tcBorders>
            <w:shd w:val="clear" w:color="auto" w:fill="D2EAF1"/>
          </w:tcPr>
          <w:p w:rsidR="007152E9" w:rsidRPr="00B6757B" w:rsidRDefault="007152E9" w:rsidP="003665AD">
            <w:pPr>
              <w:ind w:left="360" w:hanging="360"/>
              <w:cnfStyle w:val="000000100000" w:firstRow="0" w:lastRow="0" w:firstColumn="0" w:lastColumn="0" w:oddVBand="0" w:evenVBand="0" w:oddHBand="1" w:evenHBand="0" w:firstRowFirstColumn="0" w:firstRowLastColumn="0" w:lastRowFirstColumn="0" w:lastRowLastColumn="0"/>
              <w:rPr>
                <w:sz w:val="22"/>
              </w:rPr>
            </w:pPr>
            <w:r w:rsidRPr="00B6757B">
              <w:rPr>
                <w:sz w:val="22"/>
              </w:rPr>
              <w:t>Revitalized sales force</w:t>
            </w:r>
          </w:p>
        </w:tc>
        <w:tc>
          <w:tcPr>
            <w:tcW w:w="720" w:type="dxa"/>
            <w:tcBorders>
              <w:top w:val="single" w:sz="8" w:space="0" w:color="auto"/>
              <w:left w:val="single" w:sz="8" w:space="0" w:color="auto"/>
              <w:bottom w:val="single" w:sz="8" w:space="0" w:color="auto"/>
              <w:right w:val="single" w:sz="8" w:space="0" w:color="auto"/>
            </w:tcBorders>
            <w:shd w:val="clear" w:color="auto" w:fill="D2EAF1"/>
          </w:tcPr>
          <w:p w:rsidR="007152E9" w:rsidRPr="00B6757B" w:rsidRDefault="008D3779" w:rsidP="003665AD">
            <w:pPr>
              <w:ind w:left="360" w:hanging="360"/>
              <w:jc w:val="center"/>
              <w:cnfStyle w:val="000000100000" w:firstRow="0" w:lastRow="0" w:firstColumn="0" w:lastColumn="0" w:oddVBand="0" w:evenVBand="0" w:oddHBand="1" w:evenHBand="0" w:firstRowFirstColumn="0" w:firstRowLastColumn="0" w:lastRowFirstColumn="0" w:lastRowLastColumn="0"/>
              <w:rPr>
                <w:sz w:val="22"/>
              </w:rPr>
            </w:pPr>
            <w:r w:rsidRPr="00B6757B">
              <w:rPr>
                <w:sz w:val="22"/>
              </w:rPr>
              <w:t>Yes</w:t>
            </w:r>
          </w:p>
        </w:tc>
        <w:tc>
          <w:tcPr>
            <w:tcW w:w="5213" w:type="dxa"/>
            <w:tcBorders>
              <w:top w:val="single" w:sz="8" w:space="0" w:color="auto"/>
              <w:left w:val="single" w:sz="8" w:space="0" w:color="auto"/>
              <w:bottom w:val="single" w:sz="8" w:space="0" w:color="auto"/>
            </w:tcBorders>
            <w:shd w:val="clear" w:color="auto" w:fill="D2EAF1"/>
          </w:tcPr>
          <w:p w:rsidR="007152E9" w:rsidRPr="00B6757B" w:rsidRDefault="008D3779" w:rsidP="00931DEC">
            <w:pPr>
              <w:ind w:left="360" w:hanging="360"/>
              <w:cnfStyle w:val="000000100000" w:firstRow="0" w:lastRow="0" w:firstColumn="0" w:lastColumn="0" w:oddVBand="0" w:evenVBand="0" w:oddHBand="1" w:evenHBand="0" w:firstRowFirstColumn="0" w:firstRowLastColumn="0" w:lastRowFirstColumn="0" w:lastRowLastColumn="0"/>
              <w:rPr>
                <w:sz w:val="22"/>
              </w:rPr>
            </w:pPr>
            <w:r w:rsidRPr="00B6757B">
              <w:rPr>
                <w:sz w:val="22"/>
              </w:rPr>
              <w:t>Recommits to the push marketing strategy tied with Avon’s brand and past success – draws upon a competitive advantage built on entrepreneurship and personal marketing</w:t>
            </w:r>
          </w:p>
        </w:tc>
      </w:tr>
      <w:tr w:rsidR="007152E9" w:rsidTr="00931DEC">
        <w:tc>
          <w:tcPr>
            <w:cnfStyle w:val="001000000000" w:firstRow="0" w:lastRow="0" w:firstColumn="1" w:lastColumn="0" w:oddVBand="0" w:evenVBand="0" w:oddHBand="0" w:evenHBand="0" w:firstRowFirstColumn="0" w:firstRowLastColumn="0" w:lastRowFirstColumn="0" w:lastRowLastColumn="0"/>
            <w:tcW w:w="1620" w:type="dxa"/>
            <w:tcBorders>
              <w:top w:val="single" w:sz="8" w:space="0" w:color="auto"/>
            </w:tcBorders>
          </w:tcPr>
          <w:p w:rsidR="007152E9" w:rsidRPr="009C18BE" w:rsidRDefault="007152E9" w:rsidP="003665AD">
            <w:pPr>
              <w:rPr>
                <w:b/>
                <w:i/>
                <w:sz w:val="22"/>
              </w:rPr>
            </w:pPr>
            <w:r w:rsidRPr="009C18BE">
              <w:rPr>
                <w:b/>
                <w:i/>
                <w:sz w:val="22"/>
              </w:rPr>
              <w:t>Capabilities</w:t>
            </w:r>
            <w:r w:rsidR="00B6757B">
              <w:rPr>
                <w:b/>
                <w:i/>
                <w:sz w:val="22"/>
              </w:rPr>
              <w:t>/ Investments</w:t>
            </w:r>
          </w:p>
        </w:tc>
        <w:tc>
          <w:tcPr>
            <w:tcW w:w="2250" w:type="dxa"/>
            <w:tcBorders>
              <w:top w:val="single" w:sz="8" w:space="0" w:color="auto"/>
              <w:bottom w:val="single" w:sz="8" w:space="0" w:color="auto"/>
              <w:right w:val="single" w:sz="8" w:space="0" w:color="auto"/>
            </w:tcBorders>
          </w:tcPr>
          <w:p w:rsidR="007152E9" w:rsidRPr="00B6757B" w:rsidRDefault="007152E9" w:rsidP="003665AD">
            <w:pPr>
              <w:ind w:left="360" w:hanging="360"/>
              <w:cnfStyle w:val="000000000000" w:firstRow="0" w:lastRow="0" w:firstColumn="0" w:lastColumn="0" w:oddVBand="0" w:evenVBand="0" w:oddHBand="0" w:evenHBand="0" w:firstRowFirstColumn="0" w:firstRowLastColumn="0" w:lastRowFirstColumn="0" w:lastRowLastColumn="0"/>
              <w:rPr>
                <w:sz w:val="22"/>
              </w:rPr>
            </w:pPr>
            <w:r w:rsidRPr="00B6757B">
              <w:rPr>
                <w:sz w:val="22"/>
              </w:rPr>
              <w:t>S</w:t>
            </w:r>
            <w:r w:rsidR="00B6757B">
              <w:rPr>
                <w:sz w:val="22"/>
              </w:rPr>
              <w:t>treamlined operations and product offerings</w:t>
            </w:r>
          </w:p>
          <w:p w:rsidR="007152E9" w:rsidRPr="00B6757B" w:rsidRDefault="007152E9" w:rsidP="003665AD">
            <w:pPr>
              <w:ind w:left="360" w:hanging="360"/>
              <w:cnfStyle w:val="000000000000" w:firstRow="0" w:lastRow="0" w:firstColumn="0" w:lastColumn="0" w:oddVBand="0" w:evenVBand="0" w:oddHBand="0" w:evenHBand="0" w:firstRowFirstColumn="0" w:firstRowLastColumn="0" w:lastRowFirstColumn="0" w:lastRowLastColumn="0"/>
              <w:rPr>
                <w:sz w:val="22"/>
              </w:rPr>
            </w:pPr>
          </w:p>
        </w:tc>
        <w:tc>
          <w:tcPr>
            <w:tcW w:w="720" w:type="dxa"/>
            <w:tcBorders>
              <w:top w:val="single" w:sz="8" w:space="0" w:color="auto"/>
              <w:left w:val="single" w:sz="8" w:space="0" w:color="auto"/>
              <w:bottom w:val="single" w:sz="8" w:space="0" w:color="auto"/>
              <w:right w:val="single" w:sz="8" w:space="0" w:color="auto"/>
            </w:tcBorders>
          </w:tcPr>
          <w:p w:rsidR="007152E9" w:rsidRPr="00B6757B" w:rsidRDefault="007152E9" w:rsidP="003665AD">
            <w:pPr>
              <w:ind w:left="360" w:hanging="360"/>
              <w:jc w:val="center"/>
              <w:cnfStyle w:val="000000000000" w:firstRow="0" w:lastRow="0" w:firstColumn="0" w:lastColumn="0" w:oddVBand="0" w:evenVBand="0" w:oddHBand="0" w:evenHBand="0" w:firstRowFirstColumn="0" w:firstRowLastColumn="0" w:lastRowFirstColumn="0" w:lastRowLastColumn="0"/>
              <w:rPr>
                <w:sz w:val="22"/>
              </w:rPr>
            </w:pPr>
            <w:r w:rsidRPr="00B6757B">
              <w:rPr>
                <w:sz w:val="22"/>
              </w:rPr>
              <w:t>Yes</w:t>
            </w:r>
          </w:p>
        </w:tc>
        <w:tc>
          <w:tcPr>
            <w:tcW w:w="5213" w:type="dxa"/>
            <w:tcBorders>
              <w:top w:val="single" w:sz="8" w:space="0" w:color="auto"/>
              <w:left w:val="single" w:sz="8" w:space="0" w:color="auto"/>
              <w:bottom w:val="single" w:sz="8" w:space="0" w:color="auto"/>
            </w:tcBorders>
          </w:tcPr>
          <w:p w:rsidR="007152E9" w:rsidRPr="00B6757B" w:rsidRDefault="008D3779" w:rsidP="00B6757B">
            <w:pPr>
              <w:ind w:left="360" w:hanging="360"/>
              <w:cnfStyle w:val="000000000000" w:firstRow="0" w:lastRow="0" w:firstColumn="0" w:lastColumn="0" w:oddVBand="0" w:evenVBand="0" w:oddHBand="0" w:evenHBand="0" w:firstRowFirstColumn="0" w:firstRowLastColumn="0" w:lastRowFirstColumn="0" w:lastRowLastColumn="0"/>
              <w:rPr>
                <w:sz w:val="22"/>
              </w:rPr>
            </w:pPr>
            <w:r w:rsidRPr="00B6757B">
              <w:rPr>
                <w:sz w:val="22"/>
              </w:rPr>
              <w:t xml:space="preserve">Addresses issues associated with </w:t>
            </w:r>
            <w:r w:rsidR="00B6757B">
              <w:rPr>
                <w:sz w:val="22"/>
              </w:rPr>
              <w:t>confusing</w:t>
            </w:r>
            <w:r w:rsidRPr="00B6757B">
              <w:rPr>
                <w:sz w:val="22"/>
              </w:rPr>
              <w:t xml:space="preserve"> product line and frequent product introductions – support, product knowledge, </w:t>
            </w:r>
            <w:r w:rsidR="00F46CF2" w:rsidRPr="00B6757B">
              <w:rPr>
                <w:sz w:val="22"/>
              </w:rPr>
              <w:t xml:space="preserve">service, confidence, </w:t>
            </w:r>
            <w:r w:rsidR="003B38D3" w:rsidRPr="00B6757B">
              <w:rPr>
                <w:sz w:val="22"/>
              </w:rPr>
              <w:t>motivation</w:t>
            </w:r>
            <w:r w:rsidR="00F46CF2" w:rsidRPr="00B6757B">
              <w:rPr>
                <w:sz w:val="22"/>
              </w:rPr>
              <w:t>, customer loyalty</w:t>
            </w:r>
          </w:p>
        </w:tc>
      </w:tr>
      <w:tr w:rsidR="007152E9" w:rsidTr="00931D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tcPr>
          <w:p w:rsidR="007152E9" w:rsidRPr="009C18BE" w:rsidRDefault="007152E9" w:rsidP="003665AD">
            <w:pPr>
              <w:rPr>
                <w:b/>
                <w:i/>
                <w:sz w:val="22"/>
              </w:rPr>
            </w:pPr>
          </w:p>
        </w:tc>
        <w:tc>
          <w:tcPr>
            <w:tcW w:w="2250" w:type="dxa"/>
            <w:tcBorders>
              <w:top w:val="single" w:sz="8" w:space="0" w:color="auto"/>
              <w:bottom w:val="single" w:sz="8" w:space="0" w:color="auto"/>
              <w:right w:val="single" w:sz="8" w:space="0" w:color="auto"/>
            </w:tcBorders>
            <w:shd w:val="clear" w:color="auto" w:fill="D2EAF1"/>
          </w:tcPr>
          <w:p w:rsidR="007152E9" w:rsidRPr="00B6757B" w:rsidRDefault="007152E9" w:rsidP="003665AD">
            <w:pPr>
              <w:ind w:left="360" w:hanging="360"/>
              <w:cnfStyle w:val="000000100000" w:firstRow="0" w:lastRow="0" w:firstColumn="0" w:lastColumn="0" w:oddVBand="0" w:evenVBand="0" w:oddHBand="1" w:evenHBand="0" w:firstRowFirstColumn="0" w:firstRowLastColumn="0" w:lastRowFirstColumn="0" w:lastRowLastColumn="0"/>
              <w:rPr>
                <w:sz w:val="22"/>
              </w:rPr>
            </w:pPr>
            <w:r w:rsidRPr="00B6757B">
              <w:rPr>
                <w:sz w:val="22"/>
              </w:rPr>
              <w:t>Efficiency</w:t>
            </w:r>
          </w:p>
        </w:tc>
        <w:tc>
          <w:tcPr>
            <w:tcW w:w="720" w:type="dxa"/>
            <w:tcBorders>
              <w:top w:val="single" w:sz="8" w:space="0" w:color="auto"/>
              <w:left w:val="single" w:sz="8" w:space="0" w:color="auto"/>
              <w:bottom w:val="single" w:sz="8" w:space="0" w:color="auto"/>
              <w:right w:val="single" w:sz="8" w:space="0" w:color="auto"/>
            </w:tcBorders>
            <w:shd w:val="clear" w:color="auto" w:fill="D2EAF1"/>
          </w:tcPr>
          <w:p w:rsidR="007152E9" w:rsidRPr="00B6757B" w:rsidRDefault="007152E9" w:rsidP="003665AD">
            <w:pPr>
              <w:ind w:left="360" w:hanging="360"/>
              <w:jc w:val="center"/>
              <w:cnfStyle w:val="000000100000" w:firstRow="0" w:lastRow="0" w:firstColumn="0" w:lastColumn="0" w:oddVBand="0" w:evenVBand="0" w:oddHBand="1" w:evenHBand="0" w:firstRowFirstColumn="0" w:firstRowLastColumn="0" w:lastRowFirstColumn="0" w:lastRowLastColumn="0"/>
              <w:rPr>
                <w:sz w:val="22"/>
              </w:rPr>
            </w:pPr>
            <w:r w:rsidRPr="00B6757B">
              <w:rPr>
                <w:sz w:val="22"/>
              </w:rPr>
              <w:t>Yes</w:t>
            </w:r>
          </w:p>
        </w:tc>
        <w:tc>
          <w:tcPr>
            <w:tcW w:w="5213" w:type="dxa"/>
            <w:tcBorders>
              <w:top w:val="single" w:sz="8" w:space="0" w:color="auto"/>
              <w:left w:val="single" w:sz="8" w:space="0" w:color="auto"/>
              <w:bottom w:val="single" w:sz="8" w:space="0" w:color="auto"/>
            </w:tcBorders>
            <w:shd w:val="clear" w:color="auto" w:fill="D2EAF1"/>
          </w:tcPr>
          <w:p w:rsidR="007152E9" w:rsidRPr="00B6757B" w:rsidRDefault="003B38D3" w:rsidP="003665AD">
            <w:pPr>
              <w:ind w:left="360" w:hanging="360"/>
              <w:cnfStyle w:val="000000100000" w:firstRow="0" w:lastRow="0" w:firstColumn="0" w:lastColumn="0" w:oddVBand="0" w:evenVBand="0" w:oddHBand="1" w:evenHBand="0" w:firstRowFirstColumn="0" w:firstRowLastColumn="0" w:lastRowFirstColumn="0" w:lastRowLastColumn="0"/>
              <w:rPr>
                <w:sz w:val="22"/>
              </w:rPr>
            </w:pPr>
            <w:r w:rsidRPr="00B6757B">
              <w:rPr>
                <w:sz w:val="22"/>
              </w:rPr>
              <w:t>Continues to focus on need to achieve operational economies that enable value product-price offerings</w:t>
            </w:r>
            <w:r w:rsidR="00B6757B">
              <w:rPr>
                <w:sz w:val="22"/>
              </w:rPr>
              <w:t xml:space="preserve"> to compete with mainstream products</w:t>
            </w:r>
          </w:p>
        </w:tc>
      </w:tr>
      <w:tr w:rsidR="007152E9" w:rsidTr="00931DEC">
        <w:tc>
          <w:tcPr>
            <w:cnfStyle w:val="001000000000" w:firstRow="0" w:lastRow="0" w:firstColumn="1" w:lastColumn="0" w:oddVBand="0" w:evenVBand="0" w:oddHBand="0" w:evenHBand="0" w:firstRowFirstColumn="0" w:firstRowLastColumn="0" w:lastRowFirstColumn="0" w:lastRowLastColumn="0"/>
            <w:tcW w:w="1620" w:type="dxa"/>
            <w:tcBorders>
              <w:top w:val="nil"/>
              <w:bottom w:val="single" w:sz="8" w:space="0" w:color="auto"/>
            </w:tcBorders>
          </w:tcPr>
          <w:p w:rsidR="007152E9" w:rsidRPr="009C18BE" w:rsidRDefault="007152E9" w:rsidP="003665AD">
            <w:pPr>
              <w:rPr>
                <w:b/>
                <w:i/>
                <w:sz w:val="22"/>
              </w:rPr>
            </w:pPr>
          </w:p>
        </w:tc>
        <w:tc>
          <w:tcPr>
            <w:tcW w:w="2250" w:type="dxa"/>
            <w:tcBorders>
              <w:top w:val="single" w:sz="8" w:space="0" w:color="auto"/>
              <w:bottom w:val="single" w:sz="8" w:space="0" w:color="auto"/>
              <w:right w:val="single" w:sz="8" w:space="0" w:color="auto"/>
            </w:tcBorders>
          </w:tcPr>
          <w:p w:rsidR="007152E9" w:rsidRPr="00B6757B" w:rsidRDefault="007152E9" w:rsidP="003665AD">
            <w:pPr>
              <w:ind w:left="360" w:hanging="360"/>
              <w:cnfStyle w:val="000000000000" w:firstRow="0" w:lastRow="0" w:firstColumn="0" w:lastColumn="0" w:oddVBand="0" w:evenVBand="0" w:oddHBand="0" w:evenHBand="0" w:firstRowFirstColumn="0" w:firstRowLastColumn="0" w:lastRowFirstColumn="0" w:lastRowLastColumn="0"/>
              <w:rPr>
                <w:sz w:val="22"/>
              </w:rPr>
            </w:pPr>
            <w:r w:rsidRPr="00B6757B">
              <w:rPr>
                <w:sz w:val="22"/>
              </w:rPr>
              <w:t>Updated information systems</w:t>
            </w:r>
          </w:p>
          <w:p w:rsidR="007152E9" w:rsidRPr="00B6757B" w:rsidRDefault="007152E9" w:rsidP="003665AD">
            <w:pPr>
              <w:ind w:left="360" w:hanging="360"/>
              <w:cnfStyle w:val="000000000000" w:firstRow="0" w:lastRow="0" w:firstColumn="0" w:lastColumn="0" w:oddVBand="0" w:evenVBand="0" w:oddHBand="0" w:evenHBand="0" w:firstRowFirstColumn="0" w:firstRowLastColumn="0" w:lastRowFirstColumn="0" w:lastRowLastColumn="0"/>
              <w:rPr>
                <w:sz w:val="22"/>
              </w:rPr>
            </w:pPr>
            <w:r w:rsidRPr="00B6757B">
              <w:rPr>
                <w:sz w:val="22"/>
              </w:rPr>
              <w:t>Digital and social media selling tools</w:t>
            </w:r>
          </w:p>
        </w:tc>
        <w:tc>
          <w:tcPr>
            <w:tcW w:w="720" w:type="dxa"/>
            <w:tcBorders>
              <w:top w:val="single" w:sz="8" w:space="0" w:color="auto"/>
              <w:left w:val="single" w:sz="8" w:space="0" w:color="auto"/>
              <w:bottom w:val="single" w:sz="8" w:space="0" w:color="auto"/>
              <w:right w:val="single" w:sz="8" w:space="0" w:color="auto"/>
            </w:tcBorders>
          </w:tcPr>
          <w:p w:rsidR="007152E9" w:rsidRPr="00B6757B" w:rsidRDefault="007152E9" w:rsidP="003665AD">
            <w:pPr>
              <w:ind w:left="360" w:hanging="360"/>
              <w:jc w:val="center"/>
              <w:cnfStyle w:val="000000000000" w:firstRow="0" w:lastRow="0" w:firstColumn="0" w:lastColumn="0" w:oddVBand="0" w:evenVBand="0" w:oddHBand="0" w:evenHBand="0" w:firstRowFirstColumn="0" w:firstRowLastColumn="0" w:lastRowFirstColumn="0" w:lastRowLastColumn="0"/>
              <w:rPr>
                <w:sz w:val="22"/>
              </w:rPr>
            </w:pPr>
            <w:r w:rsidRPr="00B6757B">
              <w:rPr>
                <w:sz w:val="22"/>
              </w:rPr>
              <w:t>Yes</w:t>
            </w:r>
          </w:p>
        </w:tc>
        <w:tc>
          <w:tcPr>
            <w:tcW w:w="5213" w:type="dxa"/>
            <w:tcBorders>
              <w:top w:val="single" w:sz="8" w:space="0" w:color="auto"/>
              <w:left w:val="single" w:sz="8" w:space="0" w:color="auto"/>
              <w:bottom w:val="single" w:sz="8" w:space="0" w:color="auto"/>
            </w:tcBorders>
          </w:tcPr>
          <w:p w:rsidR="007152E9" w:rsidRDefault="003B38D3" w:rsidP="003B38D3">
            <w:pPr>
              <w:ind w:left="360" w:hanging="360"/>
              <w:cnfStyle w:val="000000000000" w:firstRow="0" w:lastRow="0" w:firstColumn="0" w:lastColumn="0" w:oddVBand="0" w:evenVBand="0" w:oddHBand="0" w:evenHBand="0" w:firstRowFirstColumn="0" w:firstRowLastColumn="0" w:lastRowFirstColumn="0" w:lastRowLastColumn="0"/>
              <w:rPr>
                <w:sz w:val="22"/>
              </w:rPr>
            </w:pPr>
            <w:r w:rsidRPr="00B6757B">
              <w:rPr>
                <w:sz w:val="22"/>
              </w:rPr>
              <w:t>Identifies an investment area that, when combined with Avon’s unique relationship marketing strengths, has enormous potential</w:t>
            </w:r>
            <w:r w:rsidR="007152E9" w:rsidRPr="00B6757B">
              <w:rPr>
                <w:sz w:val="22"/>
              </w:rPr>
              <w:t xml:space="preserve"> </w:t>
            </w:r>
            <w:r w:rsidRPr="00B6757B">
              <w:rPr>
                <w:sz w:val="22"/>
              </w:rPr>
              <w:t>to improve the performance and reach of sales representatives</w:t>
            </w:r>
          </w:p>
          <w:p w:rsidR="00B6757B" w:rsidRPr="00B6757B" w:rsidRDefault="00B6757B" w:rsidP="003B38D3">
            <w:pPr>
              <w:ind w:left="360" w:hanging="360"/>
              <w:cnfStyle w:val="000000000000" w:firstRow="0" w:lastRow="0" w:firstColumn="0" w:lastColumn="0" w:oddVBand="0" w:evenVBand="0" w:oddHBand="0" w:evenHBand="0" w:firstRowFirstColumn="0" w:firstRowLastColumn="0" w:lastRowFirstColumn="0" w:lastRowLastColumn="0"/>
              <w:rPr>
                <w:sz w:val="22"/>
              </w:rPr>
            </w:pPr>
            <w:r>
              <w:rPr>
                <w:sz w:val="22"/>
              </w:rPr>
              <w:t xml:space="preserve">Provides representatives with contemporary selling tools that will broaden their reach, and shows commitment to restoring representative opportunities and relationships </w:t>
            </w:r>
          </w:p>
        </w:tc>
      </w:tr>
      <w:tr w:rsidR="007152E9" w:rsidTr="00931DE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20" w:type="dxa"/>
            <w:tcBorders>
              <w:top w:val="single" w:sz="8" w:space="0" w:color="auto"/>
              <w:bottom w:val="single" w:sz="8" w:space="0" w:color="auto"/>
            </w:tcBorders>
          </w:tcPr>
          <w:p w:rsidR="007152E9" w:rsidRPr="009C18BE" w:rsidRDefault="007152E9" w:rsidP="003665AD">
            <w:pPr>
              <w:rPr>
                <w:b/>
                <w:i/>
                <w:sz w:val="22"/>
              </w:rPr>
            </w:pPr>
            <w:r w:rsidRPr="009C18BE">
              <w:rPr>
                <w:b/>
                <w:i/>
                <w:sz w:val="22"/>
              </w:rPr>
              <w:t>Competitive Position</w:t>
            </w:r>
          </w:p>
        </w:tc>
        <w:tc>
          <w:tcPr>
            <w:tcW w:w="2250" w:type="dxa"/>
            <w:tcBorders>
              <w:top w:val="single" w:sz="8" w:space="0" w:color="auto"/>
              <w:bottom w:val="single" w:sz="8" w:space="0" w:color="auto"/>
              <w:right w:val="single" w:sz="8" w:space="0" w:color="auto"/>
            </w:tcBorders>
          </w:tcPr>
          <w:p w:rsidR="007152E9" w:rsidRPr="00B6757B" w:rsidRDefault="007152E9" w:rsidP="003665AD">
            <w:pPr>
              <w:ind w:left="360" w:hanging="360"/>
              <w:cnfStyle w:val="000000100000" w:firstRow="0" w:lastRow="0" w:firstColumn="0" w:lastColumn="0" w:oddVBand="0" w:evenVBand="0" w:oddHBand="1" w:evenHBand="0" w:firstRowFirstColumn="0" w:firstRowLastColumn="0" w:lastRowFirstColumn="0" w:lastRowLastColumn="0"/>
              <w:rPr>
                <w:sz w:val="22"/>
              </w:rPr>
            </w:pPr>
            <w:r w:rsidRPr="00B6757B">
              <w:rPr>
                <w:sz w:val="22"/>
              </w:rPr>
              <w:t xml:space="preserve">Against direct seller competitors (i.e. Mary Kay, Arbonne) </w:t>
            </w:r>
          </w:p>
        </w:tc>
        <w:tc>
          <w:tcPr>
            <w:tcW w:w="720" w:type="dxa"/>
            <w:tcBorders>
              <w:top w:val="single" w:sz="8" w:space="0" w:color="auto"/>
              <w:left w:val="single" w:sz="8" w:space="0" w:color="auto"/>
              <w:bottom w:val="single" w:sz="8" w:space="0" w:color="auto"/>
              <w:right w:val="single" w:sz="8" w:space="0" w:color="auto"/>
            </w:tcBorders>
          </w:tcPr>
          <w:p w:rsidR="007152E9" w:rsidRPr="00B6757B" w:rsidRDefault="003B38D3" w:rsidP="003665AD">
            <w:pPr>
              <w:ind w:left="360" w:hanging="360"/>
              <w:jc w:val="center"/>
              <w:cnfStyle w:val="000000100000" w:firstRow="0" w:lastRow="0" w:firstColumn="0" w:lastColumn="0" w:oddVBand="0" w:evenVBand="0" w:oddHBand="1" w:evenHBand="0" w:firstRowFirstColumn="0" w:firstRowLastColumn="0" w:lastRowFirstColumn="0" w:lastRowLastColumn="0"/>
              <w:rPr>
                <w:sz w:val="22"/>
              </w:rPr>
            </w:pPr>
            <w:r w:rsidRPr="00B6757B">
              <w:rPr>
                <w:sz w:val="22"/>
              </w:rPr>
              <w:t>Yes</w:t>
            </w:r>
          </w:p>
        </w:tc>
        <w:tc>
          <w:tcPr>
            <w:tcW w:w="5213" w:type="dxa"/>
            <w:tcBorders>
              <w:top w:val="single" w:sz="8" w:space="0" w:color="auto"/>
              <w:left w:val="single" w:sz="8" w:space="0" w:color="auto"/>
              <w:bottom w:val="single" w:sz="8" w:space="0" w:color="auto"/>
            </w:tcBorders>
          </w:tcPr>
          <w:p w:rsidR="007152E9" w:rsidRPr="00B6757B" w:rsidRDefault="003B38D3" w:rsidP="003B38D3">
            <w:pPr>
              <w:ind w:left="360" w:hanging="360"/>
              <w:cnfStyle w:val="000000100000" w:firstRow="0" w:lastRow="0" w:firstColumn="0" w:lastColumn="0" w:oddVBand="0" w:evenVBand="0" w:oddHBand="1" w:evenHBand="0" w:firstRowFirstColumn="0" w:firstRowLastColumn="0" w:lastRowFirstColumn="0" w:lastRowLastColumn="0"/>
              <w:rPr>
                <w:sz w:val="22"/>
              </w:rPr>
            </w:pPr>
            <w:r w:rsidRPr="00B6757B">
              <w:rPr>
                <w:sz w:val="22"/>
              </w:rPr>
              <w:t>Removes Avon from an impossible</w:t>
            </w:r>
            <w:r w:rsidR="007152E9" w:rsidRPr="00B6757B">
              <w:rPr>
                <w:sz w:val="22"/>
              </w:rPr>
              <w:t xml:space="preserve"> market position where </w:t>
            </w:r>
            <w:r w:rsidRPr="00B6757B">
              <w:rPr>
                <w:sz w:val="22"/>
              </w:rPr>
              <w:t xml:space="preserve">it is </w:t>
            </w:r>
            <w:r w:rsidR="007152E9" w:rsidRPr="00B6757B">
              <w:rPr>
                <w:sz w:val="22"/>
              </w:rPr>
              <w:t>disadvantage</w:t>
            </w:r>
            <w:r w:rsidRPr="00B6757B">
              <w:rPr>
                <w:sz w:val="22"/>
              </w:rPr>
              <w:t>d</w:t>
            </w:r>
            <w:r w:rsidR="007152E9" w:rsidRPr="00B6757B">
              <w:rPr>
                <w:sz w:val="22"/>
              </w:rPr>
              <w:t xml:space="preserve"> against large rivals with enormous scope and extensive organizational resources</w:t>
            </w:r>
          </w:p>
          <w:p w:rsidR="003B38D3" w:rsidRPr="00B6757B" w:rsidRDefault="003B38D3" w:rsidP="003B38D3">
            <w:pPr>
              <w:ind w:left="360" w:hanging="360"/>
              <w:cnfStyle w:val="000000100000" w:firstRow="0" w:lastRow="0" w:firstColumn="0" w:lastColumn="0" w:oddVBand="0" w:evenVBand="0" w:oddHBand="1" w:evenHBand="0" w:firstRowFirstColumn="0" w:firstRowLastColumn="0" w:lastRowFirstColumn="0" w:lastRowLastColumn="0"/>
              <w:rPr>
                <w:sz w:val="22"/>
              </w:rPr>
            </w:pPr>
            <w:r w:rsidRPr="00B6757B">
              <w:rPr>
                <w:sz w:val="22"/>
              </w:rPr>
              <w:t>Returns the company to a market position where it has advantages and greater potential for success</w:t>
            </w:r>
          </w:p>
        </w:tc>
      </w:tr>
      <w:tr w:rsidR="007152E9" w:rsidTr="00931DEC">
        <w:tc>
          <w:tcPr>
            <w:cnfStyle w:val="001000000000" w:firstRow="0" w:lastRow="0" w:firstColumn="1" w:lastColumn="0" w:oddVBand="0" w:evenVBand="0" w:oddHBand="0" w:evenHBand="0" w:firstRowFirstColumn="0" w:firstRowLastColumn="0" w:lastRowFirstColumn="0" w:lastRowLastColumn="0"/>
            <w:tcW w:w="1620" w:type="dxa"/>
            <w:tcBorders>
              <w:top w:val="single" w:sz="8" w:space="0" w:color="auto"/>
            </w:tcBorders>
          </w:tcPr>
          <w:p w:rsidR="007152E9" w:rsidRPr="009C18BE" w:rsidRDefault="007152E9" w:rsidP="003665AD">
            <w:pPr>
              <w:rPr>
                <w:b/>
                <w:i/>
                <w:sz w:val="22"/>
              </w:rPr>
            </w:pPr>
            <w:r w:rsidRPr="009C18BE">
              <w:rPr>
                <w:b/>
                <w:i/>
                <w:sz w:val="22"/>
              </w:rPr>
              <w:t xml:space="preserve">International </w:t>
            </w:r>
          </w:p>
        </w:tc>
        <w:tc>
          <w:tcPr>
            <w:tcW w:w="2250" w:type="dxa"/>
            <w:tcBorders>
              <w:top w:val="single" w:sz="8" w:space="0" w:color="auto"/>
              <w:bottom w:val="single" w:sz="8" w:space="0" w:color="4BACC6" w:themeColor="accent5"/>
              <w:right w:val="single" w:sz="8" w:space="0" w:color="auto"/>
            </w:tcBorders>
          </w:tcPr>
          <w:p w:rsidR="007152E9" w:rsidRPr="00B6757B" w:rsidRDefault="007152E9" w:rsidP="003665AD">
            <w:pPr>
              <w:ind w:left="360" w:hanging="360"/>
              <w:cnfStyle w:val="000000000000" w:firstRow="0" w:lastRow="0" w:firstColumn="0" w:lastColumn="0" w:oddVBand="0" w:evenVBand="0" w:oddHBand="0" w:evenHBand="0" w:firstRowFirstColumn="0" w:firstRowLastColumn="0" w:lastRowFirstColumn="0" w:lastRowLastColumn="0"/>
              <w:rPr>
                <w:sz w:val="22"/>
              </w:rPr>
            </w:pPr>
            <w:r w:rsidRPr="00B6757B">
              <w:rPr>
                <w:sz w:val="22"/>
              </w:rPr>
              <w:t>Restructure with focus on priority markets</w:t>
            </w:r>
          </w:p>
          <w:p w:rsidR="003B38D3" w:rsidRPr="00B6757B" w:rsidRDefault="003B38D3" w:rsidP="003665AD">
            <w:pPr>
              <w:ind w:left="360" w:hanging="360"/>
              <w:cnfStyle w:val="000000000000" w:firstRow="0" w:lastRow="0" w:firstColumn="0" w:lastColumn="0" w:oddVBand="0" w:evenVBand="0" w:oddHBand="0" w:evenHBand="0" w:firstRowFirstColumn="0" w:firstRowLastColumn="0" w:lastRowFirstColumn="0" w:lastRowLastColumn="0"/>
              <w:rPr>
                <w:sz w:val="22"/>
              </w:rPr>
            </w:pPr>
          </w:p>
        </w:tc>
        <w:tc>
          <w:tcPr>
            <w:tcW w:w="720" w:type="dxa"/>
            <w:tcBorders>
              <w:top w:val="single" w:sz="8" w:space="0" w:color="auto"/>
              <w:left w:val="single" w:sz="8" w:space="0" w:color="auto"/>
              <w:bottom w:val="single" w:sz="8" w:space="0" w:color="4BACC6" w:themeColor="accent5"/>
              <w:right w:val="single" w:sz="8" w:space="0" w:color="auto"/>
            </w:tcBorders>
          </w:tcPr>
          <w:p w:rsidR="007152E9" w:rsidRPr="00B6757B" w:rsidRDefault="007152E9" w:rsidP="003665AD">
            <w:pPr>
              <w:jc w:val="center"/>
              <w:cnfStyle w:val="000000000000" w:firstRow="0" w:lastRow="0" w:firstColumn="0" w:lastColumn="0" w:oddVBand="0" w:evenVBand="0" w:oddHBand="0" w:evenHBand="0" w:firstRowFirstColumn="0" w:firstRowLastColumn="0" w:lastRowFirstColumn="0" w:lastRowLastColumn="0"/>
              <w:rPr>
                <w:sz w:val="22"/>
              </w:rPr>
            </w:pPr>
            <w:r w:rsidRPr="00B6757B">
              <w:rPr>
                <w:sz w:val="22"/>
              </w:rPr>
              <w:t>Yes, but…</w:t>
            </w:r>
          </w:p>
        </w:tc>
        <w:tc>
          <w:tcPr>
            <w:tcW w:w="5213" w:type="dxa"/>
            <w:tcBorders>
              <w:top w:val="single" w:sz="8" w:space="0" w:color="auto"/>
              <w:left w:val="single" w:sz="8" w:space="0" w:color="auto"/>
              <w:bottom w:val="single" w:sz="8" w:space="0" w:color="4BACC6" w:themeColor="accent5"/>
            </w:tcBorders>
          </w:tcPr>
          <w:p w:rsidR="0037225D" w:rsidRPr="00B6757B" w:rsidRDefault="00F46CF2" w:rsidP="00F46CF2">
            <w:pPr>
              <w:ind w:left="360" w:hanging="360"/>
              <w:cnfStyle w:val="000000000000" w:firstRow="0" w:lastRow="0" w:firstColumn="0" w:lastColumn="0" w:oddVBand="0" w:evenVBand="0" w:oddHBand="0" w:evenHBand="0" w:firstRowFirstColumn="0" w:firstRowLastColumn="0" w:lastRowFirstColumn="0" w:lastRowLastColumn="0"/>
              <w:rPr>
                <w:sz w:val="22"/>
              </w:rPr>
            </w:pPr>
            <w:r w:rsidRPr="00B6757B">
              <w:rPr>
                <w:sz w:val="22"/>
              </w:rPr>
              <w:t>Improve</w:t>
            </w:r>
            <w:r w:rsidR="003B38D3" w:rsidRPr="00B6757B">
              <w:rPr>
                <w:sz w:val="22"/>
              </w:rPr>
              <w:t xml:space="preserve">s the </w:t>
            </w:r>
            <w:r w:rsidRPr="00B6757B">
              <w:rPr>
                <w:sz w:val="22"/>
              </w:rPr>
              <w:t xml:space="preserve">ability to stop declining profits in </w:t>
            </w:r>
            <w:r w:rsidR="003B38D3" w:rsidRPr="00B6757B">
              <w:rPr>
                <w:sz w:val="22"/>
              </w:rPr>
              <w:t>priority</w:t>
            </w:r>
            <w:r w:rsidR="007152E9" w:rsidRPr="00B6757B">
              <w:rPr>
                <w:sz w:val="22"/>
              </w:rPr>
              <w:t xml:space="preserve"> markets</w:t>
            </w:r>
            <w:r w:rsidRPr="00B6757B">
              <w:rPr>
                <w:sz w:val="22"/>
              </w:rPr>
              <w:t>;</w:t>
            </w:r>
            <w:r w:rsidR="007152E9" w:rsidRPr="00B6757B">
              <w:rPr>
                <w:sz w:val="22"/>
              </w:rPr>
              <w:t xml:space="preserve"> but </w:t>
            </w:r>
            <w:r w:rsidRPr="00B6757B">
              <w:rPr>
                <w:sz w:val="22"/>
              </w:rPr>
              <w:t>Avon’s international business is an area of strength</w:t>
            </w:r>
            <w:r w:rsidR="00B6757B">
              <w:rPr>
                <w:sz w:val="22"/>
              </w:rPr>
              <w:t xml:space="preserve"> with immense growth and profit potential</w:t>
            </w:r>
            <w:r w:rsidRPr="00B6757B">
              <w:rPr>
                <w:sz w:val="22"/>
              </w:rPr>
              <w:t xml:space="preserve">, and withdrawal must be done with caution  </w:t>
            </w:r>
          </w:p>
          <w:p w:rsidR="007152E9" w:rsidRPr="00B6757B" w:rsidRDefault="0037225D" w:rsidP="0037225D">
            <w:pPr>
              <w:ind w:left="360" w:hanging="360"/>
              <w:cnfStyle w:val="000000000000" w:firstRow="0" w:lastRow="0" w:firstColumn="0" w:lastColumn="0" w:oddVBand="0" w:evenVBand="0" w:oddHBand="0" w:evenHBand="0" w:firstRowFirstColumn="0" w:firstRowLastColumn="0" w:lastRowFirstColumn="0" w:lastRowLastColumn="0"/>
              <w:rPr>
                <w:sz w:val="22"/>
              </w:rPr>
            </w:pPr>
            <w:r w:rsidRPr="00B6757B">
              <w:rPr>
                <w:sz w:val="22"/>
              </w:rPr>
              <w:t xml:space="preserve">Does not increase attention on or influence of local cultures and trends </w:t>
            </w:r>
          </w:p>
        </w:tc>
      </w:tr>
    </w:tbl>
    <w:p w:rsidR="00FB1C9C" w:rsidRDefault="00FB1C9C" w:rsidP="00FB1C9C"/>
    <w:p w:rsidR="007C20E0" w:rsidRDefault="007C20E0" w:rsidP="007C20E0">
      <w:r>
        <w:tab/>
        <w:t xml:space="preserve">McCoy’s strategy appears to be very promising for Avon. It corrects the missteps of the former strategy, returning the company’s emphasis to </w:t>
      </w:r>
      <w:r w:rsidR="000A4DD3">
        <w:t xml:space="preserve">the intangible advantages provided by </w:t>
      </w:r>
      <w:r w:rsidR="003B2F6B">
        <w:t>it</w:t>
      </w:r>
      <w:r w:rsidR="000A4DD3">
        <w:t>s</w:t>
      </w:r>
      <w:r>
        <w:t xml:space="preserve"> direct sales </w:t>
      </w:r>
      <w:r w:rsidR="00931DEC">
        <w:t>approach</w:t>
      </w:r>
      <w:r>
        <w:t xml:space="preserve">. Competitors cannot replicate 125 years of </w:t>
      </w:r>
      <w:r w:rsidR="003B2F6B">
        <w:t>personal</w:t>
      </w:r>
      <w:r>
        <w:t xml:space="preserve"> selling experience</w:t>
      </w:r>
      <w:r w:rsidR="0004467C">
        <w:t>;</w:t>
      </w:r>
      <w:r>
        <w:t xml:space="preserve"> and by integrating exciting new social networking and technology </w:t>
      </w:r>
      <w:r>
        <w:lastRenderedPageBreak/>
        <w:t xml:space="preserve">tools, the power of its representatives can be dramatically impacted. </w:t>
      </w:r>
      <w:r w:rsidR="0004467C">
        <w:t>Some suggestions to enhance McCoy’s strategic plans include:</w:t>
      </w:r>
    </w:p>
    <w:p w:rsidR="0004467C" w:rsidRDefault="0004467C" w:rsidP="007C20E0"/>
    <w:p w:rsidR="003B2F6B" w:rsidRDefault="003B2F6B" w:rsidP="0004467C">
      <w:pPr>
        <w:pStyle w:val="ListParagraph"/>
        <w:numPr>
          <w:ilvl w:val="0"/>
          <w:numId w:val="35"/>
        </w:numPr>
      </w:pPr>
      <w:r>
        <w:t>Use an upgraded image to attract quality representatives who are professional, upbeat, friendly, helpful, and qualified to satisfy, individualize, and meet the needs of today’s women. The profile will be a demographic of women who are inspired to work hard and achieve success.</w:t>
      </w:r>
      <w:r w:rsidR="00C322CC">
        <w:t xml:space="preserve"> </w:t>
      </w:r>
      <w:r>
        <w:t xml:space="preserve">The network reach of the sales force should be the target market for which new products are developed. </w:t>
      </w:r>
    </w:p>
    <w:p w:rsidR="003B2F6B" w:rsidRDefault="003B2F6B" w:rsidP="00C322CC">
      <w:pPr>
        <w:pStyle w:val="ListParagraph"/>
        <w:numPr>
          <w:ilvl w:val="0"/>
          <w:numId w:val="35"/>
        </w:numPr>
        <w:spacing w:before="120"/>
        <w:contextualSpacing w:val="0"/>
      </w:pPr>
      <w:r>
        <w:t xml:space="preserve">Use the potential of technological network systems to </w:t>
      </w:r>
      <w:r w:rsidR="00E93082">
        <w:t xml:space="preserve">expand marketing reach, </w:t>
      </w:r>
      <w:r>
        <w:t>create superior earnings opportunities</w:t>
      </w:r>
      <w:r w:rsidR="00E93082">
        <w:t>,</w:t>
      </w:r>
      <w:r>
        <w:t xml:space="preserve"> and attract </w:t>
      </w:r>
      <w:r w:rsidR="00E93082">
        <w:t>top</w:t>
      </w:r>
      <w:r>
        <w:t xml:space="preserve"> quality representatives</w:t>
      </w:r>
      <w:r w:rsidR="00E93082">
        <w:t>.</w:t>
      </w:r>
      <w:r>
        <w:t xml:space="preserve"> </w:t>
      </w:r>
    </w:p>
    <w:p w:rsidR="00C10879" w:rsidRDefault="00E93082" w:rsidP="00C322CC">
      <w:pPr>
        <w:pStyle w:val="ListParagraph"/>
        <w:numPr>
          <w:ilvl w:val="0"/>
          <w:numId w:val="35"/>
        </w:numPr>
        <w:spacing w:before="120"/>
        <w:contextualSpacing w:val="0"/>
      </w:pPr>
      <w:r>
        <w:t xml:space="preserve">Devise specific action steps to </w:t>
      </w:r>
      <w:r w:rsidR="00C10879">
        <w:t xml:space="preserve">address falling income </w:t>
      </w:r>
      <w:r>
        <w:t xml:space="preserve">and </w:t>
      </w:r>
      <w:r>
        <w:t>increase competitiveness</w:t>
      </w:r>
      <w:r>
        <w:t xml:space="preserve"> </w:t>
      </w:r>
      <w:r w:rsidR="00C10879">
        <w:t>in North America</w:t>
      </w:r>
      <w:r>
        <w:t>. Avon’s domestic strategy should:</w:t>
      </w:r>
    </w:p>
    <w:p w:rsidR="00E93082" w:rsidRDefault="00C322CC" w:rsidP="00C322CC">
      <w:pPr>
        <w:pStyle w:val="ListParagraph"/>
        <w:numPr>
          <w:ilvl w:val="1"/>
          <w:numId w:val="35"/>
        </w:numPr>
        <w:spacing w:before="120"/>
        <w:contextualSpacing w:val="0"/>
      </w:pPr>
      <w:r>
        <w:t>R</w:t>
      </w:r>
      <w:r w:rsidR="00E93082">
        <w:t>emember what works</w:t>
      </w:r>
      <w:r>
        <w:t xml:space="preserve"> to make Avon unique</w:t>
      </w:r>
      <w:r w:rsidR="00E93082">
        <w:t xml:space="preserve">: samples, convenience, </w:t>
      </w:r>
      <w:r>
        <w:t xml:space="preserve">and </w:t>
      </w:r>
      <w:r w:rsidR="00E93082">
        <w:t>personal attention</w:t>
      </w:r>
      <w:r>
        <w:t xml:space="preserve">. This is </w:t>
      </w:r>
      <w:r w:rsidR="00E93082">
        <w:t>critical compet</w:t>
      </w:r>
      <w:r>
        <w:t>itively</w:t>
      </w:r>
      <w:r w:rsidR="00E93082">
        <w:t xml:space="preserve"> because online and retail channels can achieve lower costs (therefore prices) but cannot deliver on these service qualities</w:t>
      </w:r>
      <w:r>
        <w:t xml:space="preserve">. </w:t>
      </w:r>
      <w:r w:rsidR="00E93082">
        <w:t xml:space="preserve"> </w:t>
      </w:r>
    </w:p>
    <w:p w:rsidR="00E93082" w:rsidRDefault="00C322CC" w:rsidP="00C322CC">
      <w:pPr>
        <w:pStyle w:val="ListParagraph"/>
        <w:numPr>
          <w:ilvl w:val="1"/>
          <w:numId w:val="35"/>
        </w:numPr>
        <w:spacing w:before="120"/>
        <w:contextualSpacing w:val="0"/>
      </w:pPr>
      <w:r>
        <w:t>I</w:t>
      </w:r>
      <w:r w:rsidR="00E93082">
        <w:t xml:space="preserve">mprove competitiveness against </w:t>
      </w:r>
      <w:r>
        <w:t xml:space="preserve">Mary Kay (with its </w:t>
      </w:r>
      <w:r w:rsidR="00E93082">
        <w:t xml:space="preserve">similar business model and </w:t>
      </w:r>
      <w:r>
        <w:t xml:space="preserve">equal </w:t>
      </w:r>
      <w:r w:rsidR="00E93082">
        <w:t>focus on empowering women</w:t>
      </w:r>
      <w:r>
        <w:t xml:space="preserve">). The major domestic rival </w:t>
      </w:r>
      <w:r w:rsidR="00E93082">
        <w:t>now has four times Avon’s number of domestic representatives.</w:t>
      </w:r>
      <w:r w:rsidR="00E93082" w:rsidRPr="00E93082">
        <w:t xml:space="preserve"> </w:t>
      </w:r>
    </w:p>
    <w:p w:rsidR="00C80976" w:rsidRDefault="00C322CC" w:rsidP="00C322CC">
      <w:pPr>
        <w:pStyle w:val="ListParagraph"/>
        <w:numPr>
          <w:ilvl w:val="1"/>
          <w:numId w:val="35"/>
        </w:numPr>
        <w:spacing w:before="120"/>
        <w:contextualSpacing w:val="0"/>
      </w:pPr>
      <w:r>
        <w:t>S</w:t>
      </w:r>
      <w:r w:rsidR="00E93082">
        <w:t xml:space="preserve">ustain focus on new technology and product innovation to deliver first-to-market products with visible consumer benefits </w:t>
      </w:r>
      <w:r w:rsidR="000A3DC0">
        <w:t xml:space="preserve">(anti-aging, healthy ingredients, etc.) </w:t>
      </w:r>
      <w:r w:rsidR="00E93082">
        <w:t>and price</w:t>
      </w:r>
      <w:r w:rsidR="00E93082">
        <w:t>d to attract mass appeal</w:t>
      </w:r>
      <w:r>
        <w:t>.</w:t>
      </w:r>
      <w:r w:rsidR="00E93082">
        <w:t xml:space="preserve"> </w:t>
      </w:r>
      <w:r w:rsidR="000A3DC0">
        <w:t>New products should be beneficial to the defined target market and be quality products that would otherwise not be attainable by the average household. They should be p</w:t>
      </w:r>
      <w:r w:rsidR="00C80976">
        <w:t>roducts th</w:t>
      </w:r>
      <w:r w:rsidR="000A3DC0">
        <w:t>at Avon’s sales representatives</w:t>
      </w:r>
      <w:r w:rsidR="00C80976">
        <w:t xml:space="preserve"> can believe in and know</w:t>
      </w:r>
      <w:r w:rsidR="000A3DC0">
        <w:t xml:space="preserve"> well.</w:t>
      </w:r>
    </w:p>
    <w:p w:rsidR="00E93082" w:rsidRDefault="00E93082" w:rsidP="00C322CC">
      <w:pPr>
        <w:pStyle w:val="ListParagraph"/>
        <w:numPr>
          <w:ilvl w:val="1"/>
          <w:numId w:val="35"/>
        </w:numPr>
        <w:spacing w:before="120"/>
        <w:contextualSpacing w:val="0"/>
      </w:pPr>
      <w:r>
        <w:t xml:space="preserve">Improve relationships with </w:t>
      </w:r>
      <w:r w:rsidR="000A3DC0">
        <w:t xml:space="preserve">sales </w:t>
      </w:r>
      <w:r>
        <w:t>representatives</w:t>
      </w:r>
      <w:r w:rsidR="00017D4B">
        <w:t>; t</w:t>
      </w:r>
      <w:r w:rsidR="00017D4B">
        <w:t xml:space="preserve">heir satisfaction ultimately impacts customer relationships. </w:t>
      </w:r>
      <w:r w:rsidR="00017D4B">
        <w:t>Actively a</w:t>
      </w:r>
      <w:r>
        <w:t xml:space="preserve">ddress their grievances. </w:t>
      </w:r>
      <w:r w:rsidR="000A3DC0">
        <w:t>H</w:t>
      </w:r>
      <w:r w:rsidR="000A3DC0">
        <w:t>elp them extend their reach with new tools</w:t>
      </w:r>
      <w:r w:rsidR="000A3DC0">
        <w:t>. C</w:t>
      </w:r>
      <w:r w:rsidR="000A3DC0">
        <w:t xml:space="preserve">onsider </w:t>
      </w:r>
      <w:r w:rsidR="000A3DC0">
        <w:t xml:space="preserve">policies that </w:t>
      </w:r>
      <w:r w:rsidR="00931DEC">
        <w:t>better reward</w:t>
      </w:r>
      <w:r w:rsidR="000A3DC0">
        <w:t xml:space="preserve"> the achievements of strong performers. O</w:t>
      </w:r>
      <w:r w:rsidR="000A3DC0" w:rsidRPr="00C80976">
        <w:t>ther revenue</w:t>
      </w:r>
      <w:r w:rsidR="000A3DC0">
        <w:t xml:space="preserve">, valued at </w:t>
      </w:r>
      <w:r w:rsidR="000A3DC0">
        <w:t>1.6% of sales</w:t>
      </w:r>
      <w:r w:rsidR="000A3DC0">
        <w:t xml:space="preserve"> </w:t>
      </w:r>
      <w:r w:rsidR="00017D4B">
        <w:t>on the</w:t>
      </w:r>
      <w:r w:rsidR="000A3DC0">
        <w:t xml:space="preserve"> income statement</w:t>
      </w:r>
      <w:r w:rsidR="00017D4B">
        <w:t xml:space="preserve">, shows a </w:t>
      </w:r>
      <w:r w:rsidR="000A3DC0">
        <w:t xml:space="preserve">category </w:t>
      </w:r>
      <w:r w:rsidR="00017D4B">
        <w:t xml:space="preserve">of income that </w:t>
      </w:r>
      <w:r w:rsidR="000A3DC0" w:rsidRPr="00C80976">
        <w:t xml:space="preserve">primarily </w:t>
      </w:r>
      <w:r w:rsidR="00017D4B">
        <w:t>consist</w:t>
      </w:r>
      <w:r w:rsidR="000A3DC0" w:rsidRPr="00C80976">
        <w:t xml:space="preserve">s </w:t>
      </w:r>
      <w:r w:rsidR="00017D4B">
        <w:t xml:space="preserve">of </w:t>
      </w:r>
      <w:r w:rsidR="000A3DC0" w:rsidRPr="00C80976">
        <w:t xml:space="preserve">shipping and handling and order processing fees </w:t>
      </w:r>
      <w:r w:rsidR="00017D4B">
        <w:t xml:space="preserve">that are </w:t>
      </w:r>
      <w:r w:rsidR="000A3DC0" w:rsidRPr="00C80976">
        <w:t xml:space="preserve">billed to </w:t>
      </w:r>
      <w:r w:rsidR="00017D4B">
        <w:t>r</w:t>
      </w:r>
      <w:r w:rsidR="000A3DC0" w:rsidRPr="00C80976">
        <w:t>epresentatives.</w:t>
      </w:r>
      <w:r w:rsidR="00017D4B">
        <w:t xml:space="preserve"> While its impact on profits is minor, it represents $171 million that can be used to incentivize sales representatives.</w:t>
      </w:r>
    </w:p>
    <w:p w:rsidR="000A4DD3" w:rsidRDefault="00E93082" w:rsidP="00C322CC">
      <w:pPr>
        <w:pStyle w:val="ListParagraph"/>
        <w:numPr>
          <w:ilvl w:val="0"/>
          <w:numId w:val="35"/>
        </w:numPr>
        <w:spacing w:before="120"/>
        <w:contextualSpacing w:val="0"/>
      </w:pPr>
      <w:r>
        <w:t>Despite the need to reverse downward trend</w:t>
      </w:r>
      <w:r w:rsidR="00931DEC">
        <w:t>s</w:t>
      </w:r>
      <w:r>
        <w:t xml:space="preserve"> in the U.S., b</w:t>
      </w:r>
      <w:r w:rsidR="000A4DD3">
        <w:t xml:space="preserve">e careful not to design a strategy more suitable to the U.S. market than to international </w:t>
      </w:r>
      <w:r w:rsidR="00931DEC">
        <w:t xml:space="preserve">consumers </w:t>
      </w:r>
      <w:r w:rsidR="000A4DD3">
        <w:t>who generate 83% of Avon sales</w:t>
      </w:r>
      <w:r>
        <w:t>.</w:t>
      </w:r>
    </w:p>
    <w:p w:rsidR="000A4DD3" w:rsidRDefault="003A6E4D" w:rsidP="00C322CC">
      <w:pPr>
        <w:pStyle w:val="ListParagraph"/>
        <w:numPr>
          <w:ilvl w:val="0"/>
          <w:numId w:val="35"/>
        </w:numPr>
        <w:spacing w:before="120"/>
        <w:contextualSpacing w:val="0"/>
      </w:pPr>
      <w:r>
        <w:t xml:space="preserve">Initiate efforts to </w:t>
      </w:r>
      <w:r>
        <w:t xml:space="preserve">increase local responsiveness </w:t>
      </w:r>
      <w:r>
        <w:t>in i</w:t>
      </w:r>
      <w:r w:rsidR="008A469C">
        <w:t xml:space="preserve">nternational </w:t>
      </w:r>
      <w:r>
        <w:t xml:space="preserve">markets. Over the long-term, Avon’s </w:t>
      </w:r>
      <w:r w:rsidR="008A469C">
        <w:t xml:space="preserve">global strategy will be </w:t>
      </w:r>
      <w:r>
        <w:t xml:space="preserve">ineffective against </w:t>
      </w:r>
      <w:r w:rsidR="008A469C">
        <w:t>increasing competition and changing market-specific needs</w:t>
      </w:r>
      <w:r>
        <w:t>.</w:t>
      </w:r>
    </w:p>
    <w:p w:rsidR="002A0E99" w:rsidRDefault="003A6E4D" w:rsidP="00C322CC">
      <w:pPr>
        <w:pStyle w:val="ListParagraph"/>
        <w:numPr>
          <w:ilvl w:val="0"/>
          <w:numId w:val="36"/>
        </w:numPr>
        <w:spacing w:before="120"/>
        <w:contextualSpacing w:val="0"/>
      </w:pPr>
      <w:r>
        <w:t xml:space="preserve">Pay close attention to the direction of </w:t>
      </w:r>
      <w:r w:rsidR="002A0E99">
        <w:t>Perez-Ayala</w:t>
      </w:r>
      <w:r>
        <w:t>. She</w:t>
      </w:r>
      <w:r w:rsidR="002A0E99">
        <w:t xml:space="preserve"> has significant responsibilities as Senior Vice President and Chief Marketing Officer. In these </w:t>
      </w:r>
      <w:r w:rsidR="002A0E99">
        <w:lastRenderedPageBreak/>
        <w:t>roles, she is accountable for managing consumer insights and analytics, commercial and digital marketing, product category strategy and execution, research and development outside of the U.S., and the integration of the Liz Earle product line.</w:t>
      </w:r>
    </w:p>
    <w:p w:rsidR="003E7796" w:rsidRDefault="003E7796" w:rsidP="00FB1C9C"/>
    <w:p w:rsidR="003E7796" w:rsidRDefault="003A6E4D" w:rsidP="00FB1C9C">
      <w:r>
        <w:tab/>
        <w:t xml:space="preserve">Ultimately, </w:t>
      </w:r>
      <w:r w:rsidR="00E93082">
        <w:t xml:space="preserve">McCoy’s </w:t>
      </w:r>
      <w:r w:rsidR="000A4DD3">
        <w:t>task comes down to modernizing direct selling</w:t>
      </w:r>
      <w:r>
        <w:t>. T</w:t>
      </w:r>
      <w:r w:rsidR="000A4DD3">
        <w:t xml:space="preserve">hrough technology, Avon </w:t>
      </w:r>
      <w:r>
        <w:t xml:space="preserve">is in a strong position to </w:t>
      </w:r>
      <w:r w:rsidR="000A4DD3">
        <w:t xml:space="preserve">be able to discover exciting new ways to rejuvenate and enhance its valuable selling model. </w:t>
      </w:r>
    </w:p>
    <w:p w:rsidR="003E7796" w:rsidRDefault="003E7796" w:rsidP="00FB1C9C"/>
    <w:p w:rsidR="00FB1C9C" w:rsidRPr="00FB1C9C" w:rsidRDefault="00E93082" w:rsidP="00FB1C9C">
      <w:pPr>
        <w:numPr>
          <w:ilvl w:val="0"/>
          <w:numId w:val="7"/>
        </w:numPr>
        <w:rPr>
          <w:b/>
          <w:i/>
        </w:rPr>
      </w:pPr>
      <w:r>
        <w:rPr>
          <w:b/>
          <w:i/>
        </w:rPr>
        <w:t>Discuss Avon’s decision to retain Jung as the chair</w:t>
      </w:r>
      <w:r w:rsidR="00FB1C9C" w:rsidRPr="00FB1C9C">
        <w:rPr>
          <w:b/>
          <w:i/>
        </w:rPr>
        <w:t>man of the board</w:t>
      </w:r>
      <w:r>
        <w:rPr>
          <w:b/>
          <w:i/>
        </w:rPr>
        <w:t>. Do you believe this is a good decision? What is the potential downside of keeping the former CEO in th</w:t>
      </w:r>
      <w:r w:rsidR="00080DC9">
        <w:rPr>
          <w:b/>
          <w:i/>
        </w:rPr>
        <w:t>is</w:t>
      </w:r>
      <w:r>
        <w:rPr>
          <w:b/>
          <w:i/>
        </w:rPr>
        <w:t xml:space="preserve"> leadership role?</w:t>
      </w:r>
    </w:p>
    <w:p w:rsidR="00FB1C9C" w:rsidRDefault="00FB1C9C" w:rsidP="00FB1C9C"/>
    <w:p w:rsidR="00C80976" w:rsidRDefault="00C80976" w:rsidP="00FB1C9C">
      <w:r>
        <w:tab/>
        <w:t xml:space="preserve">Upon Sherilyn McCoy’s arrival at Avon in April, 2012 the company’s board of directors decided to </w:t>
      </w:r>
      <w:r w:rsidR="00C322CC">
        <w:t xml:space="preserve">retain </w:t>
      </w:r>
      <w:r>
        <w:t xml:space="preserve">former CEO Andrea Jung </w:t>
      </w:r>
      <w:r w:rsidR="00C322CC">
        <w:t>as the chairman of the board. Keeping Jung in this oversight position is intended to provide McCoy with</w:t>
      </w:r>
      <w:r>
        <w:t xml:space="preserve"> strategic leadership support. </w:t>
      </w:r>
    </w:p>
    <w:p w:rsidR="00C322CC" w:rsidRDefault="00C322CC" w:rsidP="00FB1C9C"/>
    <w:p w:rsidR="003A6E4D" w:rsidRDefault="003A6E4D" w:rsidP="003A6E4D">
      <w:r>
        <w:tab/>
      </w:r>
      <w:r w:rsidR="00C322CC">
        <w:t>Jung</w:t>
      </w:r>
      <w:r>
        <w:t>’s i</w:t>
      </w:r>
      <w:r>
        <w:t>ntelligence, experience, innovative</w:t>
      </w:r>
      <w:r>
        <w:t>ness</w:t>
      </w:r>
      <w:r w:rsidR="00931DEC">
        <w:t>,</w:t>
      </w:r>
      <w:r>
        <w:t xml:space="preserve"> and evident willingness to support her successor are all</w:t>
      </w:r>
      <w:r>
        <w:t xml:space="preserve"> qualities t</w:t>
      </w:r>
      <w:r>
        <w:t xml:space="preserve">hat can be </w:t>
      </w:r>
      <w:r>
        <w:t>exploit</w:t>
      </w:r>
      <w:r>
        <w:t xml:space="preserve">ed as McCoy establishes herself at the helm of the company. </w:t>
      </w:r>
      <w:r w:rsidR="00C80976">
        <w:tab/>
        <w:t>McCoy has a track record of successfully achieving results and driving change across highly diverse operating units</w:t>
      </w:r>
      <w:r w:rsidR="002A0E99">
        <w:t xml:space="preserve"> with widely varied product lines, customers, distribution channels, and business models. Her ability to see beyond existing structures and systems, to draw from her experience, and to incorporate new ideas will be a valuable addition amongst the leadership ranks of the company. </w:t>
      </w:r>
      <w:r w:rsidR="008A1BCA">
        <w:t xml:space="preserve">And Jung should be able to help the </w:t>
      </w:r>
      <w:r>
        <w:t xml:space="preserve">new leader </w:t>
      </w:r>
      <w:r w:rsidR="008A1BCA">
        <w:t>adjust to Avon’s</w:t>
      </w:r>
      <w:r>
        <w:t xml:space="preserve"> direct selling business</w:t>
      </w:r>
      <w:r w:rsidR="008A1BCA">
        <w:t>, which is c</w:t>
      </w:r>
      <w:r>
        <w:t>ompetitive</w:t>
      </w:r>
      <w:r w:rsidR="008A1BCA">
        <w:t xml:space="preserve">ly different than the </w:t>
      </w:r>
      <w:r>
        <w:t>consumer distribution models</w:t>
      </w:r>
      <w:r w:rsidR="008A1BCA">
        <w:t xml:space="preserve"> of her past company.</w:t>
      </w:r>
    </w:p>
    <w:p w:rsidR="00FB1C9C" w:rsidRDefault="00FB1C9C" w:rsidP="00FB1C9C"/>
    <w:p w:rsidR="0026039C" w:rsidRDefault="008A1BCA" w:rsidP="0026039C">
      <w:r>
        <w:tab/>
      </w:r>
      <w:r>
        <w:t xml:space="preserve">Generally, </w:t>
      </w:r>
      <w:r>
        <w:t>s</w:t>
      </w:r>
      <w:r>
        <w:t xml:space="preserve">eparating </w:t>
      </w:r>
      <w:r w:rsidR="00931DEC">
        <w:t xml:space="preserve">the </w:t>
      </w:r>
      <w:r>
        <w:t>CEO and Chairman of the Board roles</w:t>
      </w:r>
      <w:r>
        <w:t xml:space="preserve"> is a good</w:t>
      </w:r>
      <w:r>
        <w:t xml:space="preserve"> move</w:t>
      </w:r>
      <w:r>
        <w:t xml:space="preserve">. </w:t>
      </w:r>
      <w:r w:rsidR="00931DEC">
        <w:t>CEO duality is commonly believed to interfere with a board’s ability to monitor top-level managers’ actions and decisions, particularly with respect to financial performance</w:t>
      </w:r>
      <w:r w:rsidRPr="008A1BCA">
        <w:t xml:space="preserve">. </w:t>
      </w:r>
      <w:r>
        <w:t>However, p</w:t>
      </w:r>
      <w:r w:rsidR="00C322CC">
        <w:t>otential problems</w:t>
      </w:r>
      <w:r>
        <w:t xml:space="preserve"> inherent in this leadership structure could arise if</w:t>
      </w:r>
      <w:r w:rsidR="00C322CC">
        <w:t xml:space="preserve"> </w:t>
      </w:r>
      <w:r>
        <w:t xml:space="preserve">Jung and McCoy </w:t>
      </w:r>
      <w:r>
        <w:t>are unable to</w:t>
      </w:r>
      <w:r>
        <w:t xml:space="preserve"> effectively collaborate</w:t>
      </w:r>
      <w:r>
        <w:t xml:space="preserve">. Jung could resist </w:t>
      </w:r>
      <w:r w:rsidR="00C322CC">
        <w:t>new direction or decisions t</w:t>
      </w:r>
      <w:r>
        <w:t>hat</w:t>
      </w:r>
      <w:r w:rsidR="00C322CC">
        <w:t xml:space="preserve"> reverse </w:t>
      </w:r>
      <w:r>
        <w:t xml:space="preserve">her previous strategic initiatives. </w:t>
      </w:r>
      <w:r>
        <w:t xml:space="preserve">Is she </w:t>
      </w:r>
      <w:r>
        <w:t xml:space="preserve">likely to properly </w:t>
      </w:r>
      <w:r>
        <w:t xml:space="preserve">address any lapses in </w:t>
      </w:r>
      <w:r>
        <w:t>p</w:t>
      </w:r>
      <w:r>
        <w:t>erformance and accountability</w:t>
      </w:r>
      <w:r>
        <w:t>?</w:t>
      </w:r>
      <w:r w:rsidR="0026039C" w:rsidRPr="0026039C">
        <w:t xml:space="preserve"> </w:t>
      </w:r>
      <w:r w:rsidR="0026039C">
        <w:t xml:space="preserve">Jung </w:t>
      </w:r>
      <w:r w:rsidR="0026039C">
        <w:t xml:space="preserve">is equipped to </w:t>
      </w:r>
      <w:r w:rsidR="0026039C">
        <w:t>provide resources</w:t>
      </w:r>
      <w:r w:rsidR="0026039C">
        <w:t xml:space="preserve"> to assist McCoy</w:t>
      </w:r>
      <w:r w:rsidR="0026039C">
        <w:t>, but how forceful will Jung be in her oversight?</w:t>
      </w:r>
      <w:r w:rsidR="0026039C">
        <w:t xml:space="preserve"> </w:t>
      </w:r>
      <w:r w:rsidR="0026039C">
        <w:t>Who will oversee Jung?</w:t>
      </w:r>
      <w:r w:rsidR="0026039C">
        <w:t xml:space="preserve"> </w:t>
      </w:r>
      <w:r w:rsidR="0026039C">
        <w:t xml:space="preserve">How will they strike a </w:t>
      </w:r>
      <w:r w:rsidR="0026039C">
        <w:t xml:space="preserve">successful leadership </w:t>
      </w:r>
      <w:r w:rsidR="0026039C">
        <w:t>balance</w:t>
      </w:r>
      <w:r w:rsidR="0026039C">
        <w:t>?</w:t>
      </w:r>
      <w:r w:rsidR="0026039C">
        <w:t xml:space="preserve"> </w:t>
      </w:r>
    </w:p>
    <w:p w:rsidR="008A1BCA" w:rsidRDefault="008A1BCA" w:rsidP="008A1BCA"/>
    <w:p w:rsidR="00FB1C9C" w:rsidRDefault="0026039C" w:rsidP="007F0663">
      <w:pPr>
        <w:rPr>
          <w:bCs/>
        </w:rPr>
      </w:pPr>
      <w:r>
        <w:tab/>
        <w:t>It is c</w:t>
      </w:r>
      <w:r w:rsidR="008A1BCA">
        <w:t xml:space="preserve">rucial </w:t>
      </w:r>
      <w:r>
        <w:t>for Avon</w:t>
      </w:r>
      <w:r w:rsidR="0089086E">
        <w:t>’s board</w:t>
      </w:r>
      <w:r>
        <w:t xml:space="preserve"> </w:t>
      </w:r>
      <w:r w:rsidR="008A1BCA">
        <w:t xml:space="preserve">to establish proper </w:t>
      </w:r>
      <w:r>
        <w:t xml:space="preserve">governance </w:t>
      </w:r>
      <w:r w:rsidR="008A1BCA">
        <w:t>mechanisms</w:t>
      </w:r>
      <w:r w:rsidR="0089086E">
        <w:t xml:space="preserve"> to address these concerns</w:t>
      </w:r>
      <w:r>
        <w:t>. The company has already tangled with ineffective internal controls, as the t</w:t>
      </w:r>
      <w:r w:rsidR="008A1BCA">
        <w:t xml:space="preserve">akeover bid by Coty </w:t>
      </w:r>
      <w:r>
        <w:t xml:space="preserve">revealed. In fact, ongoing investigation of </w:t>
      </w:r>
      <w:r w:rsidR="0089086E">
        <w:t xml:space="preserve">the board’s </w:t>
      </w:r>
      <w:r w:rsidR="00E819D1">
        <w:t xml:space="preserve">failure in fiduciary duty </w:t>
      </w:r>
      <w:r>
        <w:t xml:space="preserve">indicates that some change is in order. The board will need to </w:t>
      </w:r>
      <w:r w:rsidR="002E0CBF">
        <w:rPr>
          <w:bCs/>
        </w:rPr>
        <w:t xml:space="preserve">strengthen systems and evaluation processes </w:t>
      </w:r>
      <w:r>
        <w:rPr>
          <w:bCs/>
        </w:rPr>
        <w:t>to ensure that its oversight responsibilities are properly fulfilled and shareholder interests are protected.</w:t>
      </w:r>
    </w:p>
    <w:sectPr w:rsidR="00FB1C9C" w:rsidSect="005337E5">
      <w:headerReference w:type="default" r:id="rId9"/>
      <w:footerReference w:type="default" r:id="rId10"/>
      <w:pgSz w:w="12240" w:h="15840" w:code="1"/>
      <w:pgMar w:top="1440" w:right="1800" w:bottom="72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727E" w:rsidRDefault="000F727E">
      <w:r>
        <w:separator/>
      </w:r>
    </w:p>
  </w:endnote>
  <w:endnote w:type="continuationSeparator" w:id="0">
    <w:p w:rsidR="000F727E" w:rsidRDefault="000F7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DilleniaUPC">
    <w:panose1 w:val="02020603050405020304"/>
    <w:charset w:val="00"/>
    <w:family w:val="roman"/>
    <w:pitch w:val="variable"/>
    <w:sig w:usb0="81000027" w:usb1="00000002"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F6B" w:rsidRDefault="003B2F6B" w:rsidP="005337E5">
    <w:pPr>
      <w:pStyle w:val="Footer"/>
      <w:tabs>
        <w:tab w:val="clear" w:pos="4320"/>
        <w:tab w:val="clear" w:pos="8640"/>
        <w:tab w:val="left" w:pos="1680"/>
      </w:tabs>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C22FCA">
      <w:rPr>
        <w:rStyle w:val="PageNumber"/>
        <w:noProof/>
      </w:rPr>
      <w:t>1</w:t>
    </w:r>
    <w:r>
      <w:rPr>
        <w:rStyle w:val="PageNumber"/>
      </w:rPr>
      <w:fldChar w:fldCharType="end"/>
    </w:r>
  </w:p>
  <w:p w:rsidR="003B2F6B" w:rsidRPr="00A12B56" w:rsidRDefault="003B2F6B" w:rsidP="00A12B56">
    <w:pPr>
      <w:pStyle w:val="Header"/>
      <w:jc w:val="center"/>
      <w:rPr>
        <w:b/>
        <w:bCs/>
        <w:sz w:val="28"/>
        <w:szCs w:val="28"/>
      </w:rPr>
    </w:pPr>
    <w:r>
      <w:t>Avon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727E" w:rsidRDefault="000F727E">
      <w:r>
        <w:separator/>
      </w:r>
    </w:p>
  </w:footnote>
  <w:footnote w:type="continuationSeparator" w:id="0">
    <w:p w:rsidR="000F727E" w:rsidRDefault="000F72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598F" w:rsidRDefault="0016598F" w:rsidP="00EA0465">
    <w:pPr>
      <w:pStyle w:val="Header"/>
      <w:jc w:val="center"/>
      <w:rPr>
        <w:b/>
        <w:bCs/>
        <w:sz w:val="28"/>
        <w:szCs w:val="28"/>
      </w:rPr>
    </w:pPr>
  </w:p>
  <w:p w:rsidR="003B2F6B" w:rsidRDefault="003B2F6B" w:rsidP="00EA0465">
    <w:pPr>
      <w:pStyle w:val="Header"/>
      <w:jc w:val="center"/>
      <w:rPr>
        <w:b/>
        <w:bCs/>
        <w:sz w:val="28"/>
        <w:szCs w:val="28"/>
      </w:rPr>
    </w:pPr>
    <w:r>
      <w:rPr>
        <w:b/>
        <w:bCs/>
        <w:sz w:val="28"/>
        <w:szCs w:val="28"/>
      </w:rPr>
      <w:t>Avon</w:t>
    </w:r>
  </w:p>
  <w:p w:rsidR="003B2F6B" w:rsidRPr="00EA0465" w:rsidRDefault="003B2F6B" w:rsidP="00EA0465">
    <w:pPr>
      <w:pStyle w:val="Header"/>
      <w:jc w:val="center"/>
      <w:rPr>
        <w:b/>
        <w:bCs/>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B0E84"/>
    <w:multiLevelType w:val="hybridMultilevel"/>
    <w:tmpl w:val="32E87A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08E6B03"/>
    <w:multiLevelType w:val="hybridMultilevel"/>
    <w:tmpl w:val="201062F8"/>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0E90631"/>
    <w:multiLevelType w:val="hybridMultilevel"/>
    <w:tmpl w:val="6C6CC3E2"/>
    <w:lvl w:ilvl="0" w:tplc="DFDCA646">
      <w:start w:val="1"/>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13978E6"/>
    <w:multiLevelType w:val="hybridMultilevel"/>
    <w:tmpl w:val="E940F67A"/>
    <w:lvl w:ilvl="0" w:tplc="26A4E80C">
      <w:start w:val="1"/>
      <w:numFmt w:val="bullet"/>
      <w:lvlText w:val="»"/>
      <w:lvlJc w:val="left"/>
      <w:pPr>
        <w:ind w:left="720" w:hanging="360"/>
      </w:pPr>
      <w:rPr>
        <w:rFonts w:ascii="Times New Roman" w:hAnsi="Times New Roman" w:cs="Times New Roman" w:hint="default"/>
        <w:color w:val="auto"/>
        <w:sz w:val="24"/>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332FB6"/>
    <w:multiLevelType w:val="hybridMultilevel"/>
    <w:tmpl w:val="0AEA1286"/>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4931E0"/>
    <w:multiLevelType w:val="hybridMultilevel"/>
    <w:tmpl w:val="110EA464"/>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0D0352"/>
    <w:multiLevelType w:val="hybridMultilevel"/>
    <w:tmpl w:val="012EAC92"/>
    <w:lvl w:ilvl="0" w:tplc="860C20E4">
      <w:start w:val="1"/>
      <w:numFmt w:val="bullet"/>
      <w:lvlText w:val=""/>
      <w:lvlJc w:val="left"/>
      <w:pPr>
        <w:tabs>
          <w:tab w:val="num" w:pos="576"/>
        </w:tabs>
        <w:ind w:left="576" w:hanging="360"/>
      </w:pPr>
      <w:rPr>
        <w:rFonts w:ascii="Symbol" w:hAnsi="Symbol" w:hint="default"/>
        <w:color w:val="auto"/>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0910BE6"/>
    <w:multiLevelType w:val="hybridMultilevel"/>
    <w:tmpl w:val="6B0061B2"/>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79826DA"/>
    <w:multiLevelType w:val="hybridMultilevel"/>
    <w:tmpl w:val="01FEE4EC"/>
    <w:lvl w:ilvl="0" w:tplc="DFDCA646">
      <w:start w:val="1"/>
      <w:numFmt w:val="bullet"/>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8881ABC"/>
    <w:multiLevelType w:val="hybridMultilevel"/>
    <w:tmpl w:val="8D9650EE"/>
    <w:lvl w:ilvl="0" w:tplc="860C20E4">
      <w:start w:val="1"/>
      <w:numFmt w:val="bullet"/>
      <w:lvlText w:val=""/>
      <w:lvlJc w:val="left"/>
      <w:pPr>
        <w:tabs>
          <w:tab w:val="num" w:pos="576"/>
        </w:tabs>
        <w:ind w:left="576" w:hanging="360"/>
      </w:pPr>
      <w:rPr>
        <w:rFonts w:ascii="Symbol" w:hAnsi="Symbol" w:hint="default"/>
        <w:color w:val="auto"/>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9D05D59"/>
    <w:multiLevelType w:val="hybridMultilevel"/>
    <w:tmpl w:val="F7808CE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4F682D"/>
    <w:multiLevelType w:val="hybridMultilevel"/>
    <w:tmpl w:val="8CB81A1A"/>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B76250"/>
    <w:multiLevelType w:val="hybridMultilevel"/>
    <w:tmpl w:val="B68A6524"/>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63C4B53"/>
    <w:multiLevelType w:val="hybridMultilevel"/>
    <w:tmpl w:val="D58E6364"/>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69F4235"/>
    <w:multiLevelType w:val="hybridMultilevel"/>
    <w:tmpl w:val="7264D19A"/>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7B90407"/>
    <w:multiLevelType w:val="hybridMultilevel"/>
    <w:tmpl w:val="3D6A84E2"/>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811333D"/>
    <w:multiLevelType w:val="hybridMultilevel"/>
    <w:tmpl w:val="BCD4BBD0"/>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875217E"/>
    <w:multiLevelType w:val="hybridMultilevel"/>
    <w:tmpl w:val="12D0F556"/>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FA709D"/>
    <w:multiLevelType w:val="hybridMultilevel"/>
    <w:tmpl w:val="20244B88"/>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B014950"/>
    <w:multiLevelType w:val="hybridMultilevel"/>
    <w:tmpl w:val="6DB29F1E"/>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0F83646"/>
    <w:multiLevelType w:val="hybridMultilevel"/>
    <w:tmpl w:val="991A25AC"/>
    <w:lvl w:ilvl="0" w:tplc="860C20E4">
      <w:start w:val="1"/>
      <w:numFmt w:val="bullet"/>
      <w:lvlText w:val=""/>
      <w:lvlJc w:val="left"/>
      <w:pPr>
        <w:tabs>
          <w:tab w:val="num" w:pos="1080"/>
        </w:tabs>
        <w:ind w:left="1080" w:hanging="360"/>
      </w:pPr>
      <w:rPr>
        <w:rFonts w:ascii="Symbol" w:hAnsi="Symbol" w:hint="default"/>
        <w:color w:val="auto"/>
        <w:sz w:val="16"/>
      </w:rPr>
    </w:lvl>
    <w:lvl w:ilvl="1" w:tplc="04090003" w:tentative="1">
      <w:start w:val="1"/>
      <w:numFmt w:val="bullet"/>
      <w:lvlText w:val="o"/>
      <w:lvlJc w:val="left"/>
      <w:pPr>
        <w:tabs>
          <w:tab w:val="num" w:pos="1944"/>
        </w:tabs>
        <w:ind w:left="1944" w:hanging="360"/>
      </w:pPr>
      <w:rPr>
        <w:rFonts w:ascii="Courier New" w:hAnsi="Courier New" w:cs="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cs="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cs="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21">
    <w:nsid w:val="42EF0EB8"/>
    <w:multiLevelType w:val="hybridMultilevel"/>
    <w:tmpl w:val="C99C0544"/>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3BC42E1"/>
    <w:multiLevelType w:val="hybridMultilevel"/>
    <w:tmpl w:val="C7E29D90"/>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7833813"/>
    <w:multiLevelType w:val="hybridMultilevel"/>
    <w:tmpl w:val="DD1C02FC"/>
    <w:lvl w:ilvl="0" w:tplc="26A4E80C">
      <w:start w:val="1"/>
      <w:numFmt w:val="bullet"/>
      <w:lvlText w:val="»"/>
      <w:lvlJc w:val="left"/>
      <w:pPr>
        <w:ind w:left="720" w:hanging="360"/>
      </w:pPr>
      <w:rPr>
        <w:rFonts w:ascii="Times New Roman" w:hAnsi="Times New Roman" w:cs="Times New Roman" w:hint="default"/>
        <w:color w:val="auto"/>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7FB2B28"/>
    <w:multiLevelType w:val="hybridMultilevel"/>
    <w:tmpl w:val="4B36C3B4"/>
    <w:lvl w:ilvl="0" w:tplc="860C20E4">
      <w:start w:val="1"/>
      <w:numFmt w:val="bullet"/>
      <w:lvlText w:val=""/>
      <w:lvlJc w:val="left"/>
      <w:pPr>
        <w:tabs>
          <w:tab w:val="num" w:pos="1080"/>
        </w:tabs>
        <w:ind w:left="1080" w:hanging="360"/>
      </w:pPr>
      <w:rPr>
        <w:rFonts w:ascii="Symbol" w:hAnsi="Symbol" w:hint="default"/>
        <w:color w:val="auto"/>
        <w:sz w:val="16"/>
      </w:rPr>
    </w:lvl>
    <w:lvl w:ilvl="1" w:tplc="D91249B2">
      <w:start w:val="1"/>
      <w:numFmt w:val="bullet"/>
      <w:lvlText w:val="-"/>
      <w:lvlJc w:val="left"/>
      <w:pPr>
        <w:tabs>
          <w:tab w:val="num" w:pos="720"/>
        </w:tabs>
        <w:ind w:left="720" w:hanging="360"/>
      </w:pPr>
      <w:rPr>
        <w:rFonts w:ascii="Times New Roman" w:eastAsia="SimSun" w:hAnsi="Times New Roman" w:cs="Times New Roman" w:hint="default"/>
        <w:b/>
      </w:r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2160"/>
        </w:tabs>
        <w:ind w:left="2160" w:hanging="360"/>
      </w:pPr>
    </w:lvl>
    <w:lvl w:ilvl="4" w:tplc="04090019">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5">
    <w:nsid w:val="48CF6046"/>
    <w:multiLevelType w:val="hybridMultilevel"/>
    <w:tmpl w:val="45DA454C"/>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92F57C2"/>
    <w:multiLevelType w:val="hybridMultilevel"/>
    <w:tmpl w:val="85C68792"/>
    <w:lvl w:ilvl="0" w:tplc="860C20E4">
      <w:start w:val="1"/>
      <w:numFmt w:val="bullet"/>
      <w:lvlText w:val=""/>
      <w:lvlJc w:val="left"/>
      <w:pPr>
        <w:tabs>
          <w:tab w:val="num" w:pos="1080"/>
        </w:tabs>
        <w:ind w:left="1080" w:hanging="360"/>
      </w:pPr>
      <w:rPr>
        <w:rFonts w:ascii="Symbol" w:hAnsi="Symbol" w:hint="default"/>
        <w:color w:val="auto"/>
        <w:sz w:val="16"/>
      </w:rPr>
    </w:lvl>
    <w:lvl w:ilvl="1" w:tplc="04090003" w:tentative="1">
      <w:start w:val="1"/>
      <w:numFmt w:val="bullet"/>
      <w:lvlText w:val="o"/>
      <w:lvlJc w:val="left"/>
      <w:pPr>
        <w:tabs>
          <w:tab w:val="num" w:pos="1944"/>
        </w:tabs>
        <w:ind w:left="1944" w:hanging="360"/>
      </w:pPr>
      <w:rPr>
        <w:rFonts w:ascii="Courier New" w:hAnsi="Courier New" w:cs="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cs="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cs="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27">
    <w:nsid w:val="4B746162"/>
    <w:multiLevelType w:val="hybridMultilevel"/>
    <w:tmpl w:val="ABBE0388"/>
    <w:lvl w:ilvl="0" w:tplc="860C20E4">
      <w:start w:val="1"/>
      <w:numFmt w:val="bullet"/>
      <w:lvlText w:val=""/>
      <w:lvlJc w:val="left"/>
      <w:pPr>
        <w:tabs>
          <w:tab w:val="num" w:pos="1296"/>
        </w:tabs>
        <w:ind w:left="1296" w:hanging="360"/>
      </w:pPr>
      <w:rPr>
        <w:rFonts w:ascii="Symbol" w:hAnsi="Symbol" w:hint="default"/>
        <w:color w:val="auto"/>
        <w:sz w:val="16"/>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nsid w:val="4D975541"/>
    <w:multiLevelType w:val="hybridMultilevel"/>
    <w:tmpl w:val="8E62F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F792DA6"/>
    <w:multiLevelType w:val="hybridMultilevel"/>
    <w:tmpl w:val="6944AF0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27E21D9"/>
    <w:multiLevelType w:val="hybridMultilevel"/>
    <w:tmpl w:val="63C4B2FE"/>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35440FE"/>
    <w:multiLevelType w:val="hybridMultilevel"/>
    <w:tmpl w:val="27984DBC"/>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4564FBE"/>
    <w:multiLevelType w:val="hybridMultilevel"/>
    <w:tmpl w:val="E932A4C4"/>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5237FF1"/>
    <w:multiLevelType w:val="hybridMultilevel"/>
    <w:tmpl w:val="C1C8BEAE"/>
    <w:lvl w:ilvl="0" w:tplc="4EDCBD0C">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7A9758E6"/>
    <w:multiLevelType w:val="hybridMultilevel"/>
    <w:tmpl w:val="627C9C20"/>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B891B73"/>
    <w:multiLevelType w:val="hybridMultilevel"/>
    <w:tmpl w:val="5F62AC7C"/>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0"/>
  </w:num>
  <w:num w:numId="3">
    <w:abstractNumId w:val="26"/>
  </w:num>
  <w:num w:numId="4">
    <w:abstractNumId w:val="27"/>
  </w:num>
  <w:num w:numId="5">
    <w:abstractNumId w:val="6"/>
  </w:num>
  <w:num w:numId="6">
    <w:abstractNumId w:val="9"/>
  </w:num>
  <w:num w:numId="7">
    <w:abstractNumId w:val="33"/>
  </w:num>
  <w:num w:numId="8">
    <w:abstractNumId w:val="17"/>
  </w:num>
  <w:num w:numId="9">
    <w:abstractNumId w:val="1"/>
  </w:num>
  <w:num w:numId="10">
    <w:abstractNumId w:val="12"/>
  </w:num>
  <w:num w:numId="11">
    <w:abstractNumId w:val="21"/>
  </w:num>
  <w:num w:numId="12">
    <w:abstractNumId w:val="11"/>
  </w:num>
  <w:num w:numId="13">
    <w:abstractNumId w:val="30"/>
  </w:num>
  <w:num w:numId="14">
    <w:abstractNumId w:val="7"/>
  </w:num>
  <w:num w:numId="15">
    <w:abstractNumId w:val="18"/>
  </w:num>
  <w:num w:numId="16">
    <w:abstractNumId w:val="32"/>
  </w:num>
  <w:num w:numId="17">
    <w:abstractNumId w:val="4"/>
  </w:num>
  <w:num w:numId="18">
    <w:abstractNumId w:val="15"/>
  </w:num>
  <w:num w:numId="19">
    <w:abstractNumId w:val="31"/>
  </w:num>
  <w:num w:numId="20">
    <w:abstractNumId w:val="13"/>
  </w:num>
  <w:num w:numId="21">
    <w:abstractNumId w:val="35"/>
  </w:num>
  <w:num w:numId="22">
    <w:abstractNumId w:val="14"/>
  </w:num>
  <w:num w:numId="23">
    <w:abstractNumId w:val="5"/>
  </w:num>
  <w:num w:numId="24">
    <w:abstractNumId w:val="19"/>
  </w:num>
  <w:num w:numId="25">
    <w:abstractNumId w:val="25"/>
  </w:num>
  <w:num w:numId="26">
    <w:abstractNumId w:val="22"/>
  </w:num>
  <w:num w:numId="27">
    <w:abstractNumId w:val="16"/>
  </w:num>
  <w:num w:numId="28">
    <w:abstractNumId w:val="34"/>
  </w:num>
  <w:num w:numId="29">
    <w:abstractNumId w:val="8"/>
  </w:num>
  <w:num w:numId="30">
    <w:abstractNumId w:val="2"/>
  </w:num>
  <w:num w:numId="31">
    <w:abstractNumId w:val="29"/>
  </w:num>
  <w:num w:numId="32">
    <w:abstractNumId w:val="10"/>
  </w:num>
  <w:num w:numId="33">
    <w:abstractNumId w:val="0"/>
  </w:num>
  <w:num w:numId="34">
    <w:abstractNumId w:val="28"/>
  </w:num>
  <w:num w:numId="35">
    <w:abstractNumId w:val="3"/>
  </w:num>
  <w:num w:numId="36">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563"/>
    <w:rsid w:val="0001535A"/>
    <w:rsid w:val="00015C27"/>
    <w:rsid w:val="00017D4B"/>
    <w:rsid w:val="00034048"/>
    <w:rsid w:val="00035E3A"/>
    <w:rsid w:val="00041AC6"/>
    <w:rsid w:val="00043210"/>
    <w:rsid w:val="0004467C"/>
    <w:rsid w:val="000465B1"/>
    <w:rsid w:val="00056AA2"/>
    <w:rsid w:val="0005736B"/>
    <w:rsid w:val="000629CB"/>
    <w:rsid w:val="00067126"/>
    <w:rsid w:val="00071FBA"/>
    <w:rsid w:val="000731C0"/>
    <w:rsid w:val="00075762"/>
    <w:rsid w:val="00080DC9"/>
    <w:rsid w:val="00085B51"/>
    <w:rsid w:val="000917E5"/>
    <w:rsid w:val="000A1B38"/>
    <w:rsid w:val="000A3DC0"/>
    <w:rsid w:val="000A4DD3"/>
    <w:rsid w:val="000B2231"/>
    <w:rsid w:val="000B681C"/>
    <w:rsid w:val="000C5DFF"/>
    <w:rsid w:val="000D2303"/>
    <w:rsid w:val="000D4582"/>
    <w:rsid w:val="000E14F2"/>
    <w:rsid w:val="000E206E"/>
    <w:rsid w:val="000F3B3D"/>
    <w:rsid w:val="000F44BB"/>
    <w:rsid w:val="000F727E"/>
    <w:rsid w:val="00103F00"/>
    <w:rsid w:val="00117200"/>
    <w:rsid w:val="001211C5"/>
    <w:rsid w:val="001227B5"/>
    <w:rsid w:val="00127373"/>
    <w:rsid w:val="00127FD2"/>
    <w:rsid w:val="00141A8B"/>
    <w:rsid w:val="00147354"/>
    <w:rsid w:val="00155132"/>
    <w:rsid w:val="00164857"/>
    <w:rsid w:val="0016598F"/>
    <w:rsid w:val="00171E2C"/>
    <w:rsid w:val="00176D5F"/>
    <w:rsid w:val="001850EB"/>
    <w:rsid w:val="00186310"/>
    <w:rsid w:val="001904F7"/>
    <w:rsid w:val="00191F4A"/>
    <w:rsid w:val="00193533"/>
    <w:rsid w:val="00197ADF"/>
    <w:rsid w:val="001A34FE"/>
    <w:rsid w:val="001A43F1"/>
    <w:rsid w:val="001A6435"/>
    <w:rsid w:val="001B20F8"/>
    <w:rsid w:val="001C4CE8"/>
    <w:rsid w:val="001D2670"/>
    <w:rsid w:val="001E53E8"/>
    <w:rsid w:val="001E5DD3"/>
    <w:rsid w:val="001E5F3E"/>
    <w:rsid w:val="001F5832"/>
    <w:rsid w:val="0020224A"/>
    <w:rsid w:val="00211567"/>
    <w:rsid w:val="00231167"/>
    <w:rsid w:val="00232302"/>
    <w:rsid w:val="00234EC2"/>
    <w:rsid w:val="00236DC5"/>
    <w:rsid w:val="00244A62"/>
    <w:rsid w:val="00247C9A"/>
    <w:rsid w:val="0025069C"/>
    <w:rsid w:val="0026039C"/>
    <w:rsid w:val="00263CF1"/>
    <w:rsid w:val="002708C0"/>
    <w:rsid w:val="002717DA"/>
    <w:rsid w:val="00271A51"/>
    <w:rsid w:val="00272816"/>
    <w:rsid w:val="0027318B"/>
    <w:rsid w:val="002735EA"/>
    <w:rsid w:val="00273DED"/>
    <w:rsid w:val="00277300"/>
    <w:rsid w:val="00280C81"/>
    <w:rsid w:val="0028426C"/>
    <w:rsid w:val="00284353"/>
    <w:rsid w:val="00292300"/>
    <w:rsid w:val="002949E1"/>
    <w:rsid w:val="00294CCA"/>
    <w:rsid w:val="00295180"/>
    <w:rsid w:val="002A0E99"/>
    <w:rsid w:val="002A3009"/>
    <w:rsid w:val="002B1AF2"/>
    <w:rsid w:val="002C09E9"/>
    <w:rsid w:val="002C2969"/>
    <w:rsid w:val="002D2776"/>
    <w:rsid w:val="002D5BFD"/>
    <w:rsid w:val="002D6434"/>
    <w:rsid w:val="002D6F5B"/>
    <w:rsid w:val="002D7231"/>
    <w:rsid w:val="002E0CBF"/>
    <w:rsid w:val="002F5BB5"/>
    <w:rsid w:val="002F65EB"/>
    <w:rsid w:val="002F7684"/>
    <w:rsid w:val="002F7D06"/>
    <w:rsid w:val="003115B4"/>
    <w:rsid w:val="00315AEF"/>
    <w:rsid w:val="00320917"/>
    <w:rsid w:val="00322AC7"/>
    <w:rsid w:val="00330B3C"/>
    <w:rsid w:val="00332AF6"/>
    <w:rsid w:val="003415FB"/>
    <w:rsid w:val="00342981"/>
    <w:rsid w:val="0035225A"/>
    <w:rsid w:val="00352B78"/>
    <w:rsid w:val="00354EE2"/>
    <w:rsid w:val="003649F9"/>
    <w:rsid w:val="00366331"/>
    <w:rsid w:val="003665AD"/>
    <w:rsid w:val="0037225D"/>
    <w:rsid w:val="00376ACF"/>
    <w:rsid w:val="00384767"/>
    <w:rsid w:val="00385793"/>
    <w:rsid w:val="00390AE3"/>
    <w:rsid w:val="0039311B"/>
    <w:rsid w:val="003963CE"/>
    <w:rsid w:val="003A4654"/>
    <w:rsid w:val="003A596A"/>
    <w:rsid w:val="003A6E4D"/>
    <w:rsid w:val="003B2F6B"/>
    <w:rsid w:val="003B3315"/>
    <w:rsid w:val="003B38D3"/>
    <w:rsid w:val="003B73B5"/>
    <w:rsid w:val="003B79BE"/>
    <w:rsid w:val="003C1630"/>
    <w:rsid w:val="003C52D0"/>
    <w:rsid w:val="003C59D3"/>
    <w:rsid w:val="003D0FF7"/>
    <w:rsid w:val="003D17D5"/>
    <w:rsid w:val="003D2326"/>
    <w:rsid w:val="003D39ED"/>
    <w:rsid w:val="003D5AE3"/>
    <w:rsid w:val="003D6FF1"/>
    <w:rsid w:val="003D7AB0"/>
    <w:rsid w:val="003E17FA"/>
    <w:rsid w:val="003E7796"/>
    <w:rsid w:val="003F159F"/>
    <w:rsid w:val="003F5D74"/>
    <w:rsid w:val="003F6D66"/>
    <w:rsid w:val="00403873"/>
    <w:rsid w:val="004038D2"/>
    <w:rsid w:val="004072AB"/>
    <w:rsid w:val="00417563"/>
    <w:rsid w:val="0042421A"/>
    <w:rsid w:val="004311A9"/>
    <w:rsid w:val="004312CF"/>
    <w:rsid w:val="0043165E"/>
    <w:rsid w:val="00435A77"/>
    <w:rsid w:val="0043669A"/>
    <w:rsid w:val="004449FC"/>
    <w:rsid w:val="00451FBE"/>
    <w:rsid w:val="00453297"/>
    <w:rsid w:val="0046563B"/>
    <w:rsid w:val="00470399"/>
    <w:rsid w:val="00471E4E"/>
    <w:rsid w:val="004737CA"/>
    <w:rsid w:val="00480FD6"/>
    <w:rsid w:val="00481DF3"/>
    <w:rsid w:val="0048569C"/>
    <w:rsid w:val="00491647"/>
    <w:rsid w:val="00493047"/>
    <w:rsid w:val="004951F4"/>
    <w:rsid w:val="004A13E0"/>
    <w:rsid w:val="004A2DE9"/>
    <w:rsid w:val="004A6E6F"/>
    <w:rsid w:val="004B0994"/>
    <w:rsid w:val="004B1E84"/>
    <w:rsid w:val="004B4927"/>
    <w:rsid w:val="004B51EC"/>
    <w:rsid w:val="004C7985"/>
    <w:rsid w:val="004D0220"/>
    <w:rsid w:val="004D39D1"/>
    <w:rsid w:val="004E4047"/>
    <w:rsid w:val="004E4B1C"/>
    <w:rsid w:val="004E5803"/>
    <w:rsid w:val="004E58A4"/>
    <w:rsid w:val="004E7DA0"/>
    <w:rsid w:val="004F0772"/>
    <w:rsid w:val="004F4F80"/>
    <w:rsid w:val="005051DE"/>
    <w:rsid w:val="00506FF9"/>
    <w:rsid w:val="00511B26"/>
    <w:rsid w:val="0051202C"/>
    <w:rsid w:val="00520BE0"/>
    <w:rsid w:val="00532901"/>
    <w:rsid w:val="005337E5"/>
    <w:rsid w:val="005350E1"/>
    <w:rsid w:val="005405A3"/>
    <w:rsid w:val="00541063"/>
    <w:rsid w:val="00543C98"/>
    <w:rsid w:val="00546C48"/>
    <w:rsid w:val="0054718C"/>
    <w:rsid w:val="0055273F"/>
    <w:rsid w:val="00566C24"/>
    <w:rsid w:val="00567FC0"/>
    <w:rsid w:val="00571063"/>
    <w:rsid w:val="0058715F"/>
    <w:rsid w:val="005A221B"/>
    <w:rsid w:val="005A5A80"/>
    <w:rsid w:val="005B0759"/>
    <w:rsid w:val="005D05C2"/>
    <w:rsid w:val="005D5F9D"/>
    <w:rsid w:val="005D762A"/>
    <w:rsid w:val="00600B3B"/>
    <w:rsid w:val="006037C8"/>
    <w:rsid w:val="00604819"/>
    <w:rsid w:val="00610B01"/>
    <w:rsid w:val="00614989"/>
    <w:rsid w:val="006241ED"/>
    <w:rsid w:val="00630F56"/>
    <w:rsid w:val="00640331"/>
    <w:rsid w:val="00640B92"/>
    <w:rsid w:val="006430DF"/>
    <w:rsid w:val="00645FBF"/>
    <w:rsid w:val="00652AF3"/>
    <w:rsid w:val="00663ACF"/>
    <w:rsid w:val="00673E24"/>
    <w:rsid w:val="006743E1"/>
    <w:rsid w:val="00684ACD"/>
    <w:rsid w:val="00693E4A"/>
    <w:rsid w:val="006A5BCA"/>
    <w:rsid w:val="006A7E5F"/>
    <w:rsid w:val="006B6282"/>
    <w:rsid w:val="006B65C3"/>
    <w:rsid w:val="006C15D3"/>
    <w:rsid w:val="006C339B"/>
    <w:rsid w:val="006C7318"/>
    <w:rsid w:val="006D5C01"/>
    <w:rsid w:val="006E0154"/>
    <w:rsid w:val="006E54FA"/>
    <w:rsid w:val="006F0CE3"/>
    <w:rsid w:val="006F760A"/>
    <w:rsid w:val="006F7D04"/>
    <w:rsid w:val="00702DD8"/>
    <w:rsid w:val="00702E1F"/>
    <w:rsid w:val="00706710"/>
    <w:rsid w:val="007101FD"/>
    <w:rsid w:val="00715085"/>
    <w:rsid w:val="007152E9"/>
    <w:rsid w:val="0071573C"/>
    <w:rsid w:val="0072460C"/>
    <w:rsid w:val="0072532B"/>
    <w:rsid w:val="00725B34"/>
    <w:rsid w:val="00735B62"/>
    <w:rsid w:val="00736790"/>
    <w:rsid w:val="007375D4"/>
    <w:rsid w:val="00737E24"/>
    <w:rsid w:val="00744C72"/>
    <w:rsid w:val="00753049"/>
    <w:rsid w:val="007538FA"/>
    <w:rsid w:val="00755ACC"/>
    <w:rsid w:val="007677AC"/>
    <w:rsid w:val="00770211"/>
    <w:rsid w:val="0077582A"/>
    <w:rsid w:val="00775C0A"/>
    <w:rsid w:val="007774B4"/>
    <w:rsid w:val="00784A2F"/>
    <w:rsid w:val="00791889"/>
    <w:rsid w:val="00792BD6"/>
    <w:rsid w:val="007A5D7C"/>
    <w:rsid w:val="007A5F4F"/>
    <w:rsid w:val="007B0292"/>
    <w:rsid w:val="007B182B"/>
    <w:rsid w:val="007B3CDB"/>
    <w:rsid w:val="007C07D6"/>
    <w:rsid w:val="007C2013"/>
    <w:rsid w:val="007C20E0"/>
    <w:rsid w:val="007C23F4"/>
    <w:rsid w:val="007C2F97"/>
    <w:rsid w:val="007C502E"/>
    <w:rsid w:val="007C58B3"/>
    <w:rsid w:val="007E2F1A"/>
    <w:rsid w:val="007E3939"/>
    <w:rsid w:val="007F0663"/>
    <w:rsid w:val="008023FC"/>
    <w:rsid w:val="00803B69"/>
    <w:rsid w:val="0080403F"/>
    <w:rsid w:val="00811428"/>
    <w:rsid w:val="00811A65"/>
    <w:rsid w:val="008202AE"/>
    <w:rsid w:val="008202C3"/>
    <w:rsid w:val="00823B27"/>
    <w:rsid w:val="00826092"/>
    <w:rsid w:val="00832CE5"/>
    <w:rsid w:val="00842A09"/>
    <w:rsid w:val="008463AE"/>
    <w:rsid w:val="008533A9"/>
    <w:rsid w:val="008562E3"/>
    <w:rsid w:val="00862836"/>
    <w:rsid w:val="00865098"/>
    <w:rsid w:val="008677B0"/>
    <w:rsid w:val="0087062F"/>
    <w:rsid w:val="00877C37"/>
    <w:rsid w:val="0088175B"/>
    <w:rsid w:val="0089086E"/>
    <w:rsid w:val="008A1220"/>
    <w:rsid w:val="008A1BCA"/>
    <w:rsid w:val="008A469C"/>
    <w:rsid w:val="008C0646"/>
    <w:rsid w:val="008D108D"/>
    <w:rsid w:val="008D2CC4"/>
    <w:rsid w:val="008D3779"/>
    <w:rsid w:val="008D6891"/>
    <w:rsid w:val="008E696D"/>
    <w:rsid w:val="008F4449"/>
    <w:rsid w:val="008F7AC2"/>
    <w:rsid w:val="00912117"/>
    <w:rsid w:val="00917524"/>
    <w:rsid w:val="0092587E"/>
    <w:rsid w:val="00931DEC"/>
    <w:rsid w:val="009350D1"/>
    <w:rsid w:val="009368C5"/>
    <w:rsid w:val="009437B5"/>
    <w:rsid w:val="009474DA"/>
    <w:rsid w:val="00952A62"/>
    <w:rsid w:val="00952D99"/>
    <w:rsid w:val="00960051"/>
    <w:rsid w:val="00964D78"/>
    <w:rsid w:val="00971A19"/>
    <w:rsid w:val="009A0C0C"/>
    <w:rsid w:val="009A31EB"/>
    <w:rsid w:val="009A5C5E"/>
    <w:rsid w:val="009B3EDE"/>
    <w:rsid w:val="009C18BE"/>
    <w:rsid w:val="009C1BCE"/>
    <w:rsid w:val="009C2B02"/>
    <w:rsid w:val="009C5E3C"/>
    <w:rsid w:val="009D1AA6"/>
    <w:rsid w:val="009E1BAE"/>
    <w:rsid w:val="009F18C6"/>
    <w:rsid w:val="00A12B56"/>
    <w:rsid w:val="00A1490F"/>
    <w:rsid w:val="00A17F76"/>
    <w:rsid w:val="00A230CD"/>
    <w:rsid w:val="00A32026"/>
    <w:rsid w:val="00A333E9"/>
    <w:rsid w:val="00A37331"/>
    <w:rsid w:val="00A43B14"/>
    <w:rsid w:val="00A659CF"/>
    <w:rsid w:val="00A6630B"/>
    <w:rsid w:val="00A70A8A"/>
    <w:rsid w:val="00A710F4"/>
    <w:rsid w:val="00A7347B"/>
    <w:rsid w:val="00A73E24"/>
    <w:rsid w:val="00A741DD"/>
    <w:rsid w:val="00A8075D"/>
    <w:rsid w:val="00A80E97"/>
    <w:rsid w:val="00A829FA"/>
    <w:rsid w:val="00A84236"/>
    <w:rsid w:val="00A92E6A"/>
    <w:rsid w:val="00A94C7B"/>
    <w:rsid w:val="00AA36AB"/>
    <w:rsid w:val="00AA6226"/>
    <w:rsid w:val="00AB0FD5"/>
    <w:rsid w:val="00AC0E11"/>
    <w:rsid w:val="00AC2E90"/>
    <w:rsid w:val="00AD6142"/>
    <w:rsid w:val="00AE637E"/>
    <w:rsid w:val="00AE7220"/>
    <w:rsid w:val="00AE78DF"/>
    <w:rsid w:val="00AF3A82"/>
    <w:rsid w:val="00AF3C24"/>
    <w:rsid w:val="00AF543F"/>
    <w:rsid w:val="00B11D93"/>
    <w:rsid w:val="00B13914"/>
    <w:rsid w:val="00B1748D"/>
    <w:rsid w:val="00B518EC"/>
    <w:rsid w:val="00B5268B"/>
    <w:rsid w:val="00B532C5"/>
    <w:rsid w:val="00B53F13"/>
    <w:rsid w:val="00B62191"/>
    <w:rsid w:val="00B64C67"/>
    <w:rsid w:val="00B6757B"/>
    <w:rsid w:val="00B67EEA"/>
    <w:rsid w:val="00B71D3F"/>
    <w:rsid w:val="00B73A9D"/>
    <w:rsid w:val="00B858B1"/>
    <w:rsid w:val="00B85AF0"/>
    <w:rsid w:val="00B93DF9"/>
    <w:rsid w:val="00B947B6"/>
    <w:rsid w:val="00BA41EB"/>
    <w:rsid w:val="00BB2633"/>
    <w:rsid w:val="00BB7ED4"/>
    <w:rsid w:val="00BC184B"/>
    <w:rsid w:val="00BC73DB"/>
    <w:rsid w:val="00BD1FD0"/>
    <w:rsid w:val="00BD3D79"/>
    <w:rsid w:val="00BE0E52"/>
    <w:rsid w:val="00BF1495"/>
    <w:rsid w:val="00BF1811"/>
    <w:rsid w:val="00BF378B"/>
    <w:rsid w:val="00C001DD"/>
    <w:rsid w:val="00C01236"/>
    <w:rsid w:val="00C10879"/>
    <w:rsid w:val="00C165C9"/>
    <w:rsid w:val="00C16CFF"/>
    <w:rsid w:val="00C22FCA"/>
    <w:rsid w:val="00C322CC"/>
    <w:rsid w:val="00C401B7"/>
    <w:rsid w:val="00C41D43"/>
    <w:rsid w:val="00C420BE"/>
    <w:rsid w:val="00C4241E"/>
    <w:rsid w:val="00C449B3"/>
    <w:rsid w:val="00C4762A"/>
    <w:rsid w:val="00C618A0"/>
    <w:rsid w:val="00C71E9D"/>
    <w:rsid w:val="00C7492F"/>
    <w:rsid w:val="00C75C95"/>
    <w:rsid w:val="00C76C98"/>
    <w:rsid w:val="00C80976"/>
    <w:rsid w:val="00C82CBD"/>
    <w:rsid w:val="00C87235"/>
    <w:rsid w:val="00C8795C"/>
    <w:rsid w:val="00C9095C"/>
    <w:rsid w:val="00C956DA"/>
    <w:rsid w:val="00C96CD0"/>
    <w:rsid w:val="00C9782C"/>
    <w:rsid w:val="00C9788E"/>
    <w:rsid w:val="00CA1550"/>
    <w:rsid w:val="00CA5324"/>
    <w:rsid w:val="00CA5E94"/>
    <w:rsid w:val="00CC2232"/>
    <w:rsid w:val="00CC2ECF"/>
    <w:rsid w:val="00CC396E"/>
    <w:rsid w:val="00CC51F8"/>
    <w:rsid w:val="00CC53FA"/>
    <w:rsid w:val="00CD1AAC"/>
    <w:rsid w:val="00CE279D"/>
    <w:rsid w:val="00CE6AF2"/>
    <w:rsid w:val="00CE6BD2"/>
    <w:rsid w:val="00CF47BA"/>
    <w:rsid w:val="00CF5599"/>
    <w:rsid w:val="00D02B3F"/>
    <w:rsid w:val="00D10617"/>
    <w:rsid w:val="00D30741"/>
    <w:rsid w:val="00D3137D"/>
    <w:rsid w:val="00D32047"/>
    <w:rsid w:val="00D33FD0"/>
    <w:rsid w:val="00D44E03"/>
    <w:rsid w:val="00D46225"/>
    <w:rsid w:val="00D524B2"/>
    <w:rsid w:val="00D52FB1"/>
    <w:rsid w:val="00D63E89"/>
    <w:rsid w:val="00D63F8E"/>
    <w:rsid w:val="00D642BC"/>
    <w:rsid w:val="00D64577"/>
    <w:rsid w:val="00D67921"/>
    <w:rsid w:val="00D83B2E"/>
    <w:rsid w:val="00D8407C"/>
    <w:rsid w:val="00D861B6"/>
    <w:rsid w:val="00D879BB"/>
    <w:rsid w:val="00D907D5"/>
    <w:rsid w:val="00D939BC"/>
    <w:rsid w:val="00DA1BEE"/>
    <w:rsid w:val="00DB19C7"/>
    <w:rsid w:val="00DC5BF6"/>
    <w:rsid w:val="00DC5C19"/>
    <w:rsid w:val="00DC7154"/>
    <w:rsid w:val="00DD4425"/>
    <w:rsid w:val="00DD722E"/>
    <w:rsid w:val="00DD7B38"/>
    <w:rsid w:val="00DE4AFD"/>
    <w:rsid w:val="00DE4B89"/>
    <w:rsid w:val="00DE54E1"/>
    <w:rsid w:val="00DF49F7"/>
    <w:rsid w:val="00DF50D1"/>
    <w:rsid w:val="00DF7A87"/>
    <w:rsid w:val="00E0045E"/>
    <w:rsid w:val="00E02D20"/>
    <w:rsid w:val="00E02EB7"/>
    <w:rsid w:val="00E13953"/>
    <w:rsid w:val="00E237B9"/>
    <w:rsid w:val="00E27AFD"/>
    <w:rsid w:val="00E3012D"/>
    <w:rsid w:val="00E302D0"/>
    <w:rsid w:val="00E30CDE"/>
    <w:rsid w:val="00E322C0"/>
    <w:rsid w:val="00E342EC"/>
    <w:rsid w:val="00E63A81"/>
    <w:rsid w:val="00E71BD5"/>
    <w:rsid w:val="00E819D1"/>
    <w:rsid w:val="00E837EF"/>
    <w:rsid w:val="00E8596F"/>
    <w:rsid w:val="00E905D8"/>
    <w:rsid w:val="00E93082"/>
    <w:rsid w:val="00E937EB"/>
    <w:rsid w:val="00E94992"/>
    <w:rsid w:val="00EA0465"/>
    <w:rsid w:val="00EA625D"/>
    <w:rsid w:val="00EB1F8B"/>
    <w:rsid w:val="00EB3980"/>
    <w:rsid w:val="00EB3E20"/>
    <w:rsid w:val="00EC080F"/>
    <w:rsid w:val="00EC1CE4"/>
    <w:rsid w:val="00ED06A4"/>
    <w:rsid w:val="00ED1A2C"/>
    <w:rsid w:val="00ED30CD"/>
    <w:rsid w:val="00ED5278"/>
    <w:rsid w:val="00EE480E"/>
    <w:rsid w:val="00EE7374"/>
    <w:rsid w:val="00EF1320"/>
    <w:rsid w:val="00EF2547"/>
    <w:rsid w:val="00EF7739"/>
    <w:rsid w:val="00EF78C9"/>
    <w:rsid w:val="00EF7E00"/>
    <w:rsid w:val="00F10099"/>
    <w:rsid w:val="00F12069"/>
    <w:rsid w:val="00F3167D"/>
    <w:rsid w:val="00F335D1"/>
    <w:rsid w:val="00F376A8"/>
    <w:rsid w:val="00F425CA"/>
    <w:rsid w:val="00F46CF2"/>
    <w:rsid w:val="00F46E4A"/>
    <w:rsid w:val="00F47704"/>
    <w:rsid w:val="00F643DB"/>
    <w:rsid w:val="00F72F73"/>
    <w:rsid w:val="00F73FC6"/>
    <w:rsid w:val="00F7465F"/>
    <w:rsid w:val="00F8494F"/>
    <w:rsid w:val="00F869FF"/>
    <w:rsid w:val="00FA268B"/>
    <w:rsid w:val="00FA7E40"/>
    <w:rsid w:val="00FB1C9C"/>
    <w:rsid w:val="00FB5FA8"/>
    <w:rsid w:val="00FC70E6"/>
    <w:rsid w:val="00FE6598"/>
    <w:rsid w:val="00FF0BBB"/>
    <w:rsid w:val="00FF28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1DE"/>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337E5"/>
    <w:pPr>
      <w:tabs>
        <w:tab w:val="center" w:pos="4320"/>
        <w:tab w:val="right" w:pos="8640"/>
      </w:tabs>
    </w:pPr>
  </w:style>
  <w:style w:type="paragraph" w:styleId="Footer">
    <w:name w:val="footer"/>
    <w:basedOn w:val="Normal"/>
    <w:rsid w:val="005337E5"/>
    <w:pPr>
      <w:tabs>
        <w:tab w:val="center" w:pos="4320"/>
        <w:tab w:val="right" w:pos="8640"/>
      </w:tabs>
    </w:pPr>
  </w:style>
  <w:style w:type="character" w:styleId="PageNumber">
    <w:name w:val="page number"/>
    <w:basedOn w:val="DefaultParagraphFont"/>
    <w:rsid w:val="005337E5"/>
  </w:style>
  <w:style w:type="paragraph" w:styleId="EndnoteText">
    <w:name w:val="endnote text"/>
    <w:basedOn w:val="Normal"/>
    <w:semiHidden/>
    <w:rsid w:val="00493047"/>
    <w:rPr>
      <w:rFonts w:eastAsia="Times New Roman"/>
      <w:sz w:val="20"/>
      <w:szCs w:val="20"/>
      <w:lang w:eastAsia="en-US"/>
    </w:rPr>
  </w:style>
  <w:style w:type="character" w:styleId="EndnoteReference">
    <w:name w:val="endnote reference"/>
    <w:basedOn w:val="DefaultParagraphFont"/>
    <w:semiHidden/>
    <w:rsid w:val="00493047"/>
    <w:rPr>
      <w:vertAlign w:val="superscript"/>
    </w:rPr>
  </w:style>
  <w:style w:type="paragraph" w:styleId="DocumentMap">
    <w:name w:val="Document Map"/>
    <w:basedOn w:val="Normal"/>
    <w:semiHidden/>
    <w:rsid w:val="0055273F"/>
    <w:pPr>
      <w:shd w:val="clear" w:color="auto" w:fill="000080"/>
    </w:pPr>
    <w:rPr>
      <w:rFonts w:ascii="Tahoma" w:hAnsi="Tahoma" w:cs="Tahoma"/>
    </w:rPr>
  </w:style>
  <w:style w:type="paragraph" w:styleId="NormalWeb">
    <w:name w:val="Normal (Web)"/>
    <w:basedOn w:val="Normal"/>
    <w:rsid w:val="00493047"/>
    <w:pPr>
      <w:spacing w:after="120"/>
    </w:pPr>
    <w:rPr>
      <w:rFonts w:eastAsia="Times New Roman"/>
      <w:lang w:eastAsia="en-US"/>
    </w:rPr>
  </w:style>
  <w:style w:type="character" w:customStyle="1" w:styleId="ccbnttl1">
    <w:name w:val="ccbnttl1"/>
    <w:basedOn w:val="DefaultParagraphFont"/>
    <w:rsid w:val="00ED06A4"/>
    <w:rPr>
      <w:rFonts w:ascii="Arial" w:hAnsi="Arial" w:cs="Arial" w:hint="default"/>
      <w:b/>
      <w:bCs/>
      <w:color w:val="000000"/>
      <w:sz w:val="17"/>
      <w:szCs w:val="17"/>
    </w:rPr>
  </w:style>
  <w:style w:type="paragraph" w:styleId="BalloonText">
    <w:name w:val="Balloon Text"/>
    <w:basedOn w:val="Normal"/>
    <w:semiHidden/>
    <w:rsid w:val="00CA5E94"/>
    <w:rPr>
      <w:rFonts w:ascii="Tahoma" w:hAnsi="Tahoma" w:cs="Tahoma"/>
      <w:sz w:val="16"/>
      <w:szCs w:val="16"/>
    </w:rPr>
  </w:style>
  <w:style w:type="paragraph" w:styleId="ListParagraph">
    <w:name w:val="List Paragraph"/>
    <w:basedOn w:val="Normal"/>
    <w:uiPriority w:val="34"/>
    <w:qFormat/>
    <w:rsid w:val="002D6F5B"/>
    <w:pPr>
      <w:ind w:left="720"/>
      <w:contextualSpacing/>
    </w:pPr>
  </w:style>
  <w:style w:type="table" w:styleId="TableGrid">
    <w:name w:val="Table Grid"/>
    <w:basedOn w:val="TableNormal"/>
    <w:uiPriority w:val="59"/>
    <w:rsid w:val="005D05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EB1F8B"/>
    <w:rPr>
      <w:sz w:val="16"/>
      <w:szCs w:val="16"/>
    </w:rPr>
  </w:style>
  <w:style w:type="paragraph" w:styleId="CommentText">
    <w:name w:val="annotation text"/>
    <w:basedOn w:val="Normal"/>
    <w:link w:val="CommentTextChar"/>
    <w:uiPriority w:val="99"/>
    <w:unhideWhenUsed/>
    <w:rsid w:val="00EB1F8B"/>
    <w:rPr>
      <w:sz w:val="20"/>
      <w:szCs w:val="20"/>
    </w:rPr>
  </w:style>
  <w:style w:type="character" w:customStyle="1" w:styleId="CommentTextChar">
    <w:name w:val="Comment Text Char"/>
    <w:basedOn w:val="DefaultParagraphFont"/>
    <w:link w:val="CommentText"/>
    <w:uiPriority w:val="99"/>
    <w:rsid w:val="00EB1F8B"/>
    <w:rPr>
      <w:lang w:eastAsia="zh-CN"/>
    </w:rPr>
  </w:style>
  <w:style w:type="table" w:styleId="ColorfulShading-Accent5">
    <w:name w:val="Colorful Shading Accent 5"/>
    <w:basedOn w:val="TableNormal"/>
    <w:uiPriority w:val="71"/>
    <w:rsid w:val="009A31EB"/>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4">
    <w:name w:val="Colorful Shading Accent 4"/>
    <w:basedOn w:val="TableNormal"/>
    <w:uiPriority w:val="71"/>
    <w:rsid w:val="009A31EB"/>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MediumGrid3-Accent5">
    <w:name w:val="Medium Grid 3 Accent 5"/>
    <w:basedOn w:val="TableNormal"/>
    <w:uiPriority w:val="69"/>
    <w:rsid w:val="009A31EB"/>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1">
    <w:name w:val="Medium Grid 3 Accent 1"/>
    <w:basedOn w:val="TableNormal"/>
    <w:uiPriority w:val="69"/>
    <w:rsid w:val="009A31EB"/>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List2-Accent5">
    <w:name w:val="Medium List 2 Accent 5"/>
    <w:basedOn w:val="TableNormal"/>
    <w:uiPriority w:val="66"/>
    <w:rsid w:val="009A31EB"/>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ghtShading-Accent3">
    <w:name w:val="Light Shading Accent 3"/>
    <w:basedOn w:val="TableNormal"/>
    <w:uiPriority w:val="60"/>
    <w:rsid w:val="003F5D74"/>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List-Accent5">
    <w:name w:val="Light List Accent 5"/>
    <w:basedOn w:val="TableNormal"/>
    <w:uiPriority w:val="61"/>
    <w:rsid w:val="003F5D74"/>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1DE"/>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337E5"/>
    <w:pPr>
      <w:tabs>
        <w:tab w:val="center" w:pos="4320"/>
        <w:tab w:val="right" w:pos="8640"/>
      </w:tabs>
    </w:pPr>
  </w:style>
  <w:style w:type="paragraph" w:styleId="Footer">
    <w:name w:val="footer"/>
    <w:basedOn w:val="Normal"/>
    <w:rsid w:val="005337E5"/>
    <w:pPr>
      <w:tabs>
        <w:tab w:val="center" w:pos="4320"/>
        <w:tab w:val="right" w:pos="8640"/>
      </w:tabs>
    </w:pPr>
  </w:style>
  <w:style w:type="character" w:styleId="PageNumber">
    <w:name w:val="page number"/>
    <w:basedOn w:val="DefaultParagraphFont"/>
    <w:rsid w:val="005337E5"/>
  </w:style>
  <w:style w:type="paragraph" w:styleId="EndnoteText">
    <w:name w:val="endnote text"/>
    <w:basedOn w:val="Normal"/>
    <w:semiHidden/>
    <w:rsid w:val="00493047"/>
    <w:rPr>
      <w:rFonts w:eastAsia="Times New Roman"/>
      <w:sz w:val="20"/>
      <w:szCs w:val="20"/>
      <w:lang w:eastAsia="en-US"/>
    </w:rPr>
  </w:style>
  <w:style w:type="character" w:styleId="EndnoteReference">
    <w:name w:val="endnote reference"/>
    <w:basedOn w:val="DefaultParagraphFont"/>
    <w:semiHidden/>
    <w:rsid w:val="00493047"/>
    <w:rPr>
      <w:vertAlign w:val="superscript"/>
    </w:rPr>
  </w:style>
  <w:style w:type="paragraph" w:styleId="DocumentMap">
    <w:name w:val="Document Map"/>
    <w:basedOn w:val="Normal"/>
    <w:semiHidden/>
    <w:rsid w:val="0055273F"/>
    <w:pPr>
      <w:shd w:val="clear" w:color="auto" w:fill="000080"/>
    </w:pPr>
    <w:rPr>
      <w:rFonts w:ascii="Tahoma" w:hAnsi="Tahoma" w:cs="Tahoma"/>
    </w:rPr>
  </w:style>
  <w:style w:type="paragraph" w:styleId="NormalWeb">
    <w:name w:val="Normal (Web)"/>
    <w:basedOn w:val="Normal"/>
    <w:rsid w:val="00493047"/>
    <w:pPr>
      <w:spacing w:after="120"/>
    </w:pPr>
    <w:rPr>
      <w:rFonts w:eastAsia="Times New Roman"/>
      <w:lang w:eastAsia="en-US"/>
    </w:rPr>
  </w:style>
  <w:style w:type="character" w:customStyle="1" w:styleId="ccbnttl1">
    <w:name w:val="ccbnttl1"/>
    <w:basedOn w:val="DefaultParagraphFont"/>
    <w:rsid w:val="00ED06A4"/>
    <w:rPr>
      <w:rFonts w:ascii="Arial" w:hAnsi="Arial" w:cs="Arial" w:hint="default"/>
      <w:b/>
      <w:bCs/>
      <w:color w:val="000000"/>
      <w:sz w:val="17"/>
      <w:szCs w:val="17"/>
    </w:rPr>
  </w:style>
  <w:style w:type="paragraph" w:styleId="BalloonText">
    <w:name w:val="Balloon Text"/>
    <w:basedOn w:val="Normal"/>
    <w:semiHidden/>
    <w:rsid w:val="00CA5E94"/>
    <w:rPr>
      <w:rFonts w:ascii="Tahoma" w:hAnsi="Tahoma" w:cs="Tahoma"/>
      <w:sz w:val="16"/>
      <w:szCs w:val="16"/>
    </w:rPr>
  </w:style>
  <w:style w:type="paragraph" w:styleId="ListParagraph">
    <w:name w:val="List Paragraph"/>
    <w:basedOn w:val="Normal"/>
    <w:uiPriority w:val="34"/>
    <w:qFormat/>
    <w:rsid w:val="002D6F5B"/>
    <w:pPr>
      <w:ind w:left="720"/>
      <w:contextualSpacing/>
    </w:pPr>
  </w:style>
  <w:style w:type="table" w:styleId="TableGrid">
    <w:name w:val="Table Grid"/>
    <w:basedOn w:val="TableNormal"/>
    <w:uiPriority w:val="59"/>
    <w:rsid w:val="005D05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EB1F8B"/>
    <w:rPr>
      <w:sz w:val="16"/>
      <w:szCs w:val="16"/>
    </w:rPr>
  </w:style>
  <w:style w:type="paragraph" w:styleId="CommentText">
    <w:name w:val="annotation text"/>
    <w:basedOn w:val="Normal"/>
    <w:link w:val="CommentTextChar"/>
    <w:uiPriority w:val="99"/>
    <w:unhideWhenUsed/>
    <w:rsid w:val="00EB1F8B"/>
    <w:rPr>
      <w:sz w:val="20"/>
      <w:szCs w:val="20"/>
    </w:rPr>
  </w:style>
  <w:style w:type="character" w:customStyle="1" w:styleId="CommentTextChar">
    <w:name w:val="Comment Text Char"/>
    <w:basedOn w:val="DefaultParagraphFont"/>
    <w:link w:val="CommentText"/>
    <w:uiPriority w:val="99"/>
    <w:rsid w:val="00EB1F8B"/>
    <w:rPr>
      <w:lang w:eastAsia="zh-CN"/>
    </w:rPr>
  </w:style>
  <w:style w:type="table" w:styleId="ColorfulShading-Accent5">
    <w:name w:val="Colorful Shading Accent 5"/>
    <w:basedOn w:val="TableNormal"/>
    <w:uiPriority w:val="71"/>
    <w:rsid w:val="009A31EB"/>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4">
    <w:name w:val="Colorful Shading Accent 4"/>
    <w:basedOn w:val="TableNormal"/>
    <w:uiPriority w:val="71"/>
    <w:rsid w:val="009A31EB"/>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MediumGrid3-Accent5">
    <w:name w:val="Medium Grid 3 Accent 5"/>
    <w:basedOn w:val="TableNormal"/>
    <w:uiPriority w:val="69"/>
    <w:rsid w:val="009A31EB"/>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1">
    <w:name w:val="Medium Grid 3 Accent 1"/>
    <w:basedOn w:val="TableNormal"/>
    <w:uiPriority w:val="69"/>
    <w:rsid w:val="009A31EB"/>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List2-Accent5">
    <w:name w:val="Medium List 2 Accent 5"/>
    <w:basedOn w:val="TableNormal"/>
    <w:uiPriority w:val="66"/>
    <w:rsid w:val="009A31EB"/>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ghtShading-Accent3">
    <w:name w:val="Light Shading Accent 3"/>
    <w:basedOn w:val="TableNormal"/>
    <w:uiPriority w:val="60"/>
    <w:rsid w:val="003F5D74"/>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List-Accent5">
    <w:name w:val="Light List Accent 5"/>
    <w:basedOn w:val="TableNormal"/>
    <w:uiPriority w:val="61"/>
    <w:rsid w:val="003F5D74"/>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79787">
      <w:bodyDiv w:val="1"/>
      <w:marLeft w:val="0"/>
      <w:marRight w:val="0"/>
      <w:marTop w:val="0"/>
      <w:marBottom w:val="0"/>
      <w:divBdr>
        <w:top w:val="none" w:sz="0" w:space="0" w:color="auto"/>
        <w:left w:val="none" w:sz="0" w:space="0" w:color="auto"/>
        <w:bottom w:val="none" w:sz="0" w:space="0" w:color="auto"/>
        <w:right w:val="none" w:sz="0" w:space="0" w:color="auto"/>
      </w:divBdr>
    </w:div>
    <w:div w:id="232084028">
      <w:bodyDiv w:val="1"/>
      <w:marLeft w:val="0"/>
      <w:marRight w:val="0"/>
      <w:marTop w:val="0"/>
      <w:marBottom w:val="0"/>
      <w:divBdr>
        <w:top w:val="none" w:sz="0" w:space="0" w:color="auto"/>
        <w:left w:val="none" w:sz="0" w:space="0" w:color="auto"/>
        <w:bottom w:val="none" w:sz="0" w:space="0" w:color="auto"/>
        <w:right w:val="none" w:sz="0" w:space="0" w:color="auto"/>
      </w:divBdr>
    </w:div>
    <w:div w:id="254636405">
      <w:bodyDiv w:val="1"/>
      <w:marLeft w:val="0"/>
      <w:marRight w:val="0"/>
      <w:marTop w:val="0"/>
      <w:marBottom w:val="0"/>
      <w:divBdr>
        <w:top w:val="none" w:sz="0" w:space="0" w:color="auto"/>
        <w:left w:val="none" w:sz="0" w:space="0" w:color="auto"/>
        <w:bottom w:val="none" w:sz="0" w:space="0" w:color="auto"/>
        <w:right w:val="none" w:sz="0" w:space="0" w:color="auto"/>
      </w:divBdr>
    </w:div>
    <w:div w:id="396392842">
      <w:bodyDiv w:val="1"/>
      <w:marLeft w:val="0"/>
      <w:marRight w:val="0"/>
      <w:marTop w:val="0"/>
      <w:marBottom w:val="0"/>
      <w:divBdr>
        <w:top w:val="none" w:sz="0" w:space="0" w:color="auto"/>
        <w:left w:val="none" w:sz="0" w:space="0" w:color="auto"/>
        <w:bottom w:val="none" w:sz="0" w:space="0" w:color="auto"/>
        <w:right w:val="none" w:sz="0" w:space="0" w:color="auto"/>
      </w:divBdr>
    </w:div>
    <w:div w:id="893154390">
      <w:bodyDiv w:val="1"/>
      <w:marLeft w:val="0"/>
      <w:marRight w:val="0"/>
      <w:marTop w:val="0"/>
      <w:marBottom w:val="0"/>
      <w:divBdr>
        <w:top w:val="none" w:sz="0" w:space="0" w:color="auto"/>
        <w:left w:val="none" w:sz="0" w:space="0" w:color="auto"/>
        <w:bottom w:val="none" w:sz="0" w:space="0" w:color="auto"/>
        <w:right w:val="none" w:sz="0" w:space="0" w:color="auto"/>
      </w:divBdr>
    </w:div>
    <w:div w:id="1152405016">
      <w:bodyDiv w:val="1"/>
      <w:marLeft w:val="0"/>
      <w:marRight w:val="0"/>
      <w:marTop w:val="0"/>
      <w:marBottom w:val="0"/>
      <w:divBdr>
        <w:top w:val="none" w:sz="0" w:space="0" w:color="auto"/>
        <w:left w:val="none" w:sz="0" w:space="0" w:color="auto"/>
        <w:bottom w:val="none" w:sz="0" w:space="0" w:color="auto"/>
        <w:right w:val="none" w:sz="0" w:space="0" w:color="auto"/>
      </w:divBdr>
    </w:div>
    <w:div w:id="1611545894">
      <w:bodyDiv w:val="1"/>
      <w:marLeft w:val="0"/>
      <w:marRight w:val="0"/>
      <w:marTop w:val="0"/>
      <w:marBottom w:val="0"/>
      <w:divBdr>
        <w:top w:val="none" w:sz="0" w:space="0" w:color="auto"/>
        <w:left w:val="none" w:sz="0" w:space="0" w:color="auto"/>
        <w:bottom w:val="none" w:sz="0" w:space="0" w:color="auto"/>
        <w:right w:val="none" w:sz="0" w:space="0" w:color="auto"/>
      </w:divBdr>
    </w:div>
    <w:div w:id="1864242231">
      <w:bodyDiv w:val="1"/>
      <w:marLeft w:val="0"/>
      <w:marRight w:val="0"/>
      <w:marTop w:val="0"/>
      <w:marBottom w:val="0"/>
      <w:divBdr>
        <w:top w:val="none" w:sz="0" w:space="0" w:color="auto"/>
        <w:left w:val="none" w:sz="0" w:space="0" w:color="auto"/>
        <w:bottom w:val="none" w:sz="0" w:space="0" w:color="auto"/>
        <w:right w:val="none" w:sz="0" w:space="0" w:color="auto"/>
      </w:divBdr>
    </w:div>
    <w:div w:id="1937403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809D57-BE28-4121-A908-E10B4FFF0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4080</TotalTime>
  <Pages>11</Pages>
  <Words>3592</Words>
  <Characters>20475</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3M Cultivating Core Competency</vt:lpstr>
    </vt:vector>
  </TitlesOfParts>
  <Company/>
  <LinksUpToDate>false</LinksUpToDate>
  <CharactersWithSpaces>24019</CharactersWithSpaces>
  <SharedDoc>false</SharedDoc>
  <HLinks>
    <vt:vector size="6" baseType="variant">
      <vt:variant>
        <vt:i4>5439492</vt:i4>
      </vt:variant>
      <vt:variant>
        <vt:i4>0</vt:i4>
      </vt:variant>
      <vt:variant>
        <vt:i4>0</vt:i4>
      </vt:variant>
      <vt:variant>
        <vt:i4>5</vt:i4>
      </vt:variant>
      <vt:variant>
        <vt:lpwstr>http://premium.hoovers.com/subscribe/co/factsheet.xhtml?ID=fffrffkhtkssjcjkrj&amp;ticker=NFLX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3M Cultivating Core Competency</dc:title>
  <dc:creator>Kristi L. Marshall</dc:creator>
  <cp:lastModifiedBy>KL Marshall</cp:lastModifiedBy>
  <cp:revision>30</cp:revision>
  <cp:lastPrinted>2014-02-19T20:03:00Z</cp:lastPrinted>
  <dcterms:created xsi:type="dcterms:W3CDTF">2014-02-08T17:52:00Z</dcterms:created>
  <dcterms:modified xsi:type="dcterms:W3CDTF">2014-02-19T20:29:00Z</dcterms:modified>
</cp:coreProperties>
</file>