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1.xml" ContentType="application/vnd.openxmlformats-officedocument.customXmlProperties+xml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34" w:rsidRPr="005051DE" w:rsidRDefault="00C420BE" w:rsidP="005337E5">
      <w:pPr>
        <w:pBdr>
          <w:bottom w:val="single" w:sz="12" w:space="1" w:color="auto"/>
        </w:pBdr>
        <w:rPr>
          <w:b/>
          <w:bCs/>
          <w:spacing w:val="20"/>
        </w:rPr>
      </w:pPr>
      <w:r>
        <w:rPr>
          <w:b/>
          <w:bCs/>
          <w:spacing w:val="20"/>
        </w:rPr>
        <w:t>INTRODUCTION</w:t>
      </w:r>
    </w:p>
    <w:p w:rsidR="00EA0465" w:rsidRDefault="00EA0465" w:rsidP="00EA0465">
      <w:pPr>
        <w:rPr>
          <w:b/>
          <w:bCs/>
          <w:sz w:val="28"/>
          <w:szCs w:val="28"/>
        </w:rPr>
      </w:pPr>
    </w:p>
    <w:p w:rsidR="00AD500B" w:rsidRDefault="00A92E6A" w:rsidP="00493047">
      <w:r>
        <w:tab/>
      </w:r>
      <w:r w:rsidR="00AD500B">
        <w:t>American Telephone and Telegraph Company (AT&amp;T) is a legacy company from the days when communication was conducted excl</w:t>
      </w:r>
      <w:r w:rsidR="008A3A15">
        <w:t>usively across telephone lines.</w:t>
      </w:r>
      <w:r w:rsidR="00AD500B">
        <w:t xml:space="preserve"> Today, the company is a leading telecommunications firm with global reach for the </w:t>
      </w:r>
      <w:r w:rsidR="00346AB6">
        <w:t xml:space="preserve">full </w:t>
      </w:r>
      <w:r w:rsidR="00AD500B">
        <w:t xml:space="preserve">spectrum of </w:t>
      </w:r>
      <w:r w:rsidR="008A3A15">
        <w:t xml:space="preserve">modern communications devices. </w:t>
      </w:r>
      <w:r w:rsidR="00AD500B">
        <w:t>This case is an in-depth depiction</w:t>
      </w:r>
      <w:r w:rsidR="00346AB6">
        <w:t xml:space="preserve"> of the evolving organization and </w:t>
      </w:r>
      <w:r w:rsidR="009C642B">
        <w:t xml:space="preserve">of </w:t>
      </w:r>
      <w:r w:rsidR="00346AB6">
        <w:t xml:space="preserve">the strategic </w:t>
      </w:r>
      <w:r w:rsidR="003145B2">
        <w:t>issu</w:t>
      </w:r>
      <w:r w:rsidR="00346AB6">
        <w:t xml:space="preserve">es </w:t>
      </w:r>
      <w:r w:rsidR="003145B2">
        <w:t>confronting</w:t>
      </w:r>
      <w:r w:rsidR="008A3A15">
        <w:t xml:space="preserve"> CEO</w:t>
      </w:r>
      <w:r w:rsidR="00346AB6">
        <w:t xml:space="preserve"> Randall Stephenson.  </w:t>
      </w:r>
    </w:p>
    <w:p w:rsidR="00AD500B" w:rsidRDefault="00AD500B" w:rsidP="00493047"/>
    <w:p w:rsidR="00E75DE4" w:rsidRDefault="00AD500B" w:rsidP="00493047">
      <w:r>
        <w:t xml:space="preserve"> </w:t>
      </w:r>
      <w:r w:rsidR="00346AB6">
        <w:tab/>
      </w:r>
      <w:r w:rsidR="003145B2">
        <w:t>The purpose of this case is to become familiar with AT&amp;T’s current situation in order to explore a distinct set of challenges faced by the company’s leadership team (whose ultimate o</w:t>
      </w:r>
      <w:r w:rsidR="00346AB6">
        <w:t xml:space="preserve">bjective </w:t>
      </w:r>
      <w:r w:rsidR="003145B2">
        <w:t>is to</w:t>
      </w:r>
      <w:r w:rsidR="008A3A15">
        <w:t xml:space="preserve"> maximize</w:t>
      </w:r>
      <w:r w:rsidR="00346AB6">
        <w:t xml:space="preserve"> returns </w:t>
      </w:r>
      <w:r w:rsidR="003145B2">
        <w:t xml:space="preserve">for investors </w:t>
      </w:r>
      <w:r w:rsidR="00346AB6">
        <w:t xml:space="preserve">in the </w:t>
      </w:r>
      <w:r w:rsidR="009C642B">
        <w:t>up</w:t>
      </w:r>
      <w:r w:rsidR="00346AB6">
        <w:t>coming years</w:t>
      </w:r>
      <w:r w:rsidR="008A3A15">
        <w:t xml:space="preserve">). </w:t>
      </w:r>
      <w:r w:rsidR="003145B2">
        <w:t xml:space="preserve"> </w:t>
      </w:r>
      <w:r w:rsidR="00E75DE4">
        <w:t>Beginning with a review of the firm’s key strategic issues, the analysis should proceed with an assessment of the internal and external environmental factors relevant to establishing an effective strategy.</w:t>
      </w:r>
      <w:r w:rsidR="00A45300">
        <w:t xml:space="preserve">  </w:t>
      </w:r>
    </w:p>
    <w:p w:rsidR="00AC09FB" w:rsidRDefault="00AC09FB" w:rsidP="00493047"/>
    <w:p w:rsidR="00FA4B98" w:rsidRDefault="00FA4B98" w:rsidP="0083176C">
      <w:pPr>
        <w:pStyle w:val="ListParagraph"/>
        <w:numPr>
          <w:ilvl w:val="0"/>
          <w:numId w:val="1"/>
        </w:numPr>
      </w:pPr>
      <w:r>
        <w:t xml:space="preserve">Clearly define the </w:t>
      </w:r>
      <w:r w:rsidR="00BA543B">
        <w:t xml:space="preserve">foremost </w:t>
      </w:r>
      <w:r>
        <w:t xml:space="preserve">strategic challenges confronting </w:t>
      </w:r>
      <w:r w:rsidR="00DC54C4">
        <w:t xml:space="preserve">AT&amp;T </w:t>
      </w:r>
      <w:r w:rsidR="008A3A15">
        <w:t xml:space="preserve">at this time. </w:t>
      </w:r>
      <w:r>
        <w:t>What tools or steps are needed for the company to satisfy stakeholder expectations?</w:t>
      </w:r>
    </w:p>
    <w:p w:rsidR="0027318B" w:rsidRDefault="00BA543B" w:rsidP="0083176C">
      <w:pPr>
        <w:pStyle w:val="ListParagraph"/>
        <w:numPr>
          <w:ilvl w:val="0"/>
          <w:numId w:val="1"/>
        </w:numPr>
        <w:spacing w:after="120"/>
      </w:pPr>
      <w:r>
        <w:t>Examine AT&amp;T’s i</w:t>
      </w:r>
      <w:r w:rsidR="00F5393D">
        <w:t>nternal</w:t>
      </w:r>
      <w:r w:rsidR="008A3A15">
        <w:t xml:space="preserve"> capabilities. </w:t>
      </w:r>
      <w:r>
        <w:t>What are the important considerations for shaping an effective business strategy?</w:t>
      </w:r>
    </w:p>
    <w:p w:rsidR="0027318B" w:rsidRDefault="00BA543B" w:rsidP="0083176C">
      <w:pPr>
        <w:pStyle w:val="ListParagraph"/>
        <w:numPr>
          <w:ilvl w:val="0"/>
          <w:numId w:val="1"/>
        </w:numPr>
        <w:spacing w:after="120"/>
      </w:pPr>
      <w:r>
        <w:t>Examine the e</w:t>
      </w:r>
      <w:r w:rsidR="00F5393D">
        <w:t>xternal</w:t>
      </w:r>
      <w:r>
        <w:t xml:space="preserve"> environmental forces affecting </w:t>
      </w:r>
      <w:r w:rsidR="00C85CAE">
        <w:t>the company</w:t>
      </w:r>
      <w:r>
        <w:t>’s strategic decisions</w:t>
      </w:r>
      <w:r w:rsidR="00C85CAE">
        <w:t>.</w:t>
      </w:r>
      <w:r w:rsidR="008A3A15">
        <w:t xml:space="preserve"> </w:t>
      </w:r>
      <w:r w:rsidR="009C642B">
        <w:t>Highlight the most relevant considerations.</w:t>
      </w:r>
    </w:p>
    <w:p w:rsidR="00F5393D" w:rsidRDefault="00C85CAE" w:rsidP="0083176C">
      <w:pPr>
        <w:pStyle w:val="ListParagraph"/>
        <w:numPr>
          <w:ilvl w:val="0"/>
          <w:numId w:val="1"/>
        </w:numPr>
      </w:pPr>
      <w:r>
        <w:t>Is the company’s current strategy suitable for the exis</w:t>
      </w:r>
      <w:r w:rsidR="008A3A15">
        <w:t xml:space="preserve">ting situation and conditions? </w:t>
      </w:r>
      <w:r>
        <w:t xml:space="preserve"> What recommendations can be made to address strategic concerns and safeguard AT&amp;T’s financial stability?</w:t>
      </w:r>
    </w:p>
    <w:p w:rsidR="00B64C67" w:rsidRPr="00FA4B98" w:rsidRDefault="00B64C67" w:rsidP="00B64C67">
      <w:pPr>
        <w:pStyle w:val="ListParagraph"/>
        <w:rPr>
          <w:sz w:val="28"/>
          <w:szCs w:val="28"/>
        </w:rPr>
      </w:pPr>
    </w:p>
    <w:p w:rsidR="002D6F5B" w:rsidRPr="005051DE" w:rsidRDefault="002D6F5B" w:rsidP="002D6F5B">
      <w:pPr>
        <w:pBdr>
          <w:bottom w:val="single" w:sz="12" w:space="1" w:color="auto"/>
        </w:pBdr>
        <w:rPr>
          <w:b/>
          <w:bCs/>
          <w:spacing w:val="20"/>
        </w:rPr>
      </w:pPr>
      <w:r>
        <w:rPr>
          <w:b/>
          <w:bCs/>
          <w:spacing w:val="20"/>
        </w:rPr>
        <w:t>ANALYSIS</w:t>
      </w:r>
    </w:p>
    <w:p w:rsidR="00FA4B98" w:rsidRDefault="00FA4B98" w:rsidP="00FA4B98"/>
    <w:p w:rsidR="00F5393D" w:rsidRPr="00FA4B98" w:rsidRDefault="004E5E77" w:rsidP="0083176C">
      <w:pPr>
        <w:pStyle w:val="ListParagraph"/>
        <w:numPr>
          <w:ilvl w:val="0"/>
          <w:numId w:val="3"/>
        </w:numPr>
        <w:rPr>
          <w:b/>
          <w:i/>
        </w:rPr>
      </w:pPr>
      <w:r w:rsidRPr="00FA4B98">
        <w:rPr>
          <w:b/>
          <w:i/>
        </w:rPr>
        <w:t>Clearly define the important s</w:t>
      </w:r>
      <w:r w:rsidR="00F5393D" w:rsidRPr="00FA4B98">
        <w:rPr>
          <w:b/>
          <w:i/>
        </w:rPr>
        <w:t xml:space="preserve">trategic </w:t>
      </w:r>
      <w:r w:rsidRPr="00FA4B98">
        <w:rPr>
          <w:b/>
          <w:i/>
        </w:rPr>
        <w:t>c</w:t>
      </w:r>
      <w:r w:rsidR="00F5393D" w:rsidRPr="00FA4B98">
        <w:rPr>
          <w:b/>
          <w:i/>
        </w:rPr>
        <w:t>hallenges</w:t>
      </w:r>
      <w:r w:rsidRPr="00FA4B98">
        <w:rPr>
          <w:b/>
          <w:i/>
        </w:rPr>
        <w:t xml:space="preserve"> confronting AT&amp;T at this ti</w:t>
      </w:r>
      <w:r w:rsidR="008A3A15">
        <w:rPr>
          <w:b/>
          <w:i/>
        </w:rPr>
        <w:t>me.</w:t>
      </w:r>
      <w:r w:rsidRPr="00FA4B98">
        <w:rPr>
          <w:b/>
          <w:i/>
        </w:rPr>
        <w:t xml:space="preserve"> What tools or steps are needed for the company to satisfy stakeholder expectations?</w:t>
      </w:r>
    </w:p>
    <w:p w:rsidR="00E65B9A" w:rsidRDefault="00E65B9A" w:rsidP="00E65B9A"/>
    <w:p w:rsidR="00E65B9A" w:rsidRDefault="00E65B9A" w:rsidP="00E65B9A">
      <w:r>
        <w:tab/>
        <w:t>Stephenson faces a c</w:t>
      </w:r>
      <w:r w:rsidR="006F7755">
        <w:t xml:space="preserve">omplex set </w:t>
      </w:r>
      <w:r w:rsidR="00017033">
        <w:t xml:space="preserve">of </w:t>
      </w:r>
      <w:r>
        <w:t xml:space="preserve">problems </w:t>
      </w:r>
      <w:r w:rsidR="00DC54C4">
        <w:t xml:space="preserve">that have </w:t>
      </w:r>
      <w:r>
        <w:t>st</w:t>
      </w:r>
      <w:r w:rsidR="008A3A15">
        <w:t xml:space="preserve">rategic implications for AT&amp;T. </w:t>
      </w:r>
      <w:r>
        <w:t>Following the framework presented in the case, the critical issues requiring attention from the firm’s leadership team are outlined below</w:t>
      </w:r>
      <w:r w:rsidR="009C642B">
        <w:t>, along with suggested measures to address these pressing concerns</w:t>
      </w:r>
      <w:r>
        <w:t xml:space="preserve">.  </w:t>
      </w:r>
    </w:p>
    <w:p w:rsidR="009D7529" w:rsidRPr="00E65B9A" w:rsidRDefault="009D7529" w:rsidP="00E65B9A"/>
    <w:tbl>
      <w:tblPr>
        <w:tblStyle w:val="LightList"/>
        <w:tblW w:w="0" w:type="auto"/>
        <w:jc w:val="center"/>
        <w:tblLook w:val="04A0"/>
      </w:tblPr>
      <w:tblGrid>
        <w:gridCol w:w="512"/>
        <w:gridCol w:w="3292"/>
        <w:gridCol w:w="4760"/>
      </w:tblGrid>
      <w:tr w:rsidR="005629F7">
        <w:trPr>
          <w:cnfStyle w:val="100000000000"/>
          <w:jc w:val="center"/>
        </w:trPr>
        <w:tc>
          <w:tcPr>
            <w:cnfStyle w:val="001000000000"/>
            <w:tcW w:w="506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B40BB2" w:rsidRDefault="00B40BB2" w:rsidP="00E65B9A"/>
        </w:tc>
        <w:tc>
          <w:tcPr>
            <w:tcW w:w="3292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B40BB2" w:rsidRDefault="005629F7" w:rsidP="005A2946">
            <w:pPr>
              <w:cnfStyle w:val="100000000000"/>
            </w:pPr>
            <w:r w:rsidRPr="005629F7">
              <w:rPr>
                <w:color w:val="auto"/>
              </w:rPr>
              <w:t>Strategic C</w:t>
            </w:r>
            <w:r w:rsidR="005A2946">
              <w:rPr>
                <w:color w:val="auto"/>
              </w:rPr>
              <w:t>oncern</w:t>
            </w:r>
          </w:p>
        </w:tc>
        <w:tc>
          <w:tcPr>
            <w:tcW w:w="4760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B40BB2" w:rsidRPr="005629F7" w:rsidRDefault="005A2946" w:rsidP="00E65B9A">
            <w:pPr>
              <w:cnfStyle w:val="100000000000"/>
              <w:rPr>
                <w:color w:val="auto"/>
              </w:rPr>
            </w:pPr>
            <w:r>
              <w:rPr>
                <w:color w:val="auto"/>
              </w:rPr>
              <w:t>Needed Measures</w:t>
            </w:r>
          </w:p>
        </w:tc>
      </w:tr>
      <w:tr w:rsidR="009D7529">
        <w:trPr>
          <w:cnfStyle w:val="000000100000"/>
          <w:jc w:val="center"/>
        </w:trPr>
        <w:tc>
          <w:tcPr>
            <w:cnfStyle w:val="001000000000"/>
            <w:tcW w:w="50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9D7529" w:rsidRDefault="009D7529" w:rsidP="005629F7">
            <w:pPr>
              <w:ind w:left="113" w:right="113"/>
              <w:jc w:val="center"/>
            </w:pPr>
            <w:r>
              <w:t>Firm-Wide</w:t>
            </w:r>
          </w:p>
        </w:tc>
        <w:tc>
          <w:tcPr>
            <w:tcW w:w="3292" w:type="dxa"/>
            <w:tcBorders>
              <w:top w:val="single" w:sz="12" w:space="0" w:color="auto"/>
              <w:left w:val="single" w:sz="12" w:space="0" w:color="auto"/>
            </w:tcBorders>
          </w:tcPr>
          <w:p w:rsidR="009D7529" w:rsidRDefault="009D7529" w:rsidP="009C642B">
            <w:pPr>
              <w:cnfStyle w:val="000000100000"/>
            </w:pPr>
            <w:r>
              <w:t xml:space="preserve">Business </w:t>
            </w:r>
            <w:r w:rsidR="001C5990">
              <w:t>t</w:t>
            </w:r>
            <w:r>
              <w:t xml:space="preserve">ransformation </w:t>
            </w:r>
          </w:p>
        </w:tc>
        <w:tc>
          <w:tcPr>
            <w:tcW w:w="4760" w:type="dxa"/>
            <w:tcBorders>
              <w:top w:val="single" w:sz="12" w:space="0" w:color="auto"/>
            </w:tcBorders>
          </w:tcPr>
          <w:p w:rsidR="009D7529" w:rsidRDefault="001C5990" w:rsidP="001C5990">
            <w:pPr>
              <w:cnfStyle w:val="000000100000"/>
            </w:pPr>
            <w:r>
              <w:t>Growth s</w:t>
            </w:r>
            <w:r w:rsidR="00286FF6">
              <w:t>trategy</w:t>
            </w:r>
            <w:r>
              <w:t xml:space="preserve"> aimed at new revenue sources</w:t>
            </w:r>
            <w:r w:rsidR="00286FF6">
              <w:t xml:space="preserve"> </w:t>
            </w:r>
          </w:p>
        </w:tc>
      </w:tr>
      <w:tr w:rsidR="009D7529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</w:tcPr>
          <w:p w:rsidR="009D7529" w:rsidRDefault="009D7529" w:rsidP="00E65B9A"/>
        </w:tc>
        <w:tc>
          <w:tcPr>
            <w:tcW w:w="3292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</w:tcPr>
          <w:p w:rsidR="009D7529" w:rsidRDefault="009D7529" w:rsidP="00E65B9A">
            <w:pPr>
              <w:cnfStyle w:val="000000000000"/>
            </w:pPr>
          </w:p>
        </w:tc>
        <w:tc>
          <w:tcPr>
            <w:tcW w:w="4760" w:type="dxa"/>
          </w:tcPr>
          <w:p w:rsidR="009D7529" w:rsidRDefault="009D7529" w:rsidP="001C5990">
            <w:pPr>
              <w:cnfStyle w:val="000000000000"/>
            </w:pPr>
            <w:r>
              <w:t xml:space="preserve">Rebalance of </w:t>
            </w:r>
            <w:r w:rsidR="001C5990">
              <w:t>d</w:t>
            </w:r>
            <w:r>
              <w:t xml:space="preserve">iversified </w:t>
            </w:r>
            <w:r w:rsidR="001C5990">
              <w:t>p</w:t>
            </w:r>
            <w:r>
              <w:t xml:space="preserve">roduct </w:t>
            </w:r>
            <w:r w:rsidR="001C5990">
              <w:t>m</w:t>
            </w:r>
            <w:r>
              <w:t>ix</w:t>
            </w:r>
          </w:p>
        </w:tc>
      </w:tr>
      <w:tr w:rsidR="009D7529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9D7529" w:rsidRDefault="009D7529" w:rsidP="00E65B9A"/>
        </w:tc>
        <w:tc>
          <w:tcPr>
            <w:tcW w:w="3292" w:type="dxa"/>
            <w:tcBorders>
              <w:left w:val="single" w:sz="12" w:space="0" w:color="auto"/>
            </w:tcBorders>
          </w:tcPr>
          <w:p w:rsidR="009D7529" w:rsidRDefault="009D7529" w:rsidP="00E65B9A">
            <w:pPr>
              <w:cnfStyle w:val="000000100000"/>
            </w:pPr>
          </w:p>
        </w:tc>
        <w:tc>
          <w:tcPr>
            <w:tcW w:w="4760" w:type="dxa"/>
          </w:tcPr>
          <w:p w:rsidR="009D7529" w:rsidRDefault="009D7529" w:rsidP="001C5990">
            <w:pPr>
              <w:cnfStyle w:val="000000100000"/>
            </w:pPr>
            <w:r>
              <w:t xml:space="preserve">Infrastructure and </w:t>
            </w:r>
            <w:r w:rsidR="001C5990">
              <w:t>r</w:t>
            </w:r>
            <w:r>
              <w:t xml:space="preserve">esources to </w:t>
            </w:r>
            <w:r w:rsidR="001C5990">
              <w:t>s</w:t>
            </w:r>
            <w:r>
              <w:t xml:space="preserve">upport </w:t>
            </w:r>
            <w:r w:rsidR="001C5990">
              <w:t>g</w:t>
            </w:r>
            <w:r>
              <w:t xml:space="preserve">rowing </w:t>
            </w:r>
            <w:r w:rsidR="001C5990">
              <w:t>s</w:t>
            </w:r>
            <w:r>
              <w:t>egments</w:t>
            </w:r>
          </w:p>
        </w:tc>
      </w:tr>
      <w:tr w:rsidR="009D7529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</w:tcPr>
          <w:p w:rsidR="009D7529" w:rsidRDefault="009D7529" w:rsidP="00E65B9A"/>
        </w:tc>
        <w:tc>
          <w:tcPr>
            <w:tcW w:w="3292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</w:tcPr>
          <w:p w:rsidR="009D7529" w:rsidRDefault="009D7529" w:rsidP="001C5990">
            <w:pPr>
              <w:cnfStyle w:val="000000000000"/>
            </w:pPr>
            <w:r>
              <w:t xml:space="preserve">Multipoint </w:t>
            </w:r>
            <w:r w:rsidR="001C5990">
              <w:t>c</w:t>
            </w:r>
            <w:r>
              <w:t>ompetition</w:t>
            </w:r>
          </w:p>
        </w:tc>
        <w:tc>
          <w:tcPr>
            <w:tcW w:w="4760" w:type="dxa"/>
          </w:tcPr>
          <w:p w:rsidR="009D7529" w:rsidRDefault="009D7529" w:rsidP="001C5990">
            <w:pPr>
              <w:cnfStyle w:val="000000000000"/>
            </w:pPr>
            <w:r>
              <w:t xml:space="preserve">Brand </w:t>
            </w:r>
            <w:r w:rsidR="001C5990">
              <w:t>m</w:t>
            </w:r>
            <w:r>
              <w:t>anagement</w:t>
            </w:r>
          </w:p>
        </w:tc>
      </w:tr>
      <w:tr w:rsidR="009D7529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9D7529" w:rsidRDefault="009D7529" w:rsidP="00E65B9A"/>
        </w:tc>
        <w:tc>
          <w:tcPr>
            <w:tcW w:w="3292" w:type="dxa"/>
            <w:tcBorders>
              <w:left w:val="single" w:sz="12" w:space="0" w:color="auto"/>
            </w:tcBorders>
          </w:tcPr>
          <w:p w:rsidR="009D7529" w:rsidRDefault="009D7529" w:rsidP="00E65B9A">
            <w:pPr>
              <w:cnfStyle w:val="000000100000"/>
            </w:pPr>
          </w:p>
        </w:tc>
        <w:tc>
          <w:tcPr>
            <w:tcW w:w="4760" w:type="dxa"/>
          </w:tcPr>
          <w:p w:rsidR="009D7529" w:rsidRDefault="009D7529" w:rsidP="001C5990">
            <w:pPr>
              <w:cnfStyle w:val="000000100000"/>
            </w:pPr>
            <w:r>
              <w:t xml:space="preserve">Improved </w:t>
            </w:r>
            <w:r w:rsidR="001C5990">
              <w:t>s</w:t>
            </w:r>
            <w:r>
              <w:t xml:space="preserve">ervice </w:t>
            </w:r>
            <w:r w:rsidR="001C5990">
              <w:t>q</w:t>
            </w:r>
            <w:r>
              <w:t xml:space="preserve">uality </w:t>
            </w:r>
            <w:r w:rsidR="001C5990">
              <w:t>i</w:t>
            </w:r>
            <w:r>
              <w:t>mage</w:t>
            </w:r>
          </w:p>
        </w:tc>
      </w:tr>
      <w:tr w:rsidR="009D7529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</w:tcPr>
          <w:p w:rsidR="009D7529" w:rsidRDefault="009D7529" w:rsidP="00E65B9A"/>
        </w:tc>
        <w:tc>
          <w:tcPr>
            <w:tcW w:w="3292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</w:tcPr>
          <w:p w:rsidR="009D7529" w:rsidRDefault="009D7529" w:rsidP="00E65B9A">
            <w:pPr>
              <w:cnfStyle w:val="000000000000"/>
            </w:pPr>
          </w:p>
        </w:tc>
        <w:tc>
          <w:tcPr>
            <w:tcW w:w="4760" w:type="dxa"/>
            <w:tcBorders>
              <w:bottom w:val="single" w:sz="8" w:space="0" w:color="000000" w:themeColor="text1"/>
            </w:tcBorders>
          </w:tcPr>
          <w:p w:rsidR="009D7529" w:rsidRDefault="009D7529" w:rsidP="001C5990">
            <w:pPr>
              <w:cnfStyle w:val="000000000000"/>
            </w:pPr>
            <w:r>
              <w:t xml:space="preserve">Resource and </w:t>
            </w:r>
            <w:r w:rsidR="001C5990">
              <w:t>c</w:t>
            </w:r>
            <w:r>
              <w:t xml:space="preserve">ompetency </w:t>
            </w:r>
            <w:r w:rsidR="001C5990">
              <w:t>s</w:t>
            </w:r>
            <w:r>
              <w:t>haring</w:t>
            </w:r>
          </w:p>
        </w:tc>
      </w:tr>
    </w:tbl>
    <w:p w:rsidR="00E110FC" w:rsidRDefault="00E110FC"/>
    <w:tbl>
      <w:tblPr>
        <w:tblStyle w:val="LightList"/>
        <w:tblW w:w="0" w:type="auto"/>
        <w:jc w:val="center"/>
        <w:tblLook w:val="04A0"/>
      </w:tblPr>
      <w:tblGrid>
        <w:gridCol w:w="512"/>
        <w:gridCol w:w="3503"/>
        <w:gridCol w:w="4400"/>
      </w:tblGrid>
      <w:tr w:rsidR="00E110FC">
        <w:trPr>
          <w:cnfStyle w:val="100000000000"/>
          <w:jc w:val="center"/>
        </w:trPr>
        <w:tc>
          <w:tcPr>
            <w:cnfStyle w:val="001000000000"/>
            <w:tcW w:w="506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E110FC" w:rsidRDefault="00E110FC" w:rsidP="00976E52"/>
        </w:tc>
        <w:tc>
          <w:tcPr>
            <w:tcW w:w="3503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E110FC" w:rsidRPr="009C642B" w:rsidRDefault="00E110FC" w:rsidP="00976E52">
            <w:pPr>
              <w:cnfStyle w:val="100000000000"/>
            </w:pPr>
            <w:r w:rsidRPr="009C642B">
              <w:rPr>
                <w:color w:val="auto"/>
              </w:rPr>
              <w:t>Strategic Concern</w:t>
            </w:r>
          </w:p>
        </w:tc>
        <w:tc>
          <w:tcPr>
            <w:tcW w:w="4400" w:type="dxa"/>
            <w:tcBorders>
              <w:top w:val="single" w:sz="8" w:space="0" w:color="000000" w:themeColor="text1"/>
              <w:bottom w:val="single" w:sz="12" w:space="0" w:color="auto"/>
            </w:tcBorders>
            <w:shd w:val="clear" w:color="auto" w:fill="D9D9D9" w:themeFill="background1" w:themeFillShade="D9"/>
          </w:tcPr>
          <w:p w:rsidR="00E110FC" w:rsidRPr="009C642B" w:rsidRDefault="00E110FC" w:rsidP="00976E52">
            <w:pPr>
              <w:cnfStyle w:val="100000000000"/>
              <w:rPr>
                <w:color w:val="auto"/>
              </w:rPr>
            </w:pPr>
            <w:r w:rsidRPr="009C642B">
              <w:rPr>
                <w:color w:val="auto"/>
              </w:rPr>
              <w:t>Needed Measures</w:t>
            </w:r>
          </w:p>
        </w:tc>
      </w:tr>
      <w:tr w:rsidR="001C5990">
        <w:trPr>
          <w:cnfStyle w:val="000000100000"/>
          <w:jc w:val="center"/>
        </w:trPr>
        <w:tc>
          <w:tcPr>
            <w:cnfStyle w:val="001000000000"/>
            <w:tcW w:w="50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1C5990" w:rsidRDefault="001C5990" w:rsidP="001C5990">
            <w:pPr>
              <w:ind w:left="113" w:right="113"/>
              <w:jc w:val="center"/>
            </w:pPr>
            <w:r w:rsidRPr="00E110FC">
              <w:t>Wireless Division</w:t>
            </w:r>
          </w:p>
        </w:tc>
        <w:tc>
          <w:tcPr>
            <w:tcW w:w="350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1C5990" w:rsidRPr="00E110FC" w:rsidRDefault="008A3A15" w:rsidP="00E65B9A">
            <w:pPr>
              <w:cnfStyle w:val="000000100000"/>
            </w:pPr>
            <w:r>
              <w:t>Saturated US</w:t>
            </w:r>
            <w:r w:rsidR="001C5990" w:rsidRPr="00E110FC">
              <w:t xml:space="preserve"> markets</w:t>
            </w:r>
          </w:p>
        </w:tc>
        <w:tc>
          <w:tcPr>
            <w:tcW w:w="440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C5990" w:rsidRPr="00E110FC" w:rsidRDefault="003E1394" w:rsidP="00E65B9A">
            <w:pPr>
              <w:cnfStyle w:val="000000100000"/>
            </w:pPr>
            <w:r w:rsidRPr="00E110FC">
              <w:t>Global strategy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E65B9A">
            <w:pPr>
              <w:cnfStyle w:val="000000000000"/>
            </w:pPr>
          </w:p>
        </w:tc>
        <w:tc>
          <w:tcPr>
            <w:tcW w:w="4400" w:type="dxa"/>
          </w:tcPr>
          <w:p w:rsidR="001C5990" w:rsidRDefault="003E1394" w:rsidP="00E65B9A">
            <w:pPr>
              <w:cnfStyle w:val="000000000000"/>
            </w:pPr>
            <w:r>
              <w:t>Increased domestic appeal</w:t>
            </w:r>
          </w:p>
        </w:tc>
      </w:tr>
      <w:tr w:rsidR="001C5990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1C5990">
            <w:pPr>
              <w:cnfStyle w:val="000000100000"/>
            </w:pPr>
            <w:r>
              <w:t>Loss of iPhone exclusivity</w:t>
            </w:r>
          </w:p>
        </w:tc>
        <w:tc>
          <w:tcPr>
            <w:tcW w:w="4400" w:type="dxa"/>
          </w:tcPr>
          <w:p w:rsidR="001C5990" w:rsidRDefault="005D3B4B" w:rsidP="00E65B9A">
            <w:pPr>
              <w:cnfStyle w:val="000000100000"/>
            </w:pPr>
            <w:r>
              <w:t>Competitive strategy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E65B9A">
            <w:pPr>
              <w:cnfStyle w:val="000000000000"/>
            </w:pPr>
          </w:p>
        </w:tc>
        <w:tc>
          <w:tcPr>
            <w:tcW w:w="4400" w:type="dxa"/>
          </w:tcPr>
          <w:p w:rsidR="001C5990" w:rsidRDefault="003E1394" w:rsidP="00E65B9A">
            <w:pPr>
              <w:cnfStyle w:val="000000000000"/>
            </w:pPr>
            <w:r>
              <w:t xml:space="preserve">Defensive posture </w:t>
            </w:r>
          </w:p>
        </w:tc>
      </w:tr>
      <w:tr w:rsidR="005629F7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629F7" w:rsidRDefault="005629F7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5629F7" w:rsidRDefault="005629F7" w:rsidP="001C5990">
            <w:pPr>
              <w:cnfStyle w:val="000000100000"/>
            </w:pPr>
          </w:p>
        </w:tc>
        <w:tc>
          <w:tcPr>
            <w:tcW w:w="4400" w:type="dxa"/>
          </w:tcPr>
          <w:p w:rsidR="005629F7" w:rsidRDefault="005629F7" w:rsidP="005629F7">
            <w:pPr>
              <w:cnfStyle w:val="000000100000"/>
            </w:pPr>
            <w:r>
              <w:t>New competitive advantages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bottom w:val="single" w:sz="8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1C5990" w:rsidRDefault="001C5990" w:rsidP="00E65B9A"/>
        </w:tc>
        <w:tc>
          <w:tcPr>
            <w:tcW w:w="3503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</w:tcBorders>
          </w:tcPr>
          <w:p w:rsidR="001C5990" w:rsidRDefault="001C5990" w:rsidP="009C642B">
            <w:pPr>
              <w:cnfStyle w:val="000000000000"/>
            </w:pPr>
            <w:r>
              <w:t>Wireless capacity</w:t>
            </w:r>
          </w:p>
        </w:tc>
        <w:tc>
          <w:tcPr>
            <w:tcW w:w="4400" w:type="dxa"/>
          </w:tcPr>
          <w:p w:rsidR="001C5990" w:rsidRDefault="003E1394" w:rsidP="00E65B9A">
            <w:pPr>
              <w:cnfStyle w:val="000000000000"/>
            </w:pPr>
            <w:r>
              <w:t>Infrastructure advancements</w:t>
            </w:r>
          </w:p>
        </w:tc>
      </w:tr>
      <w:tr w:rsidR="009C642B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C642B" w:rsidRDefault="009C642B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9C642B" w:rsidRDefault="009C642B" w:rsidP="001C5990">
            <w:pPr>
              <w:cnfStyle w:val="000000100000"/>
            </w:pPr>
          </w:p>
        </w:tc>
        <w:tc>
          <w:tcPr>
            <w:tcW w:w="4400" w:type="dxa"/>
          </w:tcPr>
          <w:p w:rsidR="009C642B" w:rsidRDefault="009C642B" w:rsidP="001C5990">
            <w:pPr>
              <w:cnfStyle w:val="000000100000"/>
            </w:pPr>
            <w:r>
              <w:t>Variable pricing model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1C5990">
            <w:pPr>
              <w:cnfStyle w:val="000000000000"/>
            </w:pPr>
            <w:r>
              <w:t>Service quality</w:t>
            </w:r>
          </w:p>
        </w:tc>
        <w:tc>
          <w:tcPr>
            <w:tcW w:w="4400" w:type="dxa"/>
          </w:tcPr>
          <w:p w:rsidR="001C5990" w:rsidRDefault="001C5990" w:rsidP="001C5990">
            <w:pPr>
              <w:cnfStyle w:val="000000000000"/>
            </w:pPr>
            <w:r>
              <w:t>Enhanced brand image</w:t>
            </w:r>
          </w:p>
        </w:tc>
      </w:tr>
      <w:tr w:rsidR="001C5990">
        <w:trPr>
          <w:cnfStyle w:val="000000100000"/>
          <w:jc w:val="center"/>
        </w:trPr>
        <w:tc>
          <w:tcPr>
            <w:cnfStyle w:val="001000000000"/>
            <w:tcW w:w="50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C5990" w:rsidRDefault="001C5990" w:rsidP="00FA4B98">
            <w:pPr>
              <w:ind w:left="113" w:right="113"/>
              <w:jc w:val="center"/>
            </w:pPr>
            <w:r>
              <w:t>Wireline Division</w:t>
            </w:r>
          </w:p>
        </w:tc>
        <w:tc>
          <w:tcPr>
            <w:tcW w:w="3503" w:type="dxa"/>
            <w:tcBorders>
              <w:top w:val="single" w:sz="12" w:space="0" w:color="auto"/>
              <w:left w:val="single" w:sz="12" w:space="0" w:color="auto"/>
            </w:tcBorders>
          </w:tcPr>
          <w:p w:rsidR="001C5990" w:rsidRDefault="004A5F76" w:rsidP="004A5F76">
            <w:pPr>
              <w:cnfStyle w:val="000000100000"/>
            </w:pPr>
            <w:r>
              <w:t xml:space="preserve">Government regulation of legacy phone </w:t>
            </w:r>
            <w:r w:rsidR="00076F4F">
              <w:t xml:space="preserve">lines </w:t>
            </w:r>
            <w:r>
              <w:t>and v</w:t>
            </w:r>
            <w:r w:rsidR="001C5990">
              <w:t xml:space="preserve">ideo </w:t>
            </w:r>
            <w:r>
              <w:t>s</w:t>
            </w:r>
            <w:r w:rsidR="001C5990">
              <w:t>tr</w:t>
            </w:r>
            <w:r>
              <w:t>eaming</w:t>
            </w:r>
          </w:p>
        </w:tc>
        <w:tc>
          <w:tcPr>
            <w:tcW w:w="4400" w:type="dxa"/>
            <w:tcBorders>
              <w:top w:val="single" w:sz="12" w:space="0" w:color="auto"/>
            </w:tcBorders>
          </w:tcPr>
          <w:p w:rsidR="001C5990" w:rsidRDefault="00076F4F" w:rsidP="000B3E08">
            <w:pPr>
              <w:cnfStyle w:val="000000100000"/>
            </w:pPr>
            <w:r>
              <w:t>Lobbying efforts to reduce regulat</w:t>
            </w:r>
            <w:r w:rsidR="000B3E08">
              <w:t>ory</w:t>
            </w:r>
            <w:r>
              <w:t xml:space="preserve"> burden</w:t>
            </w:r>
            <w:r w:rsidR="000B3E08">
              <w:t>s</w:t>
            </w:r>
            <w:r>
              <w:t xml:space="preserve"> 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E65B9A">
            <w:pPr>
              <w:cnfStyle w:val="000000000000"/>
            </w:pPr>
          </w:p>
        </w:tc>
        <w:tc>
          <w:tcPr>
            <w:tcW w:w="4400" w:type="dxa"/>
          </w:tcPr>
          <w:p w:rsidR="001C5990" w:rsidRDefault="005629F7" w:rsidP="005629F7">
            <w:pPr>
              <w:cnfStyle w:val="000000000000"/>
            </w:pPr>
            <w:r>
              <w:t>Define cost structure and video strategy to address state and local cable laws</w:t>
            </w:r>
          </w:p>
        </w:tc>
      </w:tr>
      <w:tr w:rsidR="001C5990">
        <w:trPr>
          <w:cnfStyle w:val="000000100000"/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FA4B98" w:rsidP="00076F4F">
            <w:pPr>
              <w:cnfStyle w:val="000000100000"/>
            </w:pPr>
            <w:r>
              <w:t xml:space="preserve">Media </w:t>
            </w:r>
            <w:r w:rsidR="00076F4F">
              <w:t>delivery methods</w:t>
            </w:r>
          </w:p>
        </w:tc>
        <w:tc>
          <w:tcPr>
            <w:tcW w:w="4400" w:type="dxa"/>
          </w:tcPr>
          <w:p w:rsidR="001C5990" w:rsidRDefault="000B3E08" w:rsidP="00E65B9A">
            <w:pPr>
              <w:cnfStyle w:val="000000100000"/>
            </w:pPr>
            <w:r>
              <w:t>Improve</w:t>
            </w:r>
            <w:r w:rsidR="00FA4B98">
              <w:t xml:space="preserve"> infrastructure for multiple delivery methods</w:t>
            </w:r>
          </w:p>
        </w:tc>
      </w:tr>
      <w:tr w:rsidR="001C5990">
        <w:trPr>
          <w:jc w:val="center"/>
        </w:trPr>
        <w:tc>
          <w:tcPr>
            <w:cnfStyle w:val="001000000000"/>
            <w:tcW w:w="506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1C5990" w:rsidRDefault="001C5990" w:rsidP="00E65B9A"/>
        </w:tc>
        <w:tc>
          <w:tcPr>
            <w:tcW w:w="3503" w:type="dxa"/>
            <w:tcBorders>
              <w:left w:val="single" w:sz="12" w:space="0" w:color="auto"/>
            </w:tcBorders>
          </w:tcPr>
          <w:p w:rsidR="001C5990" w:rsidRDefault="001C5990" w:rsidP="00E65B9A">
            <w:pPr>
              <w:cnfStyle w:val="000000000000"/>
            </w:pPr>
          </w:p>
        </w:tc>
        <w:tc>
          <w:tcPr>
            <w:tcW w:w="4400" w:type="dxa"/>
          </w:tcPr>
          <w:p w:rsidR="001C5990" w:rsidRDefault="00FA4B98" w:rsidP="00E65B9A">
            <w:pPr>
              <w:cnfStyle w:val="000000000000"/>
            </w:pPr>
            <w:r>
              <w:t>Acquisitions in entertainment/media industry</w:t>
            </w:r>
          </w:p>
        </w:tc>
      </w:tr>
    </w:tbl>
    <w:p w:rsidR="00F5393D" w:rsidRDefault="00F5393D" w:rsidP="00E110FC"/>
    <w:p w:rsidR="00BA543B" w:rsidRPr="00BA543B" w:rsidRDefault="00BA543B" w:rsidP="0083176C">
      <w:pPr>
        <w:pStyle w:val="ListParagraph"/>
        <w:numPr>
          <w:ilvl w:val="0"/>
          <w:numId w:val="3"/>
        </w:numPr>
        <w:rPr>
          <w:b/>
          <w:i/>
        </w:rPr>
      </w:pPr>
      <w:r w:rsidRPr="00BA543B">
        <w:rPr>
          <w:b/>
          <w:i/>
        </w:rPr>
        <w:t>Examine</w:t>
      </w:r>
      <w:r w:rsidR="008A3A15">
        <w:rPr>
          <w:b/>
          <w:i/>
        </w:rPr>
        <w:t xml:space="preserve"> AT&amp;T’s internal capabilities. </w:t>
      </w:r>
      <w:r w:rsidRPr="00BA543B">
        <w:rPr>
          <w:b/>
          <w:i/>
        </w:rPr>
        <w:t>What are the important considerations for shaping an effective business strategy?</w:t>
      </w:r>
    </w:p>
    <w:p w:rsidR="00E65B9A" w:rsidRDefault="00E65B9A" w:rsidP="00E110FC">
      <w:pPr>
        <w:pStyle w:val="ListParagraph"/>
        <w:ind w:left="0"/>
      </w:pPr>
    </w:p>
    <w:p w:rsidR="00584DF8" w:rsidRDefault="00BC05F7" w:rsidP="00584DF8">
      <w:r>
        <w:tab/>
        <w:t xml:space="preserve">AT&amp;T’s rich history of innovation goes back </w:t>
      </w:r>
      <w:r w:rsidR="008A3A15">
        <w:t>to the founding of the company.</w:t>
      </w:r>
      <w:r>
        <w:t xml:space="preserve"> Through keen leadership, AT&amp;T</w:t>
      </w:r>
      <w:r w:rsidR="000B3E08">
        <w:t>’s</w:t>
      </w:r>
      <w:r>
        <w:t xml:space="preserve"> respon</w:t>
      </w:r>
      <w:r w:rsidR="000B3E08">
        <w:t>se</w:t>
      </w:r>
      <w:r>
        <w:t xml:space="preserve"> to the evolving industry and regulatory modifications over the years </w:t>
      </w:r>
      <w:r w:rsidR="000B3E08">
        <w:t xml:space="preserve">has </w:t>
      </w:r>
      <w:r>
        <w:t>t</w:t>
      </w:r>
      <w:r w:rsidR="00E110FC">
        <w:t>ransform</w:t>
      </w:r>
      <w:r w:rsidR="000B3E08">
        <w:t>ed</w:t>
      </w:r>
      <w:r>
        <w:t xml:space="preserve"> the business </w:t>
      </w:r>
      <w:r w:rsidR="00E110FC">
        <w:t>i</w:t>
      </w:r>
      <w:r w:rsidR="00DC54C4">
        <w:t>nto the nation’s largest</w:t>
      </w:r>
      <w:r w:rsidR="00E110FC">
        <w:t xml:space="preserve"> provider of wireless, broadband, and telephone service</w:t>
      </w:r>
      <w:r w:rsidR="00DC54C4">
        <w:t>s</w:t>
      </w:r>
      <w:r w:rsidR="00901D24">
        <w:t>.</w:t>
      </w:r>
      <w:r>
        <w:t xml:space="preserve"> </w:t>
      </w:r>
      <w:r w:rsidR="000B3E08">
        <w:t>Now, t</w:t>
      </w:r>
      <w:r w:rsidR="00584DF8">
        <w:t>he company is again tasked with redefining the enterprise</w:t>
      </w:r>
      <w:r w:rsidR="000B3E08">
        <w:t>,</w:t>
      </w:r>
      <w:r w:rsidR="00584DF8">
        <w:t xml:space="preserve"> as it faces a steady decline in landline revenues</w:t>
      </w:r>
      <w:r w:rsidR="00DC54C4">
        <w:t xml:space="preserve"> and a h</w:t>
      </w:r>
      <w:r w:rsidR="00901D24">
        <w:t>ost of threats to the Wireless D</w:t>
      </w:r>
      <w:r w:rsidR="00DC54C4">
        <w:t>ivision</w:t>
      </w:r>
      <w:r w:rsidR="00584DF8">
        <w:t>.</w:t>
      </w:r>
    </w:p>
    <w:p w:rsidR="00584DF8" w:rsidRDefault="00584DF8" w:rsidP="00584DF8"/>
    <w:p w:rsidR="00584DF8" w:rsidRDefault="00584DF8" w:rsidP="00F5393D">
      <w:r>
        <w:tab/>
        <w:t xml:space="preserve">Despite the </w:t>
      </w:r>
      <w:r w:rsidR="000B3E08">
        <w:t xml:space="preserve">rapidly </w:t>
      </w:r>
      <w:r>
        <w:t xml:space="preserve">changing composition of sales, AT&amp;T has </w:t>
      </w:r>
      <w:r w:rsidR="000B3E08">
        <w:t xml:space="preserve">been able to </w:t>
      </w:r>
      <w:r>
        <w:t>achieve stable</w:t>
      </w:r>
      <w:r w:rsidR="008C1828">
        <w:t xml:space="preserve"> revenue growth</w:t>
      </w:r>
      <w:r>
        <w:t xml:space="preserve">, matching </w:t>
      </w:r>
      <w:r w:rsidR="008C1828">
        <w:t xml:space="preserve">traditional segment declines </w:t>
      </w:r>
      <w:r>
        <w:t>with the expansion of its</w:t>
      </w:r>
      <w:r w:rsidR="008C1828">
        <w:t xml:space="preserve"> wireless segment</w:t>
      </w:r>
      <w:r w:rsidR="00901D24">
        <w:t xml:space="preserve">. </w:t>
      </w:r>
      <w:r w:rsidR="00BA353F">
        <w:t xml:space="preserve">The table below breaks down revenues by business segment and illustrates the </w:t>
      </w:r>
      <w:r w:rsidR="000B3E08">
        <w:t xml:space="preserve">dramatic change in </w:t>
      </w:r>
      <w:r w:rsidR="00BA353F">
        <w:t xml:space="preserve">revenue structure over the past </w:t>
      </w:r>
      <w:r w:rsidR="000B3E08">
        <w:t>few</w:t>
      </w:r>
      <w:r w:rsidR="00BA353F">
        <w:t xml:space="preserve"> years.</w:t>
      </w:r>
    </w:p>
    <w:p w:rsidR="00584DF8" w:rsidRDefault="00584DF8" w:rsidP="00F5393D"/>
    <w:tbl>
      <w:tblPr>
        <w:tblW w:w="6443" w:type="dxa"/>
        <w:jc w:val="center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764"/>
        <w:gridCol w:w="663"/>
        <w:gridCol w:w="764"/>
        <w:gridCol w:w="663"/>
        <w:gridCol w:w="718"/>
        <w:gridCol w:w="718"/>
        <w:gridCol w:w="893"/>
      </w:tblGrid>
      <w:tr w:rsidR="00BA353F" w:rsidRPr="00AF43E5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Segment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 xml:space="preserve">Rev. Share </w:t>
            </w:r>
            <w:r w:rsidR="00BA353F"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Tot. Rev. 2007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 xml:space="preserve">Rev. Share </w:t>
            </w:r>
            <w:r w:rsidR="00BA353F"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Tot. Rev. 2010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 xml:space="preserve">Rev. </w:t>
            </w:r>
            <w:r w:rsidR="00BA353F"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0B3E08" w:rsidRDefault="000B3E08" w:rsidP="00976E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 xml:space="preserve">Rev. </w:t>
            </w:r>
            <w:r w:rsidR="00BA353F" w:rsidRPr="000B3E08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0B3E08" w:rsidRDefault="00587153" w:rsidP="00976E52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en-US"/>
              </w:rPr>
              <w:t>Rev. % Change</w:t>
            </w:r>
          </w:p>
        </w:tc>
      </w:tr>
      <w:tr w:rsidR="00BA353F" w:rsidRPr="00AF43E5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Wireless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32.4%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43.1%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38.6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53.5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38.6%</w:t>
            </w:r>
          </w:p>
        </w:tc>
      </w:tr>
      <w:tr w:rsidR="00BA353F" w:rsidRPr="00AF43E5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Wireline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53.8%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44.9%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64.0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55.7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-13.0%</w:t>
            </w:r>
          </w:p>
        </w:tc>
      </w:tr>
      <w:tr w:rsidR="00BA353F" w:rsidRPr="00AF43E5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Ad Services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4.0%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3.2%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4.8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4.0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-16.6%</w:t>
            </w:r>
          </w:p>
        </w:tc>
      </w:tr>
      <w:tr w:rsidR="00BA353F" w:rsidRPr="00AF43E5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Other 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9.7%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8.9%</w:t>
            </w:r>
          </w:p>
        </w:tc>
        <w:tc>
          <w:tcPr>
            <w:tcW w:w="663" w:type="dxa"/>
            <w:shd w:val="clear" w:color="auto" w:fill="auto"/>
            <w:noWrap/>
            <w:vAlign w:val="bottom"/>
          </w:tcPr>
          <w:p w:rsidR="00BA353F" w:rsidRPr="00AF43E5" w:rsidRDefault="00587153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11.5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11.0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-4.4%</w:t>
            </w:r>
          </w:p>
        </w:tc>
      </w:tr>
      <w:tr w:rsidR="00BA353F" w:rsidRPr="00AF43E5">
        <w:trPr>
          <w:trHeight w:val="105"/>
          <w:jc w:val="center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353F" w:rsidRPr="00AF43E5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Voice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40.8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BA353F" w:rsidRPr="00AF43E5" w:rsidRDefault="000B3E08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="00BA353F"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28.3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BA353F" w:rsidRPr="00AF43E5" w:rsidRDefault="00BA353F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-30.6%</w:t>
            </w:r>
          </w:p>
        </w:tc>
      </w:tr>
      <w:tr w:rsidR="002C2E37" w:rsidRPr="00AF43E5">
        <w:trPr>
          <w:trHeight w:val="300"/>
          <w:jc w:val="center"/>
        </w:trPr>
        <w:tc>
          <w:tcPr>
            <w:tcW w:w="202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2E37" w:rsidRPr="00AF43E5" w:rsidRDefault="002C2E37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2"/>
                <w:szCs w:val="22"/>
                <w:lang w:eastAsia="en-US"/>
              </w:rPr>
              <w:t>$Revenue in billions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2E37" w:rsidRPr="00AF43E5" w:rsidRDefault="002C2E37" w:rsidP="00976E5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2C2E37" w:rsidRPr="00AF43E5" w:rsidRDefault="002C2E37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U-verse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2C2E37" w:rsidRPr="00AF43E5" w:rsidRDefault="002C2E37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23.2</w:t>
            </w:r>
          </w:p>
        </w:tc>
        <w:tc>
          <w:tcPr>
            <w:tcW w:w="718" w:type="dxa"/>
            <w:shd w:val="clear" w:color="auto" w:fill="auto"/>
            <w:noWrap/>
            <w:vAlign w:val="bottom"/>
          </w:tcPr>
          <w:p w:rsidR="002C2E37" w:rsidRPr="00AF43E5" w:rsidRDefault="002C2E37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$</w:t>
            </w: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27.4</w:t>
            </w:r>
          </w:p>
        </w:tc>
        <w:tc>
          <w:tcPr>
            <w:tcW w:w="893" w:type="dxa"/>
            <w:shd w:val="clear" w:color="auto" w:fill="auto"/>
            <w:noWrap/>
            <w:vAlign w:val="bottom"/>
          </w:tcPr>
          <w:p w:rsidR="002C2E37" w:rsidRPr="00AF43E5" w:rsidRDefault="002C2E37" w:rsidP="00976E52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AF43E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17.9%</w:t>
            </w:r>
          </w:p>
        </w:tc>
      </w:tr>
    </w:tbl>
    <w:p w:rsidR="002C2E37" w:rsidRDefault="002C2E37" w:rsidP="0063019C"/>
    <w:p w:rsidR="00CF6F66" w:rsidRDefault="002C2E37" w:rsidP="0063019C">
      <w:r>
        <w:tab/>
      </w:r>
      <w:r w:rsidR="00BA353F">
        <w:t xml:space="preserve">These figures show that </w:t>
      </w:r>
      <w:r w:rsidR="00BE4021">
        <w:t>Voice products are down significantly</w:t>
      </w:r>
      <w:r w:rsidR="00DC54C4">
        <w:t>,</w:t>
      </w:r>
      <w:r w:rsidR="00BE4021">
        <w:t xml:space="preserve"> </w:t>
      </w:r>
      <w:r w:rsidR="00DC54C4">
        <w:t>due to the replacement of traditional landline service with mobile phones</w:t>
      </w:r>
      <w:r w:rsidR="00901D24">
        <w:t>.</w:t>
      </w:r>
      <w:r w:rsidR="00BE4021">
        <w:t xml:space="preserve"> </w:t>
      </w:r>
      <w:r w:rsidR="00FB5AB6">
        <w:t xml:space="preserve">In an effort to discover new avenues of growth beyond </w:t>
      </w:r>
      <w:r w:rsidR="00DC54C4">
        <w:t xml:space="preserve">the </w:t>
      </w:r>
      <w:r w:rsidR="00FB5AB6">
        <w:t>saturat</w:t>
      </w:r>
      <w:r w:rsidR="00DC54C4">
        <w:t>ed</w:t>
      </w:r>
      <w:r w:rsidR="00FB5AB6">
        <w:t xml:space="preserve"> cellular phone market, AT&amp;T is now pursuing opportunities to provide data and entertainment content through its existi</w:t>
      </w:r>
      <w:r w:rsidR="00901D24">
        <w:t xml:space="preserve">ng communications networks. </w:t>
      </w:r>
      <w:r w:rsidR="00DC54C4">
        <w:t>But d</w:t>
      </w:r>
      <w:r w:rsidR="00BE4021">
        <w:t>espite increased penetration rates of 1% per month, Data p</w:t>
      </w:r>
      <w:r w:rsidR="00901D24">
        <w:t xml:space="preserve">roduct growth has been modest. </w:t>
      </w:r>
      <w:r w:rsidR="00F1580F">
        <w:t xml:space="preserve">In fact, </w:t>
      </w:r>
      <w:r>
        <w:t>just</w:t>
      </w:r>
      <w:r w:rsidR="00F1580F">
        <w:t xml:space="preserve"> 501,000 new broadband connections were made in the past year, which represents only a 2.9% growth rate in this priorit</w:t>
      </w:r>
      <w:r w:rsidR="00901D24">
        <w:t xml:space="preserve">y market. </w:t>
      </w:r>
      <w:r w:rsidR="00BA353F">
        <w:t xml:space="preserve">Wireless is the only AT&amp;T division to experience </w:t>
      </w:r>
      <w:r w:rsidR="008C1828">
        <w:t xml:space="preserve">consistent growth </w:t>
      </w:r>
      <w:r w:rsidR="00901D24">
        <w:t xml:space="preserve">in recent years. </w:t>
      </w:r>
      <w:r w:rsidR="00BA353F">
        <w:t>This rapid growth is attributed to the company’s exclusive agreement with Apple to provide service for the widely</w:t>
      </w:r>
      <w:r w:rsidR="00901D24">
        <w:t xml:space="preserve"> </w:t>
      </w:r>
      <w:r w:rsidR="00BA353F">
        <w:t xml:space="preserve">popular iPhone and to </w:t>
      </w:r>
      <w:r>
        <w:t xml:space="preserve">the high-speed data transfer capabilities of </w:t>
      </w:r>
      <w:r w:rsidR="00BA353F">
        <w:t xml:space="preserve">its </w:t>
      </w:r>
      <w:r>
        <w:t>3G Network</w:t>
      </w:r>
      <w:r w:rsidR="00BA353F">
        <w:t xml:space="preserve">.  </w:t>
      </w:r>
    </w:p>
    <w:p w:rsidR="00CF6F66" w:rsidRDefault="00CF6F66" w:rsidP="0063019C"/>
    <w:p w:rsidR="0063019C" w:rsidRDefault="00CF6F66" w:rsidP="00BE4021">
      <w:r>
        <w:tab/>
      </w:r>
      <w:r w:rsidR="00BA353F">
        <w:t>However, the large amount of wireless traffic generated by iPhone and other new mobile computing devices has tested AT&amp;T’s capacity limits.</w:t>
      </w:r>
      <w:r w:rsidR="00BE4021">
        <w:t xml:space="preserve"> Handling up to half of all wireless traffic to satisfy iPhone’s data requirements has resulted in poor service quality and left the company vu</w:t>
      </w:r>
      <w:r w:rsidR="00DC54C4">
        <w:t>ln</w:t>
      </w:r>
      <w:r w:rsidR="00901D24">
        <w:t>erable to customer defections—</w:t>
      </w:r>
      <w:r w:rsidR="00BE4021">
        <w:t xml:space="preserve">especially with the entry of Verizon as an additional service provider for the iPhone and other </w:t>
      </w:r>
      <w:r w:rsidR="008C1828">
        <w:t xml:space="preserve">Apple </w:t>
      </w:r>
      <w:r w:rsidR="00BE4021">
        <w:t>devices. C</w:t>
      </w:r>
      <w:r w:rsidR="005D3B4B">
        <w:t>ustomer satisfaction ratings</w:t>
      </w:r>
      <w:r w:rsidR="00BE4021">
        <w:t xml:space="preserve"> and</w:t>
      </w:r>
      <w:r w:rsidR="005D3B4B">
        <w:t xml:space="preserve"> poor service quality scores </w:t>
      </w:r>
      <w:r w:rsidR="00BE4021">
        <w:t xml:space="preserve">are beginning to </w:t>
      </w:r>
      <w:r w:rsidR="005D3B4B">
        <w:t>damag</w:t>
      </w:r>
      <w:r w:rsidR="00BE4021">
        <w:t xml:space="preserve">e the </w:t>
      </w:r>
      <w:r w:rsidR="005D3B4B">
        <w:t>AT&amp;T brand</w:t>
      </w:r>
      <w:r w:rsidR="00901D24">
        <w:t xml:space="preserve">. </w:t>
      </w:r>
      <w:r w:rsidR="00BE4021">
        <w:t xml:space="preserve">Unless </w:t>
      </w:r>
      <w:r w:rsidR="005D3B4B">
        <w:t xml:space="preserve">negative customer perceptions of cell phone service quality </w:t>
      </w:r>
      <w:r w:rsidR="00BE4021">
        <w:t>are corrected, image deterioration could extend to all of the company’s product lin</w:t>
      </w:r>
      <w:r w:rsidR="009635F3">
        <w:t>e</w:t>
      </w:r>
      <w:r w:rsidR="00BE4021">
        <w:t>s.</w:t>
      </w:r>
    </w:p>
    <w:p w:rsidR="003E1394" w:rsidRDefault="003E1394" w:rsidP="0063019C"/>
    <w:p w:rsidR="005C62A4" w:rsidRDefault="005C62A4" w:rsidP="00F5393D">
      <w:r>
        <w:tab/>
        <w:t>A review of key performance measurements reveals the following facts about AT&amp;T’s</w:t>
      </w:r>
      <w:r w:rsidRPr="005C62A4">
        <w:t xml:space="preserve"> </w:t>
      </w:r>
      <w:r>
        <w:t>financial and operating status:</w:t>
      </w:r>
    </w:p>
    <w:p w:rsidR="005C62A4" w:rsidRDefault="005C62A4" w:rsidP="00F5393D"/>
    <w:p w:rsidR="002A6E24" w:rsidRDefault="003478FD" w:rsidP="0083176C">
      <w:pPr>
        <w:pStyle w:val="ListParagraph"/>
        <w:numPr>
          <w:ilvl w:val="0"/>
          <w:numId w:val="5"/>
        </w:numPr>
      </w:pPr>
      <w:r>
        <w:t>Expenses are growing at a faster rate than revenues, including cost of revenues and SG&amp;A.</w:t>
      </w:r>
    </w:p>
    <w:p w:rsidR="003478FD" w:rsidRDefault="003478FD" w:rsidP="0083176C">
      <w:pPr>
        <w:pStyle w:val="ListParagraph"/>
        <w:numPr>
          <w:ilvl w:val="0"/>
          <w:numId w:val="5"/>
        </w:numPr>
      </w:pPr>
      <w:r>
        <w:t>Net income is up substantially from 2009 due to an income tax advantage incurred last year.</w:t>
      </w:r>
    </w:p>
    <w:p w:rsidR="003478FD" w:rsidRDefault="003478FD" w:rsidP="0083176C">
      <w:pPr>
        <w:pStyle w:val="ListParagraph"/>
        <w:numPr>
          <w:ilvl w:val="0"/>
          <w:numId w:val="5"/>
        </w:numPr>
      </w:pPr>
      <w:r>
        <w:t>Total debt is down a respectable 8.2%, and the company’s debt ratio remains very healthy.</w:t>
      </w:r>
    </w:p>
    <w:p w:rsidR="003478FD" w:rsidRDefault="003478FD" w:rsidP="0083176C">
      <w:pPr>
        <w:pStyle w:val="ListParagraph"/>
        <w:numPr>
          <w:ilvl w:val="0"/>
          <w:numId w:val="5"/>
        </w:numPr>
      </w:pPr>
      <w:r>
        <w:t>Current assets are down more than 20%.</w:t>
      </w:r>
    </w:p>
    <w:p w:rsidR="00C54AE9" w:rsidRDefault="00C54AE9" w:rsidP="0083176C">
      <w:pPr>
        <w:pStyle w:val="ListParagraph"/>
        <w:numPr>
          <w:ilvl w:val="0"/>
          <w:numId w:val="5"/>
        </w:numPr>
      </w:pPr>
      <w:r>
        <w:t>$934 million spent in R&amp;D over the last 3 years was invested only to sup</w:t>
      </w:r>
      <w:r w:rsidR="00901D24">
        <w:t>port AT&amp;T’s wireline business;</w:t>
      </w:r>
      <w:r>
        <w:t xml:space="preserve"> no internal research is conducted to develop wireless technologies.  </w:t>
      </w:r>
    </w:p>
    <w:p w:rsidR="003478FD" w:rsidRDefault="006E5C6F" w:rsidP="0083176C">
      <w:pPr>
        <w:pStyle w:val="ListParagraph"/>
        <w:numPr>
          <w:ilvl w:val="0"/>
          <w:numId w:val="5"/>
        </w:numPr>
      </w:pPr>
      <w:r>
        <w:t xml:space="preserve">Major </w:t>
      </w:r>
      <w:r w:rsidR="004B5E59">
        <w:t xml:space="preserve">construction and </w:t>
      </w:r>
      <w:r w:rsidRPr="006E5C6F">
        <w:t>capital investments</w:t>
      </w:r>
      <w:r>
        <w:t xml:space="preserve"> </w:t>
      </w:r>
      <w:r w:rsidR="004B5E59">
        <w:t>totaled</w:t>
      </w:r>
      <w:r>
        <w:t xml:space="preserve"> $18.9 billion/year </w:t>
      </w:r>
      <w:r w:rsidR="004B5E59">
        <w:t>since 2007.</w:t>
      </w:r>
    </w:p>
    <w:p w:rsidR="004B5E59" w:rsidRDefault="004B5E59" w:rsidP="004B5E59">
      <w:pPr>
        <w:pStyle w:val="ListParagraph"/>
        <w:ind w:left="1080"/>
      </w:pPr>
    </w:p>
    <w:p w:rsidR="009635F3" w:rsidRDefault="003478FD" w:rsidP="009635F3">
      <w:pPr>
        <w:rPr>
          <w:bCs/>
        </w:rPr>
      </w:pPr>
      <w:r>
        <w:tab/>
      </w:r>
      <w:r w:rsidR="00901D24">
        <w:t>Though</w:t>
      </w:r>
      <w:r>
        <w:t xml:space="preserve"> AT&amp;T stock is u</w:t>
      </w:r>
      <w:r w:rsidR="002A6E24">
        <w:t xml:space="preserve">nderperforming in </w:t>
      </w:r>
      <w:r>
        <w:t xml:space="preserve">the </w:t>
      </w:r>
      <w:r w:rsidR="002A6E24">
        <w:t>capital markets</w:t>
      </w:r>
      <w:r w:rsidR="0029237D">
        <w:t xml:space="preserve">, several financial measurements show results </w:t>
      </w:r>
      <w:r w:rsidR="00901D24">
        <w:t>that</w:t>
      </w:r>
      <w:r w:rsidR="0029237D">
        <w:t xml:space="preserve"> should plea</w:t>
      </w:r>
      <w:r w:rsidR="00901D24">
        <w:t xml:space="preserve">se investors. </w:t>
      </w:r>
      <w:r w:rsidR="0029237D">
        <w:t>In 2010, book value</w:t>
      </w:r>
      <w:r w:rsidR="00901D24">
        <w:t xml:space="preserve"> per common share was up 9.6%. </w:t>
      </w:r>
      <w:r w:rsidR="0029237D">
        <w:t>EPS shadowed earnings gains by growing 63% from $2.06 to $3.36.  Shareholders’ equity in the form of retained earnings went up 44% in the past year, and total stockholders’ equity grew by nearly 10%.</w:t>
      </w:r>
      <w:r w:rsidR="00901D24">
        <w:t xml:space="preserve"> </w:t>
      </w:r>
      <w:r w:rsidR="009635F3">
        <w:rPr>
          <w:bCs/>
        </w:rPr>
        <w:t xml:space="preserve">Even though the economy is still fragile, the company anticipates financial stability </w:t>
      </w:r>
      <w:r w:rsidR="005B5575">
        <w:rPr>
          <w:bCs/>
        </w:rPr>
        <w:t>and</w:t>
      </w:r>
      <w:r w:rsidR="009635F3">
        <w:rPr>
          <w:bCs/>
        </w:rPr>
        <w:t xml:space="preserve"> steady revenues from promising business sector trends.</w:t>
      </w:r>
    </w:p>
    <w:p w:rsidR="003478FD" w:rsidRDefault="003478FD" w:rsidP="00F5393D"/>
    <w:p w:rsidR="003478FD" w:rsidRDefault="003478FD" w:rsidP="00F5393D"/>
    <w:p w:rsidR="00482CF1" w:rsidRDefault="00C54AE9" w:rsidP="00F5393D">
      <w:r>
        <w:tab/>
      </w:r>
      <w:r w:rsidR="009635F3">
        <w:t xml:space="preserve">Finally, </w:t>
      </w:r>
      <w:r w:rsidR="006E5C6F">
        <w:t>AT&amp;T enjoys a considerable degree of s</w:t>
      </w:r>
      <w:r>
        <w:t xml:space="preserve">ocial capital </w:t>
      </w:r>
      <w:r w:rsidR="006E5C6F">
        <w:t>t</w:t>
      </w:r>
      <w:r>
        <w:t xml:space="preserve">hrough </w:t>
      </w:r>
      <w:r w:rsidR="006E5C6F">
        <w:t xml:space="preserve">the close </w:t>
      </w:r>
      <w:r>
        <w:t xml:space="preserve">relationships </w:t>
      </w:r>
      <w:r w:rsidR="006E5C6F">
        <w:t>it maintains</w:t>
      </w:r>
      <w:r w:rsidR="005B5575">
        <w:t>,</w:t>
      </w:r>
      <w:r w:rsidR="006E5C6F">
        <w:t xml:space="preserve"> </w:t>
      </w:r>
      <w:r w:rsidR="00593775">
        <w:t xml:space="preserve">both </w:t>
      </w:r>
      <w:r>
        <w:t>with dominant suppliers for</w:t>
      </w:r>
      <w:r w:rsidR="006E5C6F">
        <w:t xml:space="preserve"> the </w:t>
      </w:r>
      <w:r>
        <w:t>global network equipment industry</w:t>
      </w:r>
      <w:r w:rsidR="006E5C6F">
        <w:t xml:space="preserve"> and with the </w:t>
      </w:r>
      <w:r w:rsidR="00901D24">
        <w:t>US</w:t>
      </w:r>
      <w:r w:rsidR="00593775">
        <w:t xml:space="preserve"> </w:t>
      </w:r>
      <w:r w:rsidR="006E5C6F">
        <w:t xml:space="preserve">Justice </w:t>
      </w:r>
      <w:r w:rsidR="005E2D77">
        <w:t>Department</w:t>
      </w:r>
      <w:r w:rsidR="00901D24">
        <w:t xml:space="preserve"> and regulatory agencies.</w:t>
      </w:r>
      <w:r w:rsidR="006E5C6F">
        <w:t xml:space="preserve"> As a result, the company </w:t>
      </w:r>
      <w:r w:rsidR="009635F3">
        <w:t>should be</w:t>
      </w:r>
      <w:r w:rsidR="006E5C6F">
        <w:t xml:space="preserve"> able to leverage this intangible asset to oversee industry happenings and to protect its interests.</w:t>
      </w:r>
    </w:p>
    <w:p w:rsidR="00F5393D" w:rsidRDefault="00F5393D" w:rsidP="00976E52"/>
    <w:p w:rsidR="00C85CAE" w:rsidRDefault="00BA543B" w:rsidP="0083176C">
      <w:pPr>
        <w:pStyle w:val="ListParagraph"/>
        <w:numPr>
          <w:ilvl w:val="0"/>
          <w:numId w:val="3"/>
        </w:numPr>
      </w:pPr>
      <w:r w:rsidRPr="00593775">
        <w:rPr>
          <w:b/>
          <w:i/>
        </w:rPr>
        <w:t xml:space="preserve">Examine the external environmental forces affecting </w:t>
      </w:r>
      <w:r w:rsidR="005B5575">
        <w:rPr>
          <w:b/>
          <w:i/>
        </w:rPr>
        <w:t>the company’</w:t>
      </w:r>
      <w:r w:rsidRPr="00593775">
        <w:rPr>
          <w:b/>
          <w:i/>
        </w:rPr>
        <w:t>s strategic decisions</w:t>
      </w:r>
      <w:r w:rsidR="00901D24">
        <w:rPr>
          <w:b/>
          <w:i/>
        </w:rPr>
        <w:t xml:space="preserve">. </w:t>
      </w:r>
      <w:r w:rsidR="00593775" w:rsidRPr="00593775">
        <w:rPr>
          <w:b/>
          <w:i/>
        </w:rPr>
        <w:t>Highlight the most relevant considerations.</w:t>
      </w:r>
    </w:p>
    <w:p w:rsidR="00A45300" w:rsidRDefault="00A45300" w:rsidP="00A45300">
      <w:r w:rsidRPr="00A45300">
        <w:tab/>
      </w:r>
    </w:p>
    <w:p w:rsidR="00BC05F7" w:rsidRDefault="00A45300" w:rsidP="00BC05F7">
      <w:r>
        <w:tab/>
      </w:r>
      <w:r w:rsidRPr="00A45300">
        <w:t>T</w:t>
      </w:r>
      <w:r>
        <w:t xml:space="preserve">he </w:t>
      </w:r>
      <w:r w:rsidR="00217712">
        <w:t xml:space="preserve">magnitude and reach of the </w:t>
      </w:r>
      <w:r>
        <w:t>t</w:t>
      </w:r>
      <w:r w:rsidRPr="00A45300">
        <w:t>elecommunications industry</w:t>
      </w:r>
      <w:r>
        <w:t xml:space="preserve"> </w:t>
      </w:r>
      <w:r w:rsidR="00217712">
        <w:t>is great</w:t>
      </w:r>
      <w:r w:rsidR="00901D24">
        <w:t>.</w:t>
      </w:r>
      <w:r>
        <w:t xml:space="preserve"> The challenges posited above are </w:t>
      </w:r>
      <w:r w:rsidR="00BC05F7">
        <w:t xml:space="preserve">exacerbated by </w:t>
      </w:r>
      <w:r>
        <w:t xml:space="preserve">enormous </w:t>
      </w:r>
      <w:r w:rsidR="00BC05F7">
        <w:t>chang</w:t>
      </w:r>
      <w:r>
        <w:t xml:space="preserve">es </w:t>
      </w:r>
      <w:r w:rsidR="00BC05F7">
        <w:t xml:space="preserve">in consumer preferences and </w:t>
      </w:r>
      <w:r>
        <w:t xml:space="preserve">a </w:t>
      </w:r>
      <w:r w:rsidR="00BC05F7">
        <w:t>continuous stream of new technologies entering the marketplace</w:t>
      </w:r>
      <w:r w:rsidR="00901D24">
        <w:t>.</w:t>
      </w:r>
      <w:r>
        <w:t xml:space="preserve"> </w:t>
      </w:r>
      <w:r w:rsidRPr="005B5575">
        <w:rPr>
          <w:u w:val="single"/>
        </w:rPr>
        <w:t>Major trends</w:t>
      </w:r>
      <w:r>
        <w:t xml:space="preserve"> with strategic implications </w:t>
      </w:r>
      <w:r w:rsidR="00593775">
        <w:t xml:space="preserve">for AT&amp;T </w:t>
      </w:r>
      <w:r w:rsidR="00353891">
        <w:t>are outlined</w:t>
      </w:r>
      <w:r w:rsidR="00593775">
        <w:t xml:space="preserve"> and discussed</w:t>
      </w:r>
      <w:r w:rsidR="00353891">
        <w:t xml:space="preserve"> below.</w:t>
      </w:r>
    </w:p>
    <w:p w:rsidR="00BA543B" w:rsidRDefault="00BA543B" w:rsidP="00BC05F7">
      <w:pPr>
        <w:pStyle w:val="ListParagraph"/>
        <w:ind w:left="0"/>
      </w:pPr>
    </w:p>
    <w:p w:rsidR="00FF4C6F" w:rsidRPr="00FF4C6F" w:rsidRDefault="00387F42" w:rsidP="0083176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Significant</w:t>
      </w:r>
      <w:r w:rsidR="00A45300" w:rsidRPr="00A45300">
        <w:rPr>
          <w:i/>
        </w:rPr>
        <w:t xml:space="preserve"> s</w:t>
      </w:r>
      <w:r w:rsidR="005F1221" w:rsidRPr="00A45300">
        <w:rPr>
          <w:i/>
        </w:rPr>
        <w:t>hift from landline</w:t>
      </w:r>
      <w:r w:rsidR="00353891">
        <w:rPr>
          <w:i/>
        </w:rPr>
        <w:t>s</w:t>
      </w:r>
      <w:r w:rsidR="005F1221" w:rsidRPr="00A45300">
        <w:rPr>
          <w:i/>
        </w:rPr>
        <w:t xml:space="preserve"> </w:t>
      </w:r>
      <w:r w:rsidR="00A45300" w:rsidRPr="00A45300">
        <w:rPr>
          <w:i/>
        </w:rPr>
        <w:t xml:space="preserve">to </w:t>
      </w:r>
      <w:r w:rsidR="005F1221" w:rsidRPr="00A45300">
        <w:rPr>
          <w:i/>
        </w:rPr>
        <w:t>portable cellular devices</w:t>
      </w:r>
      <w:r w:rsidR="00A45300">
        <w:rPr>
          <w:i/>
        </w:rPr>
        <w:t xml:space="preserve"> and other new technology solutions</w:t>
      </w:r>
      <w:r w:rsidR="00A45300">
        <w:t xml:space="preserve">  </w:t>
      </w:r>
      <w:r w:rsidR="00353891">
        <w:t>Landlines are being cancelled at the rate of 700,000 per month</w:t>
      </w:r>
      <w:r w:rsidR="007D6117">
        <w:t xml:space="preserve"> in favor of wireless communication solutions</w:t>
      </w:r>
      <w:r w:rsidR="00901D24">
        <w:t xml:space="preserve">. </w:t>
      </w:r>
      <w:r w:rsidR="00353891">
        <w:t>This raises questions about the continued maintenance and upgrade of existing landlin</w:t>
      </w:r>
      <w:r w:rsidR="00901D24">
        <w:t xml:space="preserve">e assets. </w:t>
      </w:r>
      <w:r w:rsidR="00353891">
        <w:t xml:space="preserve">All of AT&amp;T’s research and development costs ($934 million since 2007) go to </w:t>
      </w:r>
      <w:r w:rsidR="00901D24">
        <w:t xml:space="preserve">support its wireline business. </w:t>
      </w:r>
      <w:r w:rsidR="00353891">
        <w:t xml:space="preserve">In addition, regulatory requirements to make service available for </w:t>
      </w:r>
      <w:r w:rsidR="007A339E">
        <w:t xml:space="preserve">low-income and rural </w:t>
      </w:r>
      <w:r w:rsidR="00A974C2">
        <w:t>p</w:t>
      </w:r>
      <w:r w:rsidR="005B5575">
        <w:t>opulations impact</w:t>
      </w:r>
      <w:r w:rsidR="007A339E">
        <w:t xml:space="preserve"> AT&amp;T’s decisions.</w:t>
      </w:r>
      <w:r w:rsidR="00B02C1C">
        <w:t xml:space="preserve"> </w:t>
      </w:r>
      <w:r w:rsidR="005B5575">
        <w:t>At the same time</w:t>
      </w:r>
      <w:r w:rsidR="00B02C1C">
        <w:t xml:space="preserve">, the company has </w:t>
      </w:r>
      <w:r w:rsidR="005B5575">
        <w:t>made</w:t>
      </w:r>
      <w:r>
        <w:t xml:space="preserve"> substantial </w:t>
      </w:r>
      <w:r w:rsidR="00B02C1C">
        <w:t>invest</w:t>
      </w:r>
      <w:r>
        <w:t xml:space="preserve">ments </w:t>
      </w:r>
      <w:r w:rsidR="00B02C1C">
        <w:t>in its 3G network to compete successfully in the wireless market.</w:t>
      </w:r>
    </w:p>
    <w:p w:rsidR="005F1221" w:rsidRDefault="005F1221" w:rsidP="005F1221"/>
    <w:p w:rsidR="00A974C2" w:rsidRDefault="005F1221" w:rsidP="0083176C">
      <w:pPr>
        <w:pStyle w:val="ListParagraph"/>
        <w:numPr>
          <w:ilvl w:val="0"/>
          <w:numId w:val="2"/>
        </w:numPr>
      </w:pPr>
      <w:r w:rsidRPr="00A974C2">
        <w:rPr>
          <w:i/>
        </w:rPr>
        <w:t>Increased pressure to expand network infrastructures</w:t>
      </w:r>
      <w:r w:rsidR="00117F75">
        <w:t xml:space="preserve">  </w:t>
      </w:r>
      <w:r w:rsidR="00A974C2" w:rsidRPr="00A974C2">
        <w:t>D</w:t>
      </w:r>
      <w:r w:rsidR="00A974C2">
        <w:t xml:space="preserve">ue to </w:t>
      </w:r>
      <w:r w:rsidR="00387F42">
        <w:t xml:space="preserve">the </w:t>
      </w:r>
      <w:r w:rsidR="00A974C2">
        <w:t>d</w:t>
      </w:r>
      <w:r w:rsidR="00A974C2" w:rsidRPr="00A974C2">
        <w:t>ramatic change in usage patterns</w:t>
      </w:r>
      <w:r w:rsidR="00A974C2">
        <w:t xml:space="preserve">, providers are </w:t>
      </w:r>
      <w:r w:rsidR="00117F75">
        <w:t>struggling to handle new sources of traffic</w:t>
      </w:r>
      <w:r w:rsidR="00901D24">
        <w:t xml:space="preserve">. </w:t>
      </w:r>
      <w:r w:rsidR="00A974C2">
        <w:t>N</w:t>
      </w:r>
      <w:r w:rsidR="00117F75">
        <w:t>ewer devices continue to push the technological limits of the Internet</w:t>
      </w:r>
      <w:r w:rsidR="00901D24">
        <w:t>.</w:t>
      </w:r>
      <w:r w:rsidR="00A974C2">
        <w:t xml:space="preserve"> Steadily increasing </w:t>
      </w:r>
      <w:r w:rsidR="00387F42">
        <w:t xml:space="preserve">demand for </w:t>
      </w:r>
      <w:r w:rsidR="00117F75">
        <w:t xml:space="preserve">bandwidth </w:t>
      </w:r>
      <w:r w:rsidR="00387F42">
        <w:t>is</w:t>
      </w:r>
      <w:r w:rsidR="00A974C2">
        <w:t xml:space="preserve"> </w:t>
      </w:r>
      <w:r w:rsidR="00117F75">
        <w:t>testing already</w:t>
      </w:r>
      <w:r w:rsidR="00A974C2">
        <w:t>-</w:t>
      </w:r>
      <w:r w:rsidR="00117F75">
        <w:t>strained networks and frustrated customers</w:t>
      </w:r>
      <w:r w:rsidR="00D9229D">
        <w:t xml:space="preserve">. </w:t>
      </w:r>
      <w:r w:rsidR="00387F42">
        <w:t>And p</w:t>
      </w:r>
      <w:r w:rsidR="00A974C2">
        <w:t>otential regulation over the ability of broadband providers to restrict or control transmissions threatens to lock telecom companies in</w:t>
      </w:r>
      <w:r w:rsidR="00387F42">
        <w:t>to</w:t>
      </w:r>
      <w:r w:rsidR="00A974C2">
        <w:t xml:space="preserve"> an unprofitable </w:t>
      </w:r>
      <w:r w:rsidR="00387F42">
        <w:t xml:space="preserve">“neutrality” </w:t>
      </w:r>
      <w:r w:rsidR="00A974C2">
        <w:t>business model.</w:t>
      </w:r>
    </w:p>
    <w:p w:rsidR="005F1221" w:rsidRDefault="005F1221" w:rsidP="005F1221"/>
    <w:p w:rsidR="00571E5D" w:rsidRDefault="00756284" w:rsidP="0083176C">
      <w:pPr>
        <w:pStyle w:val="ListParagraph"/>
        <w:numPr>
          <w:ilvl w:val="0"/>
          <w:numId w:val="2"/>
        </w:numPr>
      </w:pPr>
      <w:r w:rsidRPr="003A7E7B">
        <w:rPr>
          <w:i/>
        </w:rPr>
        <w:t>Consumer demand</w:t>
      </w:r>
      <w:r w:rsidR="00571E5D" w:rsidRPr="003A7E7B">
        <w:rPr>
          <w:i/>
        </w:rPr>
        <w:t>s</w:t>
      </w:r>
      <w:r w:rsidRPr="003A7E7B">
        <w:rPr>
          <w:i/>
        </w:rPr>
        <w:t xml:space="preserve"> for a</w:t>
      </w:r>
      <w:r w:rsidR="005F1221" w:rsidRPr="003A7E7B">
        <w:rPr>
          <w:i/>
        </w:rPr>
        <w:t xml:space="preserve">dvanced network </w:t>
      </w:r>
      <w:r w:rsidR="00571E5D" w:rsidRPr="003A7E7B">
        <w:rPr>
          <w:i/>
        </w:rPr>
        <w:t>capabilities and for lower wireless rates</w:t>
      </w:r>
      <w:r w:rsidR="00571E5D">
        <w:t xml:space="preserve"> </w:t>
      </w:r>
      <w:r>
        <w:t xml:space="preserve"> </w:t>
      </w:r>
      <w:r w:rsidR="00B36073">
        <w:t xml:space="preserve">Demand for better </w:t>
      </w:r>
      <w:r w:rsidR="00571E5D">
        <w:t xml:space="preserve">network </w:t>
      </w:r>
      <w:r w:rsidR="00B36073">
        <w:t xml:space="preserve">service </w:t>
      </w:r>
      <w:r>
        <w:t xml:space="preserve">is </w:t>
      </w:r>
      <w:r w:rsidR="00B36073">
        <w:t>outpacing progress</w:t>
      </w:r>
      <w:r w:rsidR="00571E5D">
        <w:t xml:space="preserve"> to expand North America’s</w:t>
      </w:r>
      <w:r w:rsidR="00D9229D">
        <w:t xml:space="preserve"> communication infrastructure. </w:t>
      </w:r>
      <w:r w:rsidR="00571E5D">
        <w:t xml:space="preserve">Support of </w:t>
      </w:r>
      <w:r w:rsidR="003A7E7B">
        <w:t xml:space="preserve">a massive subscriber base, changing user expectations, and growing device functionality </w:t>
      </w:r>
      <w:r w:rsidR="00571E5D">
        <w:t xml:space="preserve">requires a significant commitment in </w:t>
      </w:r>
      <w:r w:rsidR="003A7E7B">
        <w:t xml:space="preserve">provider </w:t>
      </w:r>
      <w:r w:rsidR="00D9229D">
        <w:t xml:space="preserve">resources. </w:t>
      </w:r>
      <w:r w:rsidR="00571E5D">
        <w:t xml:space="preserve">Sluggish expansion is further </w:t>
      </w:r>
      <w:r w:rsidR="005A2B72">
        <w:t xml:space="preserve">hampered by interest groups trying to </w:t>
      </w:r>
      <w:r w:rsidR="001B5781">
        <w:t>control</w:t>
      </w:r>
      <w:r w:rsidR="005A2B72">
        <w:t xml:space="preserve"> the rate of </w:t>
      </w:r>
      <w:r w:rsidR="003A7E7B">
        <w:t xml:space="preserve">technology </w:t>
      </w:r>
      <w:r w:rsidR="005A2B72">
        <w:t>integration</w:t>
      </w:r>
      <w:r w:rsidR="00571E5D">
        <w:t xml:space="preserve">. Meanwhile, </w:t>
      </w:r>
      <w:r>
        <w:t xml:space="preserve">price-sensitive customers </w:t>
      </w:r>
      <w:r w:rsidR="00571E5D">
        <w:t xml:space="preserve">are </w:t>
      </w:r>
      <w:r>
        <w:t>discontent</w:t>
      </w:r>
      <w:r w:rsidR="00D9229D">
        <w:t>ed</w:t>
      </w:r>
      <w:r>
        <w:t xml:space="preserve"> over </w:t>
      </w:r>
      <w:r w:rsidR="00571E5D">
        <w:t xml:space="preserve">the price of </w:t>
      </w:r>
      <w:r>
        <w:t>contract</w:t>
      </w:r>
      <w:r w:rsidR="00571E5D">
        <w:t xml:space="preserve"> </w:t>
      </w:r>
      <w:r>
        <w:t>plans</w:t>
      </w:r>
      <w:r w:rsidR="001B5781">
        <w:t>,</w:t>
      </w:r>
      <w:r>
        <w:t xml:space="preserve"> </w:t>
      </w:r>
      <w:r w:rsidR="00571E5D">
        <w:t xml:space="preserve">which are </w:t>
      </w:r>
      <w:r>
        <w:t>designed to increase network switching costs</w:t>
      </w:r>
      <w:r w:rsidR="00D9229D">
        <w:t xml:space="preserve">. </w:t>
      </w:r>
      <w:r w:rsidR="00571E5D">
        <w:t xml:space="preserve">As a result, new </w:t>
      </w:r>
      <w:r w:rsidR="00D9229D">
        <w:t>pre</w:t>
      </w:r>
      <w:r>
        <w:t>p</w:t>
      </w:r>
      <w:r w:rsidR="00571E5D">
        <w:t>ai</w:t>
      </w:r>
      <w:r>
        <w:t xml:space="preserve">d, short-period providers </w:t>
      </w:r>
      <w:r w:rsidR="00571E5D">
        <w:t xml:space="preserve">are introducing a new business model </w:t>
      </w:r>
      <w:r w:rsidR="001B5781">
        <w:t>with</w:t>
      </w:r>
      <w:r w:rsidR="00571E5D">
        <w:t xml:space="preserve"> more c</w:t>
      </w:r>
      <w:r>
        <w:t>ompetitive rate</w:t>
      </w:r>
      <w:r w:rsidR="001B5781">
        <w:t xml:space="preserve"> structure</w:t>
      </w:r>
      <w:r>
        <w:t>s</w:t>
      </w:r>
      <w:r w:rsidR="00571E5D">
        <w:t xml:space="preserve">.  </w:t>
      </w:r>
    </w:p>
    <w:p w:rsidR="005F1221" w:rsidRDefault="005F1221" w:rsidP="00756284">
      <w:pPr>
        <w:pStyle w:val="ListParagraph"/>
        <w:ind w:left="0"/>
      </w:pPr>
    </w:p>
    <w:p w:rsidR="00EB4FE0" w:rsidRDefault="001B5781" w:rsidP="0083176C">
      <w:pPr>
        <w:pStyle w:val="ListParagraph"/>
        <w:numPr>
          <w:ilvl w:val="0"/>
          <w:numId w:val="2"/>
        </w:numPr>
      </w:pPr>
      <w:r>
        <w:rPr>
          <w:i/>
        </w:rPr>
        <w:t>T</w:t>
      </w:r>
      <w:r w:rsidRPr="00E45EC7">
        <w:rPr>
          <w:i/>
        </w:rPr>
        <w:t xml:space="preserve">rend to stream data and content </w:t>
      </w:r>
      <w:r>
        <w:rPr>
          <w:i/>
        </w:rPr>
        <w:t xml:space="preserve">over the Internet </w:t>
      </w:r>
      <w:r w:rsidRPr="00E45EC7">
        <w:rPr>
          <w:i/>
        </w:rPr>
        <w:t>fuel</w:t>
      </w:r>
      <w:r>
        <w:rPr>
          <w:i/>
        </w:rPr>
        <w:t xml:space="preserve">ed by </w:t>
      </w:r>
      <w:r w:rsidRPr="00E45EC7">
        <w:rPr>
          <w:i/>
        </w:rPr>
        <w:t xml:space="preserve">broadband and </w:t>
      </w:r>
      <w:r>
        <w:rPr>
          <w:i/>
        </w:rPr>
        <w:t>c</w:t>
      </w:r>
      <w:r w:rsidRPr="00E45EC7">
        <w:rPr>
          <w:i/>
        </w:rPr>
        <w:t>able advances</w:t>
      </w:r>
      <w:r>
        <w:rPr>
          <w:i/>
        </w:rPr>
        <w:t xml:space="preserve"> </w:t>
      </w:r>
      <w:r w:rsidR="00EB4FE0">
        <w:t xml:space="preserve"> As fiber optic line transfer rates increase, streaming </w:t>
      </w:r>
      <w:r w:rsidR="00BE17F1">
        <w:t xml:space="preserve">voice services </w:t>
      </w:r>
      <w:r w:rsidR="00EB4FE0">
        <w:t xml:space="preserve">through the Internet </w:t>
      </w:r>
      <w:r w:rsidR="00BE17F1">
        <w:t>(</w:t>
      </w:r>
      <w:r>
        <w:t xml:space="preserve">known as </w:t>
      </w:r>
      <w:r w:rsidR="00BE17F1">
        <w:t xml:space="preserve">VoIP) </w:t>
      </w:r>
      <w:r w:rsidR="00EB4FE0">
        <w:t>is becoming a</w:t>
      </w:r>
      <w:r w:rsidR="00BE17F1">
        <w:t xml:space="preserve"> popular substitute for </w:t>
      </w:r>
      <w:r w:rsidR="00BE17F1" w:rsidRPr="00BE17F1">
        <w:t>landline phone wires</w:t>
      </w:r>
      <w:r w:rsidR="00D9229D">
        <w:t xml:space="preserve">. </w:t>
      </w:r>
      <w:r w:rsidR="00E45EC7">
        <w:t>AT&amp;T</w:t>
      </w:r>
      <w:r>
        <w:t>’</w:t>
      </w:r>
      <w:r w:rsidR="00E45EC7">
        <w:t>s upgrad</w:t>
      </w:r>
      <w:r>
        <w:t>ed</w:t>
      </w:r>
      <w:r w:rsidR="00E45EC7">
        <w:t xml:space="preserve"> wire services </w:t>
      </w:r>
      <w:r>
        <w:t xml:space="preserve">enable the company </w:t>
      </w:r>
      <w:r w:rsidR="00E45EC7">
        <w:t xml:space="preserve">to deliver </w:t>
      </w:r>
      <w:r>
        <w:t xml:space="preserve">phone services through this channel, as well as Internet access, </w:t>
      </w:r>
      <w:r w:rsidR="00E45EC7">
        <w:t>video content</w:t>
      </w:r>
      <w:r>
        <w:t>, and other business services</w:t>
      </w:r>
      <w:r w:rsidR="00D9229D">
        <w:t xml:space="preserve">. </w:t>
      </w:r>
      <w:r w:rsidR="00E45EC7">
        <w:t xml:space="preserve">Its </w:t>
      </w:r>
      <w:r w:rsidR="00EB4FE0">
        <w:t xml:space="preserve">U-verse service </w:t>
      </w:r>
      <w:r w:rsidR="00E45EC7">
        <w:t xml:space="preserve">puts the company into direct competition with </w:t>
      </w:r>
      <w:r w:rsidR="00EB4FE0">
        <w:t>cable and satellite</w:t>
      </w:r>
      <w:r w:rsidR="00E45EC7">
        <w:t xml:space="preserve"> firms, in addition to </w:t>
      </w:r>
      <w:r w:rsidR="00D9229D">
        <w:t xml:space="preserve">other phone service companies. </w:t>
      </w:r>
      <w:r w:rsidR="00E45EC7">
        <w:t xml:space="preserve">This trend marks cable companies as a major competitive force </w:t>
      </w:r>
      <w:r w:rsidR="00D6333D">
        <w:t>that</w:t>
      </w:r>
      <w:r w:rsidR="00E45EC7">
        <w:t xml:space="preserve"> AT&amp;T will have to contend with in the </w:t>
      </w:r>
      <w:r w:rsidR="005B5575">
        <w:t xml:space="preserve">near </w:t>
      </w:r>
      <w:r w:rsidR="00E45EC7">
        <w:t xml:space="preserve">future.  </w:t>
      </w:r>
    </w:p>
    <w:p w:rsidR="00E45EC7" w:rsidRDefault="00E45EC7" w:rsidP="00E45EC7">
      <w:pPr>
        <w:pStyle w:val="ListParagraph"/>
      </w:pPr>
    </w:p>
    <w:p w:rsidR="00482CF1" w:rsidRDefault="000615B2" w:rsidP="0083176C">
      <w:pPr>
        <w:pStyle w:val="ListParagraph"/>
        <w:numPr>
          <w:ilvl w:val="0"/>
          <w:numId w:val="2"/>
        </w:numPr>
      </w:pPr>
      <w:r w:rsidRPr="00C77545">
        <w:rPr>
          <w:i/>
        </w:rPr>
        <w:t>Sat</w:t>
      </w:r>
      <w:r w:rsidR="00D6333D">
        <w:rPr>
          <w:i/>
        </w:rPr>
        <w:t>urated US</w:t>
      </w:r>
      <w:r w:rsidRPr="00C77545">
        <w:rPr>
          <w:i/>
        </w:rPr>
        <w:t xml:space="preserve"> markets </w:t>
      </w:r>
      <w:r>
        <w:t xml:space="preserve"> With 91% of Americans owning cell phones, subscriber gains in AT&amp;T’s fastest growing segment now rel</w:t>
      </w:r>
      <w:r w:rsidR="005B5575">
        <w:t>y</w:t>
      </w:r>
      <w:r>
        <w:t xml:space="preserve"> on the ability to attract users from competitor networks and </w:t>
      </w:r>
      <w:r w:rsidR="005B5575">
        <w:t xml:space="preserve">on </w:t>
      </w:r>
      <w:r w:rsidR="00D6333D">
        <w:t>global expansion efforts.</w:t>
      </w:r>
      <w:r>
        <w:t xml:space="preserve"> Limitations in </w:t>
      </w:r>
      <w:r w:rsidR="005B5575">
        <w:t>the</w:t>
      </w:r>
      <w:r>
        <w:t xml:space="preserve"> domestic market are reflected in the company’s (and in major competitor, Verizo</w:t>
      </w:r>
      <w:r w:rsidR="00D6333D">
        <w:t xml:space="preserve">n’s) stock market performance. </w:t>
      </w:r>
      <w:r>
        <w:t xml:space="preserve">As </w:t>
      </w:r>
      <w:r w:rsidR="00C77545" w:rsidRPr="00C77545">
        <w:t>wireless expansion into previously</w:t>
      </w:r>
      <w:r w:rsidR="00D6333D">
        <w:t xml:space="preserve"> </w:t>
      </w:r>
      <w:r w:rsidR="00C77545" w:rsidRPr="00C77545">
        <w:t>unreachable markets</w:t>
      </w:r>
      <w:r w:rsidR="00C77545">
        <w:t xml:space="preserve"> rapidly occurs, significant opportunities to capture new business </w:t>
      </w:r>
      <w:r w:rsidR="005B5575">
        <w:t xml:space="preserve">do </w:t>
      </w:r>
      <w:r w:rsidR="00C77545">
        <w:t xml:space="preserve">exist in the worldwide cellular phone market, where </w:t>
      </w:r>
      <w:r w:rsidR="00482CF1">
        <w:t xml:space="preserve">compounded annual growth </w:t>
      </w:r>
      <w:r w:rsidR="001B5781">
        <w:t>is</w:t>
      </w:r>
      <w:r w:rsidR="00482CF1">
        <w:t xml:space="preserve"> 23.2% </w:t>
      </w:r>
      <w:r w:rsidR="00C77545">
        <w:t xml:space="preserve">and </w:t>
      </w:r>
      <w:r w:rsidR="00482CF1">
        <w:t xml:space="preserve">total market penetration </w:t>
      </w:r>
      <w:r w:rsidR="00C77545">
        <w:t xml:space="preserve">is at </w:t>
      </w:r>
      <w:r w:rsidR="00482CF1">
        <w:t>59.3%</w:t>
      </w:r>
      <w:r w:rsidR="00D6333D">
        <w:t xml:space="preserve">. </w:t>
      </w:r>
      <w:r w:rsidR="00482CF1">
        <w:t xml:space="preserve">By 2012, over 5.5 billion people </w:t>
      </w:r>
      <w:r w:rsidR="00C77545">
        <w:t xml:space="preserve">are expected to </w:t>
      </w:r>
      <w:r w:rsidR="00482CF1">
        <w:t>be wireless subscribers</w:t>
      </w:r>
      <w:r w:rsidR="00D6333D">
        <w:t xml:space="preserve">. </w:t>
      </w:r>
      <w:r w:rsidR="00C77545">
        <w:t>To support this massive subscriber base, t</w:t>
      </w:r>
      <w:r w:rsidR="00482CF1">
        <w:t xml:space="preserve">elecom companies are increasing </w:t>
      </w:r>
      <w:r w:rsidR="00C77545">
        <w:t xml:space="preserve">the </w:t>
      </w:r>
      <w:r w:rsidR="00482CF1">
        <w:t xml:space="preserve">development of </w:t>
      </w:r>
      <w:r w:rsidR="00C77545">
        <w:t xml:space="preserve">wireless network </w:t>
      </w:r>
      <w:r w:rsidR="00482CF1">
        <w:t xml:space="preserve">infrastructures </w:t>
      </w:r>
      <w:r w:rsidR="00C77545">
        <w:t>with c</w:t>
      </w:r>
      <w:r w:rsidR="00482CF1">
        <w:t xml:space="preserve">apital expenditures </w:t>
      </w:r>
      <w:r w:rsidR="00C77545">
        <w:t xml:space="preserve">valued at </w:t>
      </w:r>
      <w:r w:rsidR="00D6333D">
        <w:t xml:space="preserve">$224.5 billion (through 2015). </w:t>
      </w:r>
      <w:r w:rsidR="00C77545">
        <w:t xml:space="preserve">This, of course, </w:t>
      </w:r>
      <w:r w:rsidR="00482CF1">
        <w:t>will</w:t>
      </w:r>
      <w:r w:rsidR="00C77545">
        <w:t xml:space="preserve"> diminish a</w:t>
      </w:r>
      <w:r w:rsidR="00482CF1">
        <w:t xml:space="preserve">s </w:t>
      </w:r>
      <w:r w:rsidR="00C77545">
        <w:t xml:space="preserve">global </w:t>
      </w:r>
      <w:r w:rsidR="00482CF1">
        <w:t xml:space="preserve">market saturation </w:t>
      </w:r>
      <w:r w:rsidR="00C77545">
        <w:t>follows (although ma</w:t>
      </w:r>
      <w:r w:rsidR="00482CF1">
        <w:t xml:space="preserve">intenance and network upgrade </w:t>
      </w:r>
      <w:r w:rsidR="00D6333D">
        <w:t>expenses will continue).</w:t>
      </w:r>
      <w:r w:rsidR="00C77545">
        <w:t xml:space="preserve"> </w:t>
      </w:r>
      <w:r w:rsidR="0041252F">
        <w:t>If AT&amp;T invests at its current rate, the company’s share of this infrastructure expense will be 1/10</w:t>
      </w:r>
      <w:r w:rsidR="0041252F" w:rsidRPr="0041252F">
        <w:rPr>
          <w:vertAlign w:val="superscript"/>
        </w:rPr>
        <w:t>th</w:t>
      </w:r>
      <w:r w:rsidR="0041252F">
        <w:t xml:space="preserve"> of th</w:t>
      </w:r>
      <w:r w:rsidR="005B5575">
        <w:t>at</w:t>
      </w:r>
      <w:r w:rsidR="0041252F">
        <w:t xml:space="preserve"> total.</w:t>
      </w:r>
    </w:p>
    <w:p w:rsidR="00C77545" w:rsidRDefault="00473C21" w:rsidP="00482CF1">
      <w:pPr>
        <w:pStyle w:val="ListParagraph"/>
        <w:ind w:left="0"/>
      </w:pPr>
      <w:r>
        <w:tab/>
      </w:r>
    </w:p>
    <w:p w:rsidR="0041252F" w:rsidRDefault="00473C21" w:rsidP="0041252F">
      <w:pPr>
        <w:pStyle w:val="ListParagraph"/>
        <w:ind w:left="0"/>
      </w:pPr>
      <w:r>
        <w:tab/>
        <w:t xml:space="preserve">AT&amp;T’s </w:t>
      </w:r>
      <w:r w:rsidRPr="005B5575">
        <w:rPr>
          <w:u w:val="single"/>
        </w:rPr>
        <w:t>c</w:t>
      </w:r>
      <w:r w:rsidR="00C77545" w:rsidRPr="005B5575">
        <w:rPr>
          <w:u w:val="single"/>
        </w:rPr>
        <w:t>ompetitive field</w:t>
      </w:r>
      <w:r>
        <w:t xml:space="preserve"> is dominated </w:t>
      </w:r>
      <w:r w:rsidR="00D6333D">
        <w:t xml:space="preserve">by its largest rival, Verizon. </w:t>
      </w:r>
      <w:r w:rsidR="0041252F">
        <w:t xml:space="preserve">Verizon and AT&amp;T control the fragmented wireline market with a combined 53.9% market share. The wireless market is </w:t>
      </w:r>
      <w:r w:rsidR="00D6333D">
        <w:t xml:space="preserve">slightly more concentrated. </w:t>
      </w:r>
      <w:r w:rsidR="005B5575">
        <w:t xml:space="preserve">2010 shares are </w:t>
      </w:r>
      <w:r w:rsidR="0041252F">
        <w:t xml:space="preserve">broken down according to the number of subscribers in the following table.  </w:t>
      </w:r>
    </w:p>
    <w:p w:rsidR="0041252F" w:rsidRDefault="0041252F" w:rsidP="0041252F">
      <w:pPr>
        <w:pStyle w:val="ListParagraph"/>
        <w:ind w:left="0"/>
      </w:pPr>
      <w:r>
        <w:t xml:space="preserve">  </w:t>
      </w:r>
    </w:p>
    <w:tbl>
      <w:tblPr>
        <w:tblW w:w="6161" w:type="dxa"/>
        <w:jc w:val="center"/>
        <w:tblInd w:w="-39" w:type="dxa"/>
        <w:tblLook w:val="04A0"/>
      </w:tblPr>
      <w:tblGrid>
        <w:gridCol w:w="1092"/>
        <w:gridCol w:w="1083"/>
        <w:gridCol w:w="906"/>
        <w:gridCol w:w="1080"/>
        <w:gridCol w:w="2000"/>
      </w:tblGrid>
      <w:tr w:rsidR="0041252F" w:rsidRPr="002A6E24">
        <w:trPr>
          <w:trHeight w:val="300"/>
          <w:jc w:val="center"/>
        </w:trPr>
        <w:tc>
          <w:tcPr>
            <w:tcW w:w="3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  <w:t>Wireless Subscribers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</w:pPr>
            <w:r w:rsidRPr="00305C3E"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  <w:t>ARPU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4F11C3" w:rsidRDefault="0041252F" w:rsidP="0041252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</w:pPr>
            <w:r w:rsidRPr="004F11C3"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  <w:lang w:eastAsia="en-US"/>
              </w:rPr>
              <w:t>Operating Margins</w:t>
            </w: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Verizon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32.1%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102.2</w:t>
            </w:r>
            <w:r w:rsidR="005414C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305C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-1.6%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4.3%</w:t>
            </w: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AT&amp;T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30.0%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5414C3" w:rsidP="005414C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 xml:space="preserve"> *</w:t>
            </w:r>
            <w:r w:rsidR="0041252F"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95.5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305C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constant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12.1%</w:t>
            </w: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Sprint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16.9%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53.8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305C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constant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T-Mobile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11.9%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37.9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305C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-8.10%</w:t>
            </w:r>
          </w:p>
        </w:tc>
        <w:tc>
          <w:tcPr>
            <w:tcW w:w="2000" w:type="dxa"/>
            <w:tcBorders>
              <w:top w:val="nil"/>
              <w:left w:val="nil"/>
              <w:right w:val="nil"/>
            </w:tcBorders>
          </w:tcPr>
          <w:p w:rsidR="0041252F" w:rsidRPr="00305C3E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Other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9.1%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29.0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right w:val="nil"/>
            </w:tcBorders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1252F" w:rsidRPr="002A6E24">
        <w:trPr>
          <w:trHeight w:val="300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100.0%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2A6E2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318.3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00" w:type="dxa"/>
            <w:tcBorders>
              <w:left w:val="nil"/>
              <w:bottom w:val="nil"/>
              <w:right w:val="nil"/>
            </w:tcBorders>
          </w:tcPr>
          <w:p w:rsidR="0041252F" w:rsidRPr="002A6E24" w:rsidRDefault="0041252F" w:rsidP="004125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1252F" w:rsidRPr="004F11C3" w:rsidRDefault="0041252F" w:rsidP="0041252F">
      <w:pPr>
        <w:rPr>
          <w:rFonts w:asciiTheme="minorHAnsi" w:hAnsiTheme="minorHAnsi" w:cstheme="minorHAnsi"/>
          <w:sz w:val="16"/>
          <w:szCs w:val="16"/>
        </w:rPr>
      </w:pPr>
    </w:p>
    <w:p w:rsidR="0041252F" w:rsidRPr="004F11C3" w:rsidRDefault="0041252F" w:rsidP="0041252F">
      <w:pPr>
        <w:ind w:left="1440"/>
        <w:rPr>
          <w:rFonts w:asciiTheme="minorHAnsi" w:hAnsiTheme="minorHAnsi" w:cstheme="minorHAnsi"/>
          <w:sz w:val="20"/>
          <w:szCs w:val="20"/>
        </w:rPr>
      </w:pPr>
      <w:r w:rsidRPr="004F11C3">
        <w:rPr>
          <w:rFonts w:asciiTheme="minorHAnsi" w:hAnsiTheme="minorHAnsi" w:cstheme="minorHAnsi"/>
          <w:sz w:val="20"/>
          <w:szCs w:val="20"/>
        </w:rPr>
        <w:t>*from 6</w:t>
      </w:r>
      <w:r w:rsidR="00D6333D">
        <w:rPr>
          <w:rFonts w:asciiTheme="minorHAnsi" w:hAnsiTheme="minorHAnsi" w:cstheme="minorHAnsi"/>
          <w:sz w:val="20"/>
          <w:szCs w:val="20"/>
        </w:rPr>
        <w:t>0.9 million at the end of 2006;</w:t>
      </w:r>
      <w:r w:rsidRPr="004F11C3">
        <w:rPr>
          <w:rFonts w:asciiTheme="minorHAnsi" w:hAnsiTheme="minorHAnsi" w:cstheme="minorHAnsi"/>
          <w:sz w:val="20"/>
          <w:szCs w:val="20"/>
        </w:rPr>
        <w:t xml:space="preserve"> 57% growth in a near-saturated US market</w:t>
      </w:r>
    </w:p>
    <w:p w:rsidR="0041252F" w:rsidRDefault="0041252F" w:rsidP="00482CF1">
      <w:pPr>
        <w:pStyle w:val="ListParagraph"/>
        <w:ind w:left="0"/>
      </w:pPr>
    </w:p>
    <w:p w:rsidR="0041252F" w:rsidRDefault="0041252F" w:rsidP="0041252F">
      <w:pPr>
        <w:pStyle w:val="ListParagraph"/>
        <w:ind w:left="0"/>
      </w:pPr>
      <w:r>
        <w:tab/>
      </w:r>
      <w:r w:rsidR="00473C21">
        <w:t>The parallels between these tw</w:t>
      </w:r>
      <w:r w:rsidR="00D6333D">
        <w:t xml:space="preserve">o telecom companies are great. </w:t>
      </w:r>
      <w:r w:rsidR="00473C21">
        <w:t>Both have experienced healthy growth during the explosive wireless revolution and have seen declining re</w:t>
      </w:r>
      <w:r w:rsidR="00D6333D">
        <w:t>venues in the wireline market. Whereas</w:t>
      </w:r>
      <w:r w:rsidR="00217712">
        <w:t xml:space="preserve"> AT&amp;T relies a little more heavily on these wireline revenues than Verizon does</w:t>
      </w:r>
      <w:r>
        <w:t xml:space="preserve"> (47% share of revenues v</w:t>
      </w:r>
      <w:r w:rsidR="00D6333D">
        <w:t>s</w:t>
      </w:r>
      <w:r>
        <w:t>. 42.7% for Verizon)</w:t>
      </w:r>
      <w:r w:rsidR="00217712">
        <w:t>, AT&amp;T has a distinct advantage over Verizon in terms of operating ma</w:t>
      </w:r>
      <w:r w:rsidR="00D6333D">
        <w:t xml:space="preserve">rgins in the wireless segment. </w:t>
      </w:r>
      <w:r>
        <w:t xml:space="preserve">Also, AT&amp;T has been able to sustain </w:t>
      </w:r>
      <w:r w:rsidR="005414C3">
        <w:t xml:space="preserve">its </w:t>
      </w:r>
      <w:r>
        <w:t>average revenue per user, b</w:t>
      </w:r>
      <w:r w:rsidR="00D6333D">
        <w:t xml:space="preserve">ut Verizon’s ARPU is slipping. </w:t>
      </w:r>
      <w:r w:rsidR="00217712">
        <w:t>Both firms attempt to distract the conversation from premium price points by advertising abou</w:t>
      </w:r>
      <w:r w:rsidR="00D6333D">
        <w:t xml:space="preserve">t the power of their networks. </w:t>
      </w:r>
      <w:r w:rsidR="00217712">
        <w:t>However, Verizon engages in aggressive marketing tactics to tak</w:t>
      </w:r>
      <w:r>
        <w:t>e</w:t>
      </w:r>
      <w:r w:rsidR="00217712">
        <w:t xml:space="preserve"> advantage of </w:t>
      </w:r>
      <w:r>
        <w:t xml:space="preserve">the </w:t>
      </w:r>
      <w:r w:rsidR="00217712">
        <w:t xml:space="preserve">negative customer perceptions </w:t>
      </w:r>
      <w:r w:rsidR="005414C3">
        <w:t>stemming from</w:t>
      </w:r>
      <w:r w:rsidR="00217712">
        <w:t xml:space="preserve"> AT&amp;T’s cellular service quality.</w:t>
      </w:r>
      <w:r w:rsidR="00D6333D">
        <w:t xml:space="preserve"> </w:t>
      </w:r>
      <w:r>
        <w:t>The competitor currently has a greater number of subscribers, and with its new iPhone contract, thi</w:t>
      </w:r>
      <w:r w:rsidR="00D6333D">
        <w:t xml:space="preserve">s advantage is likely to grow. </w:t>
      </w:r>
      <w:r w:rsidR="004F11C3">
        <w:t>Looking ahead, AT&amp;T’s biggest competition is expected to come from cable companies and Verizon (who now also offers video services over its FiOS network</w:t>
      </w:r>
      <w:r>
        <w:t>)</w:t>
      </w:r>
      <w:r w:rsidR="004F11C3">
        <w:t xml:space="preserve">.  </w:t>
      </w:r>
    </w:p>
    <w:p w:rsidR="0041252F" w:rsidRDefault="0041252F" w:rsidP="0041252F">
      <w:pPr>
        <w:pStyle w:val="ListParagraph"/>
        <w:ind w:left="0"/>
      </w:pPr>
    </w:p>
    <w:p w:rsidR="00C85CAE" w:rsidRPr="00EB1F8B" w:rsidRDefault="00C85CAE" w:rsidP="00C85CAE">
      <w:pPr>
        <w:pBdr>
          <w:bottom w:val="single" w:sz="12" w:space="1" w:color="auto"/>
        </w:pBdr>
        <w:rPr>
          <w:b/>
          <w:bCs/>
          <w:spacing w:val="20"/>
        </w:rPr>
      </w:pPr>
      <w:r>
        <w:rPr>
          <w:b/>
          <w:bCs/>
          <w:spacing w:val="20"/>
        </w:rPr>
        <w:t>STRATEGY</w:t>
      </w:r>
    </w:p>
    <w:p w:rsidR="00C85CAE" w:rsidRDefault="00C85CAE" w:rsidP="00C85CAE"/>
    <w:p w:rsidR="00C85CAE" w:rsidRPr="00C85CAE" w:rsidRDefault="00C85CAE" w:rsidP="0083176C">
      <w:pPr>
        <w:pStyle w:val="ListParagraph"/>
        <w:numPr>
          <w:ilvl w:val="0"/>
          <w:numId w:val="4"/>
        </w:numPr>
        <w:rPr>
          <w:b/>
          <w:i/>
        </w:rPr>
      </w:pPr>
      <w:r w:rsidRPr="00C85CAE">
        <w:rPr>
          <w:b/>
          <w:i/>
        </w:rPr>
        <w:t>Is the company’s current strategy suitable for the exi</w:t>
      </w:r>
      <w:r w:rsidR="00720C15">
        <w:rPr>
          <w:b/>
          <w:i/>
        </w:rPr>
        <w:t>sting situation and conditions?</w:t>
      </w:r>
      <w:r w:rsidRPr="00C85CAE">
        <w:rPr>
          <w:b/>
          <w:i/>
        </w:rPr>
        <w:t xml:space="preserve">  What recommendations can be made to address strategic concerns and safeguard AT&amp;T’s financial stability?</w:t>
      </w:r>
    </w:p>
    <w:p w:rsidR="0053380A" w:rsidRDefault="0053380A" w:rsidP="0053380A">
      <w:pPr>
        <w:ind w:left="720"/>
      </w:pPr>
    </w:p>
    <w:p w:rsidR="003603AE" w:rsidRDefault="00013D0A" w:rsidP="00013D0A">
      <w:r>
        <w:tab/>
        <w:t>AT&amp;T is a full-service telecommunications and media firm</w:t>
      </w:r>
      <w:r w:rsidR="005163B7">
        <w:t xml:space="preserve"> using </w:t>
      </w:r>
      <w:r w:rsidR="008B37F5">
        <w:t xml:space="preserve">innovation and </w:t>
      </w:r>
      <w:r w:rsidR="005163B7">
        <w:t xml:space="preserve">a differentiation strategy to </w:t>
      </w:r>
      <w:r w:rsidR="003603AE">
        <w:t xml:space="preserve">command a premium price and </w:t>
      </w:r>
      <w:r w:rsidR="005163B7">
        <w:t>compete with other phone, cable</w:t>
      </w:r>
      <w:r w:rsidR="003603AE">
        <w:t>,</w:t>
      </w:r>
      <w:r w:rsidR="00720C15">
        <w:t xml:space="preserve"> and satellite providers. </w:t>
      </w:r>
      <w:r w:rsidR="005163B7">
        <w:t xml:space="preserve">It has a </w:t>
      </w:r>
      <w:r w:rsidR="00906359">
        <w:t>moderately</w:t>
      </w:r>
      <w:r w:rsidR="00720C15">
        <w:t xml:space="preserve"> </w:t>
      </w:r>
      <w:r w:rsidR="00906359">
        <w:t xml:space="preserve">related </w:t>
      </w:r>
      <w:r w:rsidR="005163B7">
        <w:t>diversified portfolio of communications products and services with a wide variety of price points, options, features</w:t>
      </w:r>
      <w:r w:rsidR="005414C3">
        <w:t>,</w:t>
      </w:r>
      <w:r w:rsidR="005163B7">
        <w:t xml:space="preserve"> and service bundles offering consumers flexibility </w:t>
      </w:r>
      <w:r w:rsidR="00214FFD">
        <w:t xml:space="preserve">and convenience. </w:t>
      </w:r>
      <w:r w:rsidR="00906359">
        <w:t xml:space="preserve">The company uses a single </w:t>
      </w:r>
      <w:r w:rsidR="005163B7">
        <w:t>brand approach</w:t>
      </w:r>
      <w:r w:rsidR="00906359">
        <w:t xml:space="preserve">, and its slogan </w:t>
      </w:r>
      <w:r w:rsidR="0041252F">
        <w:t>(</w:t>
      </w:r>
      <w:r>
        <w:t>“Your World – Delivered”</w:t>
      </w:r>
      <w:r w:rsidR="0041252F">
        <w:t>)</w:t>
      </w:r>
      <w:r>
        <w:t xml:space="preserve"> symbolizes </w:t>
      </w:r>
      <w:r w:rsidR="00906359">
        <w:t xml:space="preserve">AT&amp;T’s </w:t>
      </w:r>
      <w:r>
        <w:t>goal of delivering limitless content, one-stop shop</w:t>
      </w:r>
      <w:r w:rsidR="0041252F">
        <w:t>ping</w:t>
      </w:r>
      <w:r>
        <w:t xml:space="preserve">, </w:t>
      </w:r>
      <w:r w:rsidR="00906359">
        <w:t xml:space="preserve">and </w:t>
      </w:r>
      <w:r>
        <w:t>complementary offerings</w:t>
      </w:r>
      <w:r w:rsidR="00906359">
        <w:t>.</w:t>
      </w:r>
      <w:r w:rsidR="00214FFD">
        <w:t xml:space="preserve"> </w:t>
      </w:r>
      <w:r w:rsidR="003603AE">
        <w:t>The AT&amp;T brand is the centerpiece of the company’s marketing strategy because it portrays the firm’s rich history of innovation and tradition of</w:t>
      </w:r>
      <w:r w:rsidR="00214FFD">
        <w:t xml:space="preserve"> reliable quality and service. </w:t>
      </w:r>
      <w:r w:rsidR="00BF3D37">
        <w:t>AT&amp;T</w:t>
      </w:r>
      <w:r w:rsidR="002A017A">
        <w:t xml:space="preserve"> has a s</w:t>
      </w:r>
      <w:r w:rsidR="003603AE">
        <w:t xml:space="preserve">trong advertising presence in print, media, </w:t>
      </w:r>
      <w:r w:rsidR="00BF3D37">
        <w:t xml:space="preserve">and </w:t>
      </w:r>
      <w:r w:rsidR="003603AE">
        <w:t>Internet media</w:t>
      </w:r>
      <w:r w:rsidR="00BF3D37">
        <w:t>,</w:t>
      </w:r>
      <w:r w:rsidR="003603AE">
        <w:t xml:space="preserve"> </w:t>
      </w:r>
      <w:r w:rsidR="002A017A">
        <w:t>and a prominent sports sponsorship to enhance</w:t>
      </w:r>
      <w:r w:rsidR="003603AE">
        <w:t xml:space="preserve"> brand exposure</w:t>
      </w:r>
      <w:r w:rsidR="002A017A">
        <w:t>.</w:t>
      </w:r>
    </w:p>
    <w:p w:rsidR="00906359" w:rsidRDefault="00906359" w:rsidP="00906359"/>
    <w:p w:rsidR="008B37F5" w:rsidRDefault="00906359" w:rsidP="009C20AD">
      <w:r>
        <w:tab/>
        <w:t xml:space="preserve">In an effort to discover new avenues of growth beyond saturation in the cellular phone market, AT&amp;T is now pursuing opportunities to provide </w:t>
      </w:r>
      <w:r w:rsidR="008B37F5">
        <w:t xml:space="preserve">a variety of easy-to-use </w:t>
      </w:r>
      <w:r>
        <w:t>data and entertainment content through its exi</w:t>
      </w:r>
      <w:r w:rsidR="00214FFD">
        <w:t xml:space="preserve">sting communications networks. </w:t>
      </w:r>
      <w:r w:rsidR="008B37F5">
        <w:t>Because the company continued to innovate and adopt new technologies for its softening wireline business and invested heavily in fiber optics to upgrade its wire network, AT&amp;T is now able to expand into Internet and video home services in</w:t>
      </w:r>
      <w:r w:rsidR="00214FFD">
        <w:t xml:space="preserve"> its 22-state domestic region. </w:t>
      </w:r>
      <w:r w:rsidR="008B37F5">
        <w:t xml:space="preserve">This provides a full spectrum of voice, data, and video services to support </w:t>
      </w:r>
      <w:r w:rsidR="00BF3D37">
        <w:t>its</w:t>
      </w:r>
      <w:r w:rsidR="00214FFD">
        <w:t xml:space="preserve"> business strategy. </w:t>
      </w:r>
      <w:r w:rsidR="008B37F5">
        <w:t>To address the blurred distinctions between telephone services, online computing, and entertainment</w:t>
      </w:r>
      <w:r w:rsidR="00EF5D5B">
        <w:t xml:space="preserve">, </w:t>
      </w:r>
      <w:r w:rsidR="008B37F5">
        <w:t>the company plans to offer new services that combine traditional wireless</w:t>
      </w:r>
      <w:r w:rsidR="00EF5D5B">
        <w:t xml:space="preserve"> and </w:t>
      </w:r>
      <w:r w:rsidR="008B37F5">
        <w:t>wireline services to improve conveniences and productivity for customers.</w:t>
      </w:r>
    </w:p>
    <w:p w:rsidR="008B37F5" w:rsidRDefault="008B37F5" w:rsidP="009C20AD"/>
    <w:p w:rsidR="008A3814" w:rsidRDefault="008B37F5" w:rsidP="008A3814">
      <w:r>
        <w:t xml:space="preserve"> </w:t>
      </w:r>
      <w:r w:rsidR="00EF5D5B">
        <w:tab/>
        <w:t>The company has a successful history of building cooperative relationships to facilitate growth in new segments, gain a position in emerging markets, and generate a steady stre</w:t>
      </w:r>
      <w:r w:rsidR="00214FFD">
        <w:t xml:space="preserve">am of income for shareholders. </w:t>
      </w:r>
      <w:r w:rsidR="00EF5D5B">
        <w:t>AT&amp;T has been willing to “</w:t>
      </w:r>
      <w:r w:rsidR="00013D0A">
        <w:t>reinvent</w:t>
      </w:r>
      <w:r w:rsidR="00EF5D5B">
        <w:t>”</w:t>
      </w:r>
      <w:r w:rsidR="00013D0A">
        <w:t xml:space="preserve"> itself over the years</w:t>
      </w:r>
      <w:r w:rsidR="00EF5D5B">
        <w:t xml:space="preserve"> and has used </w:t>
      </w:r>
      <w:r w:rsidR="00013D0A">
        <w:t>mergers</w:t>
      </w:r>
      <w:r w:rsidR="00EF5D5B">
        <w:t xml:space="preserve"> </w:t>
      </w:r>
      <w:r w:rsidR="00013D0A" w:rsidRPr="00EF5D5B">
        <w:t>and acquisitions</w:t>
      </w:r>
      <w:r w:rsidR="00013D0A">
        <w:t xml:space="preserve"> to create synergies between computers and communication during the rapid expansion of </w:t>
      </w:r>
      <w:r w:rsidR="00EF5D5B">
        <w:t xml:space="preserve">new </w:t>
      </w:r>
      <w:r w:rsidR="00BF3D37">
        <w:t>technologies</w:t>
      </w:r>
      <w:r w:rsidR="00214FFD">
        <w:t xml:space="preserve">. </w:t>
      </w:r>
      <w:r w:rsidR="008A3814">
        <w:t xml:space="preserve">By adopting technology standards </w:t>
      </w:r>
      <w:r w:rsidR="00214FFD">
        <w:t>that</w:t>
      </w:r>
      <w:r w:rsidR="008A3814">
        <w:t xml:space="preserve"> are compatible with the majority of global carriers, the company can deliver global coverage and device flexibility for its subscriber base </w:t>
      </w:r>
      <w:r w:rsidR="00214FFD">
        <w:t>that</w:t>
      </w:r>
      <w:r w:rsidR="008A3814">
        <w:t xml:space="preserve"> is not matched by Verizon </w:t>
      </w:r>
      <w:r w:rsidR="005414C3">
        <w:t>or</w:t>
      </w:r>
      <w:r w:rsidR="00214FFD">
        <w:t xml:space="preserve"> Sprint. </w:t>
      </w:r>
      <w:r w:rsidR="008A3814">
        <w:t xml:space="preserve">And having a larger geographic market attracts the best phones offered by device manufacturers.  </w:t>
      </w:r>
    </w:p>
    <w:p w:rsidR="002A017A" w:rsidRPr="002A017A" w:rsidRDefault="002A017A" w:rsidP="003603AE">
      <w:pPr>
        <w:rPr>
          <w:color w:val="FF0000"/>
        </w:rPr>
      </w:pPr>
    </w:p>
    <w:p w:rsidR="003603AE" w:rsidRDefault="00BF3D37" w:rsidP="003603AE">
      <w:r w:rsidRPr="00BF3D37">
        <w:tab/>
      </w:r>
      <w:r>
        <w:t>AT&amp;T’s o</w:t>
      </w:r>
      <w:r w:rsidR="003603AE" w:rsidRPr="00BF3D37">
        <w:t xml:space="preserve">rganizational </w:t>
      </w:r>
      <w:r>
        <w:t>s</w:t>
      </w:r>
      <w:r w:rsidR="003603AE" w:rsidRPr="00BF3D37">
        <w:t>tructure</w:t>
      </w:r>
      <w:r>
        <w:t xml:space="preserve"> is a</w:t>
      </w:r>
      <w:r w:rsidR="003603AE">
        <w:t xml:space="preserve">ligned </w:t>
      </w:r>
      <w:r>
        <w:t>to serve and support</w:t>
      </w:r>
      <w:r w:rsidR="003603AE">
        <w:t xml:space="preserve"> broad market profiles: mobility and consumer markets, business solutions, </w:t>
      </w:r>
      <w:r w:rsidR="006A3F3B">
        <w:t xml:space="preserve">and diversified businesses. </w:t>
      </w:r>
      <w:r>
        <w:t>Operating s</w:t>
      </w:r>
      <w:r w:rsidR="003603AE">
        <w:t>eparate business units</w:t>
      </w:r>
      <w:r>
        <w:t xml:space="preserve"> in this manner</w:t>
      </w:r>
      <w:r w:rsidR="00EE00F1">
        <w:t xml:space="preserve">, or using a cooperative form of the multidivisional structure, is suitable for facilitating interdivisional cooperation </w:t>
      </w:r>
      <w:r w:rsidR="005414C3">
        <w:t>at</w:t>
      </w:r>
      <w:r w:rsidR="00EE00F1">
        <w:t xml:space="preserve"> firms executing a related constrained diversification strategy.</w:t>
      </w:r>
      <w:r w:rsidR="005013AA">
        <w:t xml:space="preserve"> It allows AT&amp;T to share </w:t>
      </w:r>
      <w:r w:rsidR="00D34246">
        <w:t>capabilities across divisions and supports the company’s efforts to develop economies of scope.</w:t>
      </w:r>
    </w:p>
    <w:p w:rsidR="00BF3D37" w:rsidRDefault="00BF3D37" w:rsidP="003603AE"/>
    <w:p w:rsidR="004F1D92" w:rsidRDefault="004F1D92" w:rsidP="004F1D92">
      <w:r>
        <w:tab/>
        <w:t xml:space="preserve">Taking AT&amp;T’s strategy and strengths into account, along with the evaluation of </w:t>
      </w:r>
      <w:r w:rsidRPr="004F1D92">
        <w:t xml:space="preserve">the company’s markets, competition, and </w:t>
      </w:r>
      <w:r>
        <w:t>industry</w:t>
      </w:r>
      <w:r w:rsidRPr="004F1D92">
        <w:t xml:space="preserve"> environment</w:t>
      </w:r>
      <w:r>
        <w:t>, the suitability of the company</w:t>
      </w:r>
      <w:r w:rsidR="006A3F3B">
        <w:t>’s strategy can be assessed</w:t>
      </w:r>
      <w:r>
        <w:t xml:space="preserve"> and recommendations to address s</w:t>
      </w:r>
      <w:r w:rsidR="006A3F3B">
        <w:t>trategic concerns can be made. Though</w:t>
      </w:r>
      <w:r>
        <w:t xml:space="preserve"> suggestions from students will vary, the following topics play a </w:t>
      </w:r>
      <w:r w:rsidRPr="004F1D92">
        <w:t xml:space="preserve">critical role in formulating strategic </w:t>
      </w:r>
      <w:r>
        <w:t xml:space="preserve">measures </w:t>
      </w:r>
      <w:r w:rsidR="005414C3">
        <w:t xml:space="preserve">for AT&amp;T </w:t>
      </w:r>
      <w:r w:rsidR="006A3F3B">
        <w:t>to</w:t>
      </w:r>
      <w:r>
        <w:t xml:space="preserve"> ensure future revenues, maximize returns</w:t>
      </w:r>
      <w:r w:rsidR="005414C3">
        <w:t>,</w:t>
      </w:r>
      <w:r>
        <w:t xml:space="preserve"> and meet shareholder expectations</w:t>
      </w:r>
      <w:r w:rsidRPr="004F1D92">
        <w:t>.</w:t>
      </w:r>
    </w:p>
    <w:p w:rsidR="00D34246" w:rsidRDefault="00D34246" w:rsidP="004F1D92">
      <w:pPr>
        <w:rPr>
          <w:bCs/>
        </w:rPr>
      </w:pPr>
    </w:p>
    <w:p w:rsidR="00223ADB" w:rsidRDefault="00935FAB" w:rsidP="00223ADB">
      <w:r>
        <w:rPr>
          <w:bCs/>
        </w:rPr>
        <w:tab/>
      </w:r>
      <w:r w:rsidR="00546CDE">
        <w:rPr>
          <w:bCs/>
          <w:u w:val="single"/>
        </w:rPr>
        <w:t>Full Spectrum Delivery</w:t>
      </w:r>
      <w:r w:rsidR="006A3F3B">
        <w:rPr>
          <w:bCs/>
        </w:rPr>
        <w:t xml:space="preserve"> </w:t>
      </w:r>
      <w:r>
        <w:rPr>
          <w:bCs/>
        </w:rPr>
        <w:t xml:space="preserve"> </w:t>
      </w:r>
      <w:r w:rsidR="00546CDE">
        <w:t>AT&amp;T’s business transformation plan requires a growth strategy aimed at new revenue sources, a rebalance</w:t>
      </w:r>
      <w:r w:rsidR="0023116A">
        <w:t xml:space="preserve"> of the </w:t>
      </w:r>
      <w:r w:rsidR="005414C3">
        <w:t xml:space="preserve">company’s </w:t>
      </w:r>
      <w:r w:rsidR="00546CDE">
        <w:t xml:space="preserve">product mix, and </w:t>
      </w:r>
      <w:r w:rsidR="005414C3">
        <w:t xml:space="preserve">adequate </w:t>
      </w:r>
      <w:r w:rsidR="00546CDE">
        <w:t>infrastructure and resourc</w:t>
      </w:r>
      <w:r w:rsidR="006A3F3B">
        <w:t>es to support growing segments.</w:t>
      </w:r>
      <w:r w:rsidR="00546CDE">
        <w:t xml:space="preserve"> </w:t>
      </w:r>
      <w:r w:rsidR="00546CDE">
        <w:rPr>
          <w:bCs/>
        </w:rPr>
        <w:t xml:space="preserve">The company’s strategies and investments to expand into Internet media satisfy these requirements and proffer </w:t>
      </w:r>
      <w:r w:rsidR="0023116A">
        <w:rPr>
          <w:bCs/>
        </w:rPr>
        <w:t xml:space="preserve">multiple </w:t>
      </w:r>
      <w:r w:rsidR="00546CDE">
        <w:rPr>
          <w:bCs/>
        </w:rPr>
        <w:t>seamless delivery options for a bro</w:t>
      </w:r>
      <w:r w:rsidR="006A3F3B">
        <w:rPr>
          <w:bCs/>
        </w:rPr>
        <w:t xml:space="preserve">ad consumer market. </w:t>
      </w:r>
      <w:r w:rsidR="00546CDE">
        <w:rPr>
          <w:bCs/>
        </w:rPr>
        <w:t xml:space="preserve">They </w:t>
      </w:r>
      <w:r w:rsidR="0023116A">
        <w:rPr>
          <w:bCs/>
        </w:rPr>
        <w:t xml:space="preserve">also </w:t>
      </w:r>
      <w:r w:rsidR="006A3F3B">
        <w:rPr>
          <w:bCs/>
        </w:rPr>
        <w:t>address saturated US</w:t>
      </w:r>
      <w:r w:rsidR="00546CDE">
        <w:rPr>
          <w:bCs/>
        </w:rPr>
        <w:t xml:space="preserve"> markets and the loss of iPhone exclusivity by giving the co</w:t>
      </w:r>
      <w:r w:rsidR="006A3F3B">
        <w:rPr>
          <w:bCs/>
        </w:rPr>
        <w:t xml:space="preserve">mpany a new competitive angle. </w:t>
      </w:r>
      <w:r w:rsidR="005414C3">
        <w:rPr>
          <w:bCs/>
        </w:rPr>
        <w:t>In addition, t</w:t>
      </w:r>
      <w:r w:rsidR="00223ADB">
        <w:t>he ability to share</w:t>
      </w:r>
      <w:r w:rsidR="00223ADB" w:rsidRPr="00914685">
        <w:t xml:space="preserve"> </w:t>
      </w:r>
      <w:r w:rsidR="00223ADB">
        <w:t>or transfer the firm’s resources and competencies across business units can enable the company to create value and exploit economies of scope</w:t>
      </w:r>
      <w:r w:rsidR="00223ADB" w:rsidRPr="00DB4519">
        <w:t xml:space="preserve"> </w:t>
      </w:r>
      <w:r w:rsidR="00223ADB">
        <w:t xml:space="preserve">between its businesses.  </w:t>
      </w:r>
    </w:p>
    <w:p w:rsidR="002A017A" w:rsidRDefault="002A017A" w:rsidP="003603AE"/>
    <w:p w:rsidR="0023116A" w:rsidRDefault="00935FAB" w:rsidP="0023116A">
      <w:pPr>
        <w:rPr>
          <w:bCs/>
        </w:rPr>
      </w:pPr>
      <w:r>
        <w:rPr>
          <w:bCs/>
        </w:rPr>
        <w:tab/>
      </w:r>
      <w:r w:rsidR="0023116A">
        <w:rPr>
          <w:bCs/>
          <w:u w:val="single"/>
        </w:rPr>
        <w:t>Marketing Strategy</w:t>
      </w:r>
      <w:r w:rsidR="0023116A" w:rsidRPr="0023116A">
        <w:rPr>
          <w:bCs/>
        </w:rPr>
        <w:t xml:space="preserve"> </w:t>
      </w:r>
      <w:r>
        <w:rPr>
          <w:bCs/>
        </w:rPr>
        <w:t xml:space="preserve"> </w:t>
      </w:r>
      <w:r w:rsidR="00573BFB">
        <w:rPr>
          <w:bCs/>
        </w:rPr>
        <w:t>As the competitive landscape evolves, t</w:t>
      </w:r>
      <w:r w:rsidR="0023116A">
        <w:rPr>
          <w:bCs/>
        </w:rPr>
        <w:t xml:space="preserve">he need for a revised and powerful marketing strategy is critical to AT&amp;T on several fronts.  </w:t>
      </w:r>
    </w:p>
    <w:p w:rsidR="0023116A" w:rsidRDefault="0023116A" w:rsidP="0023116A">
      <w:pPr>
        <w:rPr>
          <w:bCs/>
        </w:rPr>
      </w:pPr>
    </w:p>
    <w:p w:rsidR="0023116A" w:rsidRDefault="0023116A" w:rsidP="0083176C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The AT&amp;T brand has been damaged by service issues in the wireless segment.</w:t>
      </w:r>
      <w:r w:rsidR="006F1EDF">
        <w:rPr>
          <w:bCs/>
        </w:rPr>
        <w:t xml:space="preserve"> </w:t>
      </w:r>
    </w:p>
    <w:p w:rsidR="00635633" w:rsidRDefault="00635633" w:rsidP="0083176C">
      <w:pPr>
        <w:pStyle w:val="ListParagraph"/>
        <w:numPr>
          <w:ilvl w:val="0"/>
          <w:numId w:val="6"/>
        </w:numPr>
        <w:contextualSpacing w:val="0"/>
        <w:rPr>
          <w:bCs/>
        </w:rPr>
      </w:pPr>
      <w:r>
        <w:t>The company’s positioning as a premium-priced, high quality services provider is inconsistent with its current service reputation.</w:t>
      </w:r>
    </w:p>
    <w:p w:rsidR="00635633" w:rsidRPr="00635633" w:rsidRDefault="00635633" w:rsidP="0083176C">
      <w:pPr>
        <w:pStyle w:val="ListParagraph"/>
        <w:numPr>
          <w:ilvl w:val="0"/>
          <w:numId w:val="6"/>
        </w:numPr>
        <w:contextualSpacing w:val="0"/>
        <w:rPr>
          <w:bCs/>
        </w:rPr>
      </w:pPr>
      <w:r w:rsidRPr="00635633">
        <w:rPr>
          <w:bCs/>
        </w:rPr>
        <w:t>Increased competition in the saturated domestic market requires new methods of attracting users from competing providers.</w:t>
      </w:r>
    </w:p>
    <w:p w:rsidR="0023116A" w:rsidRPr="0023116A" w:rsidRDefault="0023116A" w:rsidP="0083176C">
      <w:pPr>
        <w:pStyle w:val="ListParagraph"/>
        <w:numPr>
          <w:ilvl w:val="0"/>
          <w:numId w:val="6"/>
        </w:numPr>
        <w:contextualSpacing w:val="0"/>
        <w:rPr>
          <w:bCs/>
        </w:rPr>
      </w:pPr>
      <w:r>
        <w:rPr>
          <w:bCs/>
        </w:rPr>
        <w:t xml:space="preserve">Verizon attacks must be answered less defensively and with an emphasis on </w:t>
      </w:r>
      <w:r>
        <w:t>AT&amp;T’s competitive advantages.</w:t>
      </w:r>
    </w:p>
    <w:p w:rsidR="0023116A" w:rsidRPr="00B260A3" w:rsidRDefault="0023116A" w:rsidP="0083176C">
      <w:pPr>
        <w:pStyle w:val="ListParagraph"/>
        <w:numPr>
          <w:ilvl w:val="0"/>
          <w:numId w:val="6"/>
        </w:numPr>
        <w:contextualSpacing w:val="0"/>
        <w:rPr>
          <w:bCs/>
        </w:rPr>
      </w:pPr>
      <w:r>
        <w:rPr>
          <w:bCs/>
        </w:rPr>
        <w:t>Newer services require a different approach, aimed more at Internet users and</w:t>
      </w:r>
      <w:r w:rsidR="00635633">
        <w:rPr>
          <w:bCs/>
        </w:rPr>
        <w:t xml:space="preserve"> first-time users.</w:t>
      </w:r>
    </w:p>
    <w:p w:rsidR="0023116A" w:rsidRDefault="0023116A" w:rsidP="0023116A"/>
    <w:p w:rsidR="00223ADB" w:rsidRPr="00223ADB" w:rsidRDefault="00935FAB" w:rsidP="0023116A">
      <w:r>
        <w:tab/>
      </w:r>
      <w:r w:rsidR="00223ADB">
        <w:rPr>
          <w:u w:val="single"/>
        </w:rPr>
        <w:t>Cooperative Strategy</w:t>
      </w:r>
      <w:r w:rsidR="006A3F3B">
        <w:t xml:space="preserve"> </w:t>
      </w:r>
      <w:r>
        <w:t xml:space="preserve"> </w:t>
      </w:r>
      <w:r w:rsidR="00223ADB">
        <w:t>Strategic alliances can play a significant role in addressing some of the comp</w:t>
      </w:r>
      <w:r w:rsidR="006A3F3B">
        <w:t>etitive challenges facing AT&amp;T.</w:t>
      </w:r>
      <w:r w:rsidR="00223ADB">
        <w:t xml:space="preserve"> International partnerships can increase the speed of market p</w:t>
      </w:r>
      <w:r w:rsidR="006A3F3B">
        <w:t>enetration in overseas markets.</w:t>
      </w:r>
      <w:r w:rsidR="00223ADB">
        <w:t xml:space="preserve"> Relationships with dominant global suppliers in the network equipment industry can serve to </w:t>
      </w:r>
      <w:r w:rsidR="00B260A3">
        <w:t>provide substantial advantages in the race to exp</w:t>
      </w:r>
      <w:r w:rsidR="006A3F3B">
        <w:t xml:space="preserve">and wireless network capacity. </w:t>
      </w:r>
      <w:r w:rsidR="00B260A3">
        <w:t>Perhaps most importantly, AT&amp;T could use cooperative partnerships to improve the rate of growth for U-verse, which is essential to compensate for saturated markets and the</w:t>
      </w:r>
      <w:r w:rsidR="006A3F3B">
        <w:t xml:space="preserve"> loss of landline subscribers. </w:t>
      </w:r>
      <w:r w:rsidR="00B260A3">
        <w:t>A valuable collaborative advantage could be gained by partnering with a major Internet content delivery firm, such as Google, Amazon, or Microsoft.</w:t>
      </w:r>
    </w:p>
    <w:p w:rsidR="00223ADB" w:rsidRDefault="00223ADB" w:rsidP="0023116A"/>
    <w:p w:rsidR="00745357" w:rsidRDefault="00935FAB" w:rsidP="0023116A">
      <w:r>
        <w:tab/>
      </w:r>
      <w:r w:rsidR="0023116A">
        <w:rPr>
          <w:u w:val="single"/>
        </w:rPr>
        <w:t>Wireless</w:t>
      </w:r>
      <w:r w:rsidR="00B260A3">
        <w:rPr>
          <w:u w:val="single"/>
        </w:rPr>
        <w:t xml:space="preserve"> Division</w:t>
      </w:r>
      <w:r w:rsidR="006A3F3B">
        <w:t xml:space="preserve"> </w:t>
      </w:r>
      <w:r>
        <w:t xml:space="preserve"> </w:t>
      </w:r>
      <w:r w:rsidR="00B260A3">
        <w:t xml:space="preserve">AT&amp;T has </w:t>
      </w:r>
      <w:r w:rsidR="0023116A">
        <w:t>depend</w:t>
      </w:r>
      <w:r w:rsidR="00B260A3">
        <w:t>ed</w:t>
      </w:r>
      <w:r w:rsidR="0023116A">
        <w:t xml:space="preserve"> heavily on wireless/3G profits </w:t>
      </w:r>
      <w:r w:rsidR="00B260A3">
        <w:t xml:space="preserve">to </w:t>
      </w:r>
      <w:r w:rsidR="005F79EA">
        <w:t xml:space="preserve">replace </w:t>
      </w:r>
      <w:r w:rsidR="00B260A3">
        <w:t>loss</w:t>
      </w:r>
      <w:r w:rsidR="005F79EA">
        <w:t>es</w:t>
      </w:r>
      <w:r w:rsidR="00B260A3">
        <w:t xml:space="preserve"> </w:t>
      </w:r>
      <w:r w:rsidR="005F79EA">
        <w:t xml:space="preserve">in the </w:t>
      </w:r>
      <w:r w:rsidR="006A3F3B">
        <w:t xml:space="preserve">landline business. </w:t>
      </w:r>
      <w:r w:rsidR="00B260A3">
        <w:t xml:space="preserve">Threats identified </w:t>
      </w:r>
      <w:r w:rsidR="005F79EA">
        <w:t>in</w:t>
      </w:r>
      <w:r w:rsidR="00B260A3">
        <w:t xml:space="preserve"> the analysis </w:t>
      </w:r>
      <w:r w:rsidR="005F79EA">
        <w:t xml:space="preserve">above </w:t>
      </w:r>
      <w:r w:rsidR="00B260A3">
        <w:t xml:space="preserve">demonstrate considerable risk to this very </w:t>
      </w:r>
      <w:r w:rsidR="005E2D77">
        <w:t>important growth</w:t>
      </w:r>
      <w:r w:rsidR="0005083F">
        <w:t xml:space="preserve"> </w:t>
      </w:r>
      <w:r w:rsidR="006A3F3B">
        <w:t>segment.</w:t>
      </w:r>
      <w:r w:rsidR="00B260A3">
        <w:t xml:space="preserve"> </w:t>
      </w:r>
      <w:r w:rsidR="00745357">
        <w:t>Saturated domestic wireless markets, loss of iPhone exclusivity, service quality issues, and increased VoIP solutions all signify that competitive pressures will intensif</w:t>
      </w:r>
      <w:r w:rsidR="006A3F3B">
        <w:t>y in the cellular phone market.</w:t>
      </w:r>
      <w:r w:rsidR="00745357">
        <w:t xml:space="preserve"> As mentioned above, </w:t>
      </w:r>
      <w:r w:rsidR="009D6753">
        <w:t xml:space="preserve">meeting this challenge </w:t>
      </w:r>
      <w:r w:rsidR="00745357">
        <w:t xml:space="preserve">requires a successful marketing strategy, aggressive global expansion before saturation in international markets occurs, and continued infrastructure </w:t>
      </w:r>
      <w:r w:rsidR="00DF1B2C">
        <w:t>development</w:t>
      </w:r>
      <w:r w:rsidR="006A3F3B">
        <w:t>.</w:t>
      </w:r>
      <w:r w:rsidR="00745357">
        <w:t xml:space="preserve"> It also requires a competitive strategy and new competitive advantages designed to protect this critical revenue haven</w:t>
      </w:r>
      <w:r w:rsidR="009D6753">
        <w:t xml:space="preserve"> until a strong position can be gained in </w:t>
      </w:r>
      <w:r w:rsidR="00443D20">
        <w:t>the Internet streaming seg</w:t>
      </w:r>
      <w:r w:rsidR="009D6753">
        <w:t>ment</w:t>
      </w:r>
      <w:r w:rsidR="00745357">
        <w:t xml:space="preserve">.  </w:t>
      </w:r>
    </w:p>
    <w:p w:rsidR="00D34246" w:rsidRDefault="00D34246" w:rsidP="003603AE"/>
    <w:p w:rsidR="00F2082C" w:rsidRDefault="00935FAB" w:rsidP="00F2082C">
      <w:r>
        <w:tab/>
      </w:r>
      <w:r w:rsidR="00D46204">
        <w:rPr>
          <w:u w:val="single"/>
        </w:rPr>
        <w:t xml:space="preserve">New </w:t>
      </w:r>
      <w:r w:rsidR="00D34246" w:rsidRPr="00D34246">
        <w:rPr>
          <w:u w:val="single"/>
        </w:rPr>
        <w:t>Competitive Advantage</w:t>
      </w:r>
      <w:r w:rsidR="00D46204">
        <w:rPr>
          <w:u w:val="single"/>
        </w:rPr>
        <w:t>s</w:t>
      </w:r>
      <w:r w:rsidR="006A3F3B">
        <w:t xml:space="preserve"> </w:t>
      </w:r>
      <w:r w:rsidR="005240EC">
        <w:t xml:space="preserve"> </w:t>
      </w:r>
      <w:r w:rsidR="009D6753">
        <w:t>Creating new competitive advantages over rivals is necessary</w:t>
      </w:r>
      <w:r w:rsidR="00D855D3">
        <w:t xml:space="preserve"> for navigating the increasingly competitive communications industry</w:t>
      </w:r>
      <w:r w:rsidR="006A3F3B">
        <w:t xml:space="preserve">, </w:t>
      </w:r>
      <w:r w:rsidR="00D855D3">
        <w:t xml:space="preserve">especially </w:t>
      </w:r>
      <w:r w:rsidR="009D6753">
        <w:t>to protect the company’s vital wireless market position</w:t>
      </w:r>
      <w:r w:rsidR="006A3F3B">
        <w:t xml:space="preserve">. </w:t>
      </w:r>
      <w:r w:rsidR="005240EC">
        <w:t xml:space="preserve">Former CEO Whitacre believes that the organization’s future success depends on possessing the assets that connect customers (assets </w:t>
      </w:r>
      <w:r w:rsidR="006A3F3B">
        <w:t>that cannot be duplicated).</w:t>
      </w:r>
      <w:r w:rsidR="005240EC">
        <w:t xml:space="preserve"> He claims that the key is to reach more customers than AT&amp;</w:t>
      </w:r>
      <w:r w:rsidR="006A3F3B">
        <w:t xml:space="preserve">T’s rivals. </w:t>
      </w:r>
      <w:r w:rsidR="00443D20">
        <w:t xml:space="preserve">Some </w:t>
      </w:r>
      <w:r w:rsidR="005240EC">
        <w:t xml:space="preserve">other </w:t>
      </w:r>
      <w:r w:rsidR="00443D20">
        <w:t xml:space="preserve">potential sources </w:t>
      </w:r>
      <w:r w:rsidR="005240EC">
        <w:t>of competitive advantage are noted below.</w:t>
      </w:r>
    </w:p>
    <w:p w:rsidR="00443D20" w:rsidRDefault="00443D20" w:rsidP="00F2082C"/>
    <w:p w:rsidR="00223ADB" w:rsidRDefault="00223ADB" w:rsidP="0083176C">
      <w:pPr>
        <w:pStyle w:val="ListParagraph"/>
        <w:numPr>
          <w:ilvl w:val="0"/>
          <w:numId w:val="7"/>
        </w:numPr>
      </w:pPr>
      <w:r>
        <w:t>D</w:t>
      </w:r>
      <w:r w:rsidRPr="00223ADB">
        <w:t>iversification synergies</w:t>
      </w:r>
      <w:r>
        <w:t xml:space="preserve"> gained from intangible asset</w:t>
      </w:r>
      <w:r w:rsidR="002B016C">
        <w:t>s</w:t>
      </w:r>
      <w:r>
        <w:t xml:space="preserve"> can expand the company’s </w:t>
      </w:r>
      <w:r w:rsidRPr="00533AAB">
        <w:t>market power</w:t>
      </w:r>
      <w:r>
        <w:t xml:space="preserve"> </w:t>
      </w:r>
      <w:r w:rsidR="002B016C">
        <w:t xml:space="preserve">while evading </w:t>
      </w:r>
      <w:r>
        <w:t>competitor imitation.</w:t>
      </w:r>
    </w:p>
    <w:p w:rsidR="002B016C" w:rsidRDefault="002B016C" w:rsidP="0083176C">
      <w:pPr>
        <w:pStyle w:val="ListParagraph"/>
        <w:numPr>
          <w:ilvl w:val="0"/>
          <w:numId w:val="7"/>
        </w:numPr>
        <w:contextualSpacing w:val="0"/>
      </w:pPr>
      <w:r>
        <w:t>Relationships with global network suppliers can be used to establish a cost advantage for infrastructure development.</w:t>
      </w:r>
    </w:p>
    <w:p w:rsidR="002B016C" w:rsidRDefault="002B016C" w:rsidP="0083176C">
      <w:pPr>
        <w:pStyle w:val="ListParagraph"/>
        <w:numPr>
          <w:ilvl w:val="0"/>
          <w:numId w:val="7"/>
        </w:numPr>
        <w:contextualSpacing w:val="0"/>
      </w:pPr>
      <w:r>
        <w:t xml:space="preserve">Global connections </w:t>
      </w:r>
      <w:r w:rsidR="00935FAB">
        <w:t xml:space="preserve">and device flexibility </w:t>
      </w:r>
      <w:r>
        <w:t>can be leveraged to provide greater value to customers and to strengthen the company’s global market</w:t>
      </w:r>
      <w:r w:rsidR="00D855D3">
        <w:t xml:space="preserve"> </w:t>
      </w:r>
      <w:r>
        <w:t>share.</w:t>
      </w:r>
      <w:r w:rsidR="00935FAB">
        <w:t xml:space="preserve"> A</w:t>
      </w:r>
      <w:r w:rsidR="005240EC">
        <w:t>nd a</w:t>
      </w:r>
      <w:r w:rsidR="00935FAB">
        <w:t>ccess to better mobile devices may be</w:t>
      </w:r>
      <w:r w:rsidR="00573BFB">
        <w:t xml:space="preserve"> a</w:t>
      </w:r>
      <w:r w:rsidR="00935FAB">
        <w:t xml:space="preserve"> way to make up for the loss of iPhone exclusivity.</w:t>
      </w:r>
    </w:p>
    <w:p w:rsidR="002B016C" w:rsidRDefault="002B016C" w:rsidP="0083176C">
      <w:pPr>
        <w:pStyle w:val="ListParagraph"/>
        <w:numPr>
          <w:ilvl w:val="0"/>
          <w:numId w:val="7"/>
        </w:numPr>
        <w:contextualSpacing w:val="0"/>
      </w:pPr>
      <w:r>
        <w:t>Regulatory influence can be used to prevent “Net Neutrality” forces from gaining ground.</w:t>
      </w:r>
    </w:p>
    <w:p w:rsidR="0005083F" w:rsidRDefault="0005083F" w:rsidP="0083176C">
      <w:pPr>
        <w:pStyle w:val="ListParagraph"/>
        <w:numPr>
          <w:ilvl w:val="0"/>
          <w:numId w:val="7"/>
        </w:numPr>
        <w:contextualSpacing w:val="0"/>
      </w:pPr>
      <w:r>
        <w:t>Recognizing a slight advantage over Verizon in retaining its ARPU rate, AT&amp;T should focus on methods to further strengthen this performance measure.</w:t>
      </w:r>
      <w:r w:rsidR="00F77CF0">
        <w:t xml:space="preserve">  Coupled with better control over rising costs, the company can also reinforce its advantageous operating margin. </w:t>
      </w:r>
    </w:p>
    <w:p w:rsidR="00223ADB" w:rsidRDefault="00223ADB" w:rsidP="00223ADB"/>
    <w:p w:rsidR="00F2082C" w:rsidRPr="00D34246" w:rsidRDefault="00935FAB" w:rsidP="00F2082C">
      <w:r>
        <w:rPr>
          <w:bCs/>
        </w:rPr>
        <w:tab/>
      </w:r>
      <w:r w:rsidR="00D855D3">
        <w:rPr>
          <w:bCs/>
          <w:u w:val="single"/>
        </w:rPr>
        <w:t>V</w:t>
      </w:r>
      <w:r w:rsidR="00D855D3" w:rsidRPr="00D34246">
        <w:rPr>
          <w:bCs/>
          <w:u w:val="single"/>
        </w:rPr>
        <w:t xml:space="preserve">ariable </w:t>
      </w:r>
      <w:r w:rsidR="00D855D3">
        <w:rPr>
          <w:bCs/>
          <w:u w:val="single"/>
        </w:rPr>
        <w:t>P</w:t>
      </w:r>
      <w:r w:rsidR="00D855D3" w:rsidRPr="00D34246">
        <w:rPr>
          <w:bCs/>
          <w:u w:val="single"/>
        </w:rPr>
        <w:t xml:space="preserve">ricing </w:t>
      </w:r>
      <w:r w:rsidR="00D855D3">
        <w:rPr>
          <w:bCs/>
          <w:u w:val="single"/>
        </w:rPr>
        <w:t>M</w:t>
      </w:r>
      <w:r w:rsidR="00D855D3" w:rsidRPr="00D34246">
        <w:rPr>
          <w:bCs/>
          <w:u w:val="single"/>
        </w:rPr>
        <w:t>odel</w:t>
      </w:r>
      <w:r w:rsidR="007A40AD">
        <w:rPr>
          <w:bCs/>
        </w:rPr>
        <w:t xml:space="preserve"> </w:t>
      </w:r>
      <w:r>
        <w:rPr>
          <w:bCs/>
        </w:rPr>
        <w:t xml:space="preserve"> </w:t>
      </w:r>
      <w:r w:rsidR="00D855D3">
        <w:rPr>
          <w:bCs/>
        </w:rPr>
        <w:t xml:space="preserve">It appears </w:t>
      </w:r>
      <w:r w:rsidR="00F2082C">
        <w:rPr>
          <w:bCs/>
        </w:rPr>
        <w:t xml:space="preserve">inevitable that heavy </w:t>
      </w:r>
      <w:r w:rsidR="00D855D3">
        <w:rPr>
          <w:bCs/>
        </w:rPr>
        <w:t xml:space="preserve">bandwidth </w:t>
      </w:r>
      <w:r w:rsidR="00F2082C">
        <w:rPr>
          <w:bCs/>
        </w:rPr>
        <w:t>users should pay more</w:t>
      </w:r>
      <w:r w:rsidR="00D855D3">
        <w:rPr>
          <w:bCs/>
        </w:rPr>
        <w:t xml:space="preserve"> for network services than low-level </w:t>
      </w:r>
      <w:r w:rsidR="00F2082C">
        <w:rPr>
          <w:bCs/>
        </w:rPr>
        <w:t>users</w:t>
      </w:r>
      <w:r w:rsidR="00D855D3">
        <w:rPr>
          <w:bCs/>
        </w:rPr>
        <w:t>.</w:t>
      </w:r>
      <w:r w:rsidR="007A40AD">
        <w:rPr>
          <w:bCs/>
        </w:rPr>
        <w:t xml:space="preserve"> </w:t>
      </w:r>
      <w:r w:rsidR="00D855D3">
        <w:rPr>
          <w:bCs/>
        </w:rPr>
        <w:t>To fend o</w:t>
      </w:r>
      <w:r w:rsidR="00D855D3">
        <w:t xml:space="preserve">ff Internet neutrality, AT&amp;T needs to go on the offense (and </w:t>
      </w:r>
      <w:r w:rsidR="007A40AD">
        <w:t>should waste no time doing so).</w:t>
      </w:r>
      <w:r w:rsidR="00D855D3">
        <w:t xml:space="preserve"> Of any industry participant, AT&amp;T is in the best position to influence the direction of regulatory decisions</w:t>
      </w:r>
      <w:r w:rsidR="005240EC">
        <w:t>,</w:t>
      </w:r>
      <w:r w:rsidR="00D855D3">
        <w:t xml:space="preserve"> due to its long-time </w:t>
      </w:r>
      <w:r w:rsidR="002B5F8E">
        <w:t>association</w:t>
      </w:r>
      <w:r w:rsidR="00D855D3">
        <w:t>s with the Justice departmen</w:t>
      </w:r>
      <w:r w:rsidR="007A40AD">
        <w:t xml:space="preserve">t and other legal authorities. </w:t>
      </w:r>
      <w:r w:rsidR="00A246F2">
        <w:t xml:space="preserve">There are benefits that American commerce </w:t>
      </w:r>
      <w:r w:rsidR="005240EC">
        <w:t xml:space="preserve">gains </w:t>
      </w:r>
      <w:r w:rsidR="00A246F2">
        <w:t>from an enhanced network infrastructure</w:t>
      </w:r>
      <w:r w:rsidR="007A40AD">
        <w:t xml:space="preserve">. </w:t>
      </w:r>
      <w:r w:rsidR="005240EC">
        <w:t>This fact</w:t>
      </w:r>
      <w:r w:rsidR="00A246F2">
        <w:t xml:space="preserve"> should engender cooperation from government agencies to fuel telecom expansion</w:t>
      </w:r>
      <w:r w:rsidR="005240EC">
        <w:t xml:space="preserve">, which currently </w:t>
      </w:r>
      <w:r w:rsidR="00A246F2">
        <w:t>trails be</w:t>
      </w:r>
      <w:r w:rsidR="007A40AD">
        <w:t xml:space="preserve">hind growing demand. </w:t>
      </w:r>
      <w:r w:rsidR="00A246F2">
        <w:t>I</w:t>
      </w:r>
      <w:r w:rsidR="003A2426">
        <w:t xml:space="preserve">f the company can shift charges to content providers or heavy users, it could </w:t>
      </w:r>
      <w:r w:rsidR="005240EC">
        <w:t xml:space="preserve">also </w:t>
      </w:r>
      <w:r w:rsidR="003A2426">
        <w:t>provide some relief to price-conscious average or low-level users.</w:t>
      </w:r>
      <w:r w:rsidR="007A40AD">
        <w:t xml:space="preserve"> </w:t>
      </w:r>
      <w:r w:rsidR="00A246F2">
        <w:t>S</w:t>
      </w:r>
      <w:r w:rsidR="00D34246">
        <w:rPr>
          <w:bCs/>
        </w:rPr>
        <w:t xml:space="preserve">ecuring </w:t>
      </w:r>
      <w:r w:rsidR="00A246F2">
        <w:rPr>
          <w:bCs/>
        </w:rPr>
        <w:t xml:space="preserve">such a </w:t>
      </w:r>
      <w:r w:rsidR="00D34246">
        <w:rPr>
          <w:bCs/>
        </w:rPr>
        <w:t xml:space="preserve">pricing model will </w:t>
      </w:r>
      <w:r w:rsidR="00A246F2">
        <w:rPr>
          <w:bCs/>
        </w:rPr>
        <w:t xml:space="preserve">not only give the company a temporary advantage over rivals, but will help </w:t>
      </w:r>
      <w:r w:rsidR="00D34246">
        <w:rPr>
          <w:bCs/>
        </w:rPr>
        <w:t>“future-proof</w:t>
      </w:r>
      <w:r w:rsidR="00D34246" w:rsidRPr="00D34246">
        <w:rPr>
          <w:bCs/>
        </w:rPr>
        <w:t xml:space="preserve">” </w:t>
      </w:r>
      <w:r w:rsidR="00F2082C" w:rsidRPr="00D34246">
        <w:t>the business as appetites for bandwidth grow</w:t>
      </w:r>
      <w:r w:rsidR="00C94FB9">
        <w:t xml:space="preserve">. </w:t>
      </w:r>
      <w:r w:rsidR="002B5F8E">
        <w:t>While engaging regulatory agencies in this conversation, AT&amp;T should also address the need to distribute the burden of maintaining wirelines (to ensure access to all citizens) across the entire industry</w:t>
      </w:r>
      <w:r w:rsidR="002B5F8E" w:rsidRPr="002B5F8E">
        <w:t xml:space="preserve"> </w:t>
      </w:r>
      <w:r w:rsidR="002B5F8E">
        <w:t>t</w:t>
      </w:r>
      <w:r w:rsidR="00C94FB9">
        <w:t>o keep the playing field level.</w:t>
      </w:r>
      <w:r w:rsidR="002B5F8E">
        <w:t xml:space="preserve"> </w:t>
      </w:r>
      <w:r w:rsidR="005240EC">
        <w:t>On the regulatory front, t</w:t>
      </w:r>
      <w:r w:rsidR="002B5F8E">
        <w:t xml:space="preserve">he company should, however, expect to be subject to state and local cable laws to deliver video content. </w:t>
      </w:r>
    </w:p>
    <w:p w:rsidR="00A246F2" w:rsidRDefault="00A246F2" w:rsidP="00A246F2"/>
    <w:p w:rsidR="00D34246" w:rsidRDefault="00935FAB" w:rsidP="00D34246">
      <w:r>
        <w:rPr>
          <w:bCs/>
        </w:rPr>
        <w:tab/>
      </w:r>
      <w:r w:rsidR="00D34246" w:rsidRPr="00D34246">
        <w:rPr>
          <w:bCs/>
          <w:u w:val="single"/>
        </w:rPr>
        <w:t>U-verse</w:t>
      </w:r>
      <w:r w:rsidR="00BB77F7">
        <w:rPr>
          <w:bCs/>
          <w:u w:val="single"/>
        </w:rPr>
        <w:t xml:space="preserve"> Growth Strategy</w:t>
      </w:r>
      <w:r w:rsidR="00C94FB9">
        <w:rPr>
          <w:bCs/>
        </w:rPr>
        <w:t xml:space="preserve"> </w:t>
      </w:r>
      <w:r>
        <w:rPr>
          <w:bCs/>
        </w:rPr>
        <w:t xml:space="preserve"> </w:t>
      </w:r>
      <w:r w:rsidR="002B5F8E">
        <w:rPr>
          <w:bCs/>
        </w:rPr>
        <w:t>The g</w:t>
      </w:r>
      <w:r w:rsidR="00F2082C">
        <w:rPr>
          <w:bCs/>
        </w:rPr>
        <w:t xml:space="preserve">rowth </w:t>
      </w:r>
      <w:r w:rsidR="002B5F8E">
        <w:rPr>
          <w:bCs/>
        </w:rPr>
        <w:t xml:space="preserve">rate </w:t>
      </w:r>
      <w:r w:rsidR="00F2082C">
        <w:rPr>
          <w:bCs/>
        </w:rPr>
        <w:t xml:space="preserve">of </w:t>
      </w:r>
      <w:r w:rsidR="002B5F8E">
        <w:t xml:space="preserve">AT&amp;T’s new </w:t>
      </w:r>
      <w:r w:rsidR="00F2082C">
        <w:rPr>
          <w:bCs/>
        </w:rPr>
        <w:t>U-verse</w:t>
      </w:r>
      <w:r w:rsidR="002B5F8E">
        <w:rPr>
          <w:bCs/>
        </w:rPr>
        <w:t xml:space="preserve"> service does not reflect the potential </w:t>
      </w:r>
      <w:r w:rsidR="00BB77F7">
        <w:rPr>
          <w:bCs/>
        </w:rPr>
        <w:t>for</w:t>
      </w:r>
      <w:r w:rsidR="002B5F8E">
        <w:rPr>
          <w:bCs/>
        </w:rPr>
        <w:t xml:space="preserve"> this new </w:t>
      </w:r>
      <w:r w:rsidR="00BB77F7">
        <w:rPr>
          <w:bCs/>
        </w:rPr>
        <w:t>entertainment and data delivery</w:t>
      </w:r>
      <w:r w:rsidR="00BB77F7" w:rsidRPr="00BB77F7">
        <w:rPr>
          <w:bCs/>
        </w:rPr>
        <w:t xml:space="preserve"> </w:t>
      </w:r>
      <w:r w:rsidR="00BB77F7">
        <w:rPr>
          <w:bCs/>
        </w:rPr>
        <w:t>format</w:t>
      </w:r>
      <w:r w:rsidR="00135DC4">
        <w:rPr>
          <w:bCs/>
        </w:rPr>
        <w:t xml:space="preserve"> or </w:t>
      </w:r>
      <w:r w:rsidR="005240EC">
        <w:rPr>
          <w:bCs/>
        </w:rPr>
        <w:t xml:space="preserve">fulfill </w:t>
      </w:r>
      <w:r w:rsidR="00135DC4">
        <w:rPr>
          <w:bCs/>
        </w:rPr>
        <w:t>expectations for this priority market</w:t>
      </w:r>
      <w:r w:rsidR="00C94FB9">
        <w:rPr>
          <w:bCs/>
        </w:rPr>
        <w:t xml:space="preserve">. </w:t>
      </w:r>
      <w:r w:rsidR="00BB77F7">
        <w:rPr>
          <w:bCs/>
        </w:rPr>
        <w:t xml:space="preserve">Providing </w:t>
      </w:r>
      <w:r w:rsidR="00BB77F7">
        <w:t xml:space="preserve">Internet access and video services across the company’s fiber optics network is an </w:t>
      </w:r>
      <w:r w:rsidR="00BB77F7" w:rsidRPr="00BB77F7">
        <w:t>important growth area</w:t>
      </w:r>
      <w:r w:rsidR="00DE6A56">
        <w:t xml:space="preserve"> for the company. </w:t>
      </w:r>
      <w:r w:rsidR="00BB77F7">
        <w:t>Marketing should be focused on raising awareness among potential subscribers, and new forms of promotion should be explored to im</w:t>
      </w:r>
      <w:r w:rsidR="00DE6A56">
        <w:t xml:space="preserve">prove marketing effectiveness. </w:t>
      </w:r>
      <w:r w:rsidR="00BB77F7">
        <w:t xml:space="preserve">Rather than </w:t>
      </w:r>
      <w:r w:rsidR="005240EC">
        <w:t>appealing to</w:t>
      </w:r>
      <w:r w:rsidR="00BB77F7">
        <w:t xml:space="preserve"> cell phone users, </w:t>
      </w:r>
      <w:r w:rsidR="005240EC">
        <w:t xml:space="preserve">advertising </w:t>
      </w:r>
      <w:r w:rsidR="00BB77F7">
        <w:t xml:space="preserve">messages should be aimed at current </w:t>
      </w:r>
      <w:r w:rsidR="00D34246">
        <w:t xml:space="preserve">landline users </w:t>
      </w:r>
      <w:r w:rsidR="005240EC">
        <w:t xml:space="preserve">and offer </w:t>
      </w:r>
      <w:r w:rsidR="00D34246">
        <w:t>upgrade</w:t>
      </w:r>
      <w:r w:rsidR="005240EC">
        <w:t>s to</w:t>
      </w:r>
      <w:r w:rsidR="00D34246">
        <w:t xml:space="preserve"> </w:t>
      </w:r>
      <w:r w:rsidR="00BB77F7">
        <w:t xml:space="preserve">their </w:t>
      </w:r>
      <w:r w:rsidR="00D34246">
        <w:t>services</w:t>
      </w:r>
      <w:r w:rsidR="00DE6A56">
        <w:t xml:space="preserve">. </w:t>
      </w:r>
      <w:r w:rsidR="00BB77F7">
        <w:t>This may also help to reduce AT&amp;T</w:t>
      </w:r>
      <w:r w:rsidR="00DE6A56">
        <w:t xml:space="preserve">’s landline cancellation rate. </w:t>
      </w:r>
      <w:r w:rsidR="00BB77F7">
        <w:t>Additionally, the company should consider acquisitions in the entert</w:t>
      </w:r>
      <w:r w:rsidR="00135DC4">
        <w:t xml:space="preserve">ainment or media industry to gain new capabilities and resources to </w:t>
      </w:r>
      <w:r w:rsidR="005240EC">
        <w:t>facilitate growth and create additional value</w:t>
      </w:r>
      <w:r w:rsidR="00135DC4">
        <w:t xml:space="preserve">. </w:t>
      </w:r>
    </w:p>
    <w:p w:rsidR="00F2082C" w:rsidRDefault="00F2082C" w:rsidP="002D6F5B">
      <w:pPr>
        <w:rPr>
          <w:bCs/>
        </w:rPr>
      </w:pPr>
    </w:p>
    <w:p w:rsidR="004F1D92" w:rsidRPr="00935FAB" w:rsidRDefault="00BB77F7" w:rsidP="004F1D92">
      <w:pPr>
        <w:rPr>
          <w:b/>
          <w:i/>
        </w:rPr>
      </w:pPr>
      <w:r w:rsidRPr="00935FAB">
        <w:rPr>
          <w:b/>
          <w:i/>
        </w:rPr>
        <w:t xml:space="preserve">Additional </w:t>
      </w:r>
      <w:r w:rsidR="004F1D92" w:rsidRPr="00935FAB">
        <w:rPr>
          <w:b/>
          <w:i/>
        </w:rPr>
        <w:t xml:space="preserve">Discussion </w:t>
      </w:r>
      <w:r w:rsidRPr="00935FAB">
        <w:rPr>
          <w:b/>
          <w:i/>
        </w:rPr>
        <w:t>P</w:t>
      </w:r>
      <w:r w:rsidR="004F1D92" w:rsidRPr="00935FAB">
        <w:rPr>
          <w:b/>
          <w:i/>
        </w:rPr>
        <w:t xml:space="preserve">oints </w:t>
      </w:r>
    </w:p>
    <w:p w:rsidR="00D85724" w:rsidRDefault="00D85724" w:rsidP="00EB1F8B">
      <w:pPr>
        <w:rPr>
          <w:bCs/>
        </w:rPr>
      </w:pPr>
    </w:p>
    <w:p w:rsidR="004F1D92" w:rsidRDefault="00BB77F7" w:rsidP="004F1D92">
      <w:r>
        <w:tab/>
      </w:r>
      <w:r w:rsidR="004F1D92">
        <w:t xml:space="preserve">In analyzing AT&amp;T’s strategic </w:t>
      </w:r>
      <w:r w:rsidR="00CA6FDF">
        <w:t>option</w:t>
      </w:r>
      <w:r w:rsidR="004F1D92">
        <w:t xml:space="preserve">s, some </w:t>
      </w:r>
      <w:r>
        <w:t xml:space="preserve">areas of </w:t>
      </w:r>
      <w:r w:rsidR="004F1D92">
        <w:t xml:space="preserve">uncertainty </w:t>
      </w:r>
      <w:r>
        <w:t xml:space="preserve">are revealed.  </w:t>
      </w:r>
      <w:r w:rsidR="004F1D92">
        <w:t xml:space="preserve">The following </w:t>
      </w:r>
      <w:r>
        <w:t xml:space="preserve">questions </w:t>
      </w:r>
      <w:r w:rsidR="004F1D92">
        <w:t>are worthy of further discussion</w:t>
      </w:r>
      <w:r>
        <w:t xml:space="preserve"> and can be used to enrich classroom dialogue </w:t>
      </w:r>
      <w:r w:rsidR="00CA6FDF">
        <w:t>about</w:t>
      </w:r>
      <w:r>
        <w:t xml:space="preserve"> the case.</w:t>
      </w:r>
    </w:p>
    <w:p w:rsidR="00135DC4" w:rsidRDefault="00135DC4" w:rsidP="004F1D92">
      <w:r>
        <w:tab/>
      </w:r>
    </w:p>
    <w:p w:rsidR="00135DC4" w:rsidRDefault="002B5F8E" w:rsidP="0083176C">
      <w:pPr>
        <w:pStyle w:val="ListParagraph"/>
        <w:numPr>
          <w:ilvl w:val="0"/>
          <w:numId w:val="8"/>
        </w:numPr>
      </w:pPr>
      <w:r>
        <w:t xml:space="preserve">Should AT&amp;T have </w:t>
      </w:r>
      <w:r w:rsidR="00135DC4">
        <w:t>divested its broadband business to Comcast?</w:t>
      </w:r>
    </w:p>
    <w:p w:rsidR="004F1D92" w:rsidRDefault="00135DC4" w:rsidP="0083176C">
      <w:pPr>
        <w:pStyle w:val="ListParagraph"/>
        <w:numPr>
          <w:ilvl w:val="1"/>
          <w:numId w:val="8"/>
        </w:numPr>
        <w:spacing w:before="120"/>
        <w:contextualSpacing w:val="0"/>
      </w:pPr>
      <w:r>
        <w:t>Comcast is now a significant rival.</w:t>
      </w:r>
    </w:p>
    <w:p w:rsidR="00135DC4" w:rsidRDefault="00135DC4" w:rsidP="00135DC4"/>
    <w:p w:rsidR="00135DC4" w:rsidRDefault="00135DC4" w:rsidP="0083176C">
      <w:pPr>
        <w:pStyle w:val="ListParagraph"/>
        <w:numPr>
          <w:ilvl w:val="0"/>
          <w:numId w:val="8"/>
        </w:numPr>
      </w:pPr>
      <w:r>
        <w:t>Do you agree with AT&amp;T’s decision to only support the wireline business with research and development funding?</w:t>
      </w:r>
    </w:p>
    <w:p w:rsidR="00135DC4" w:rsidRDefault="00DE6A56" w:rsidP="0083176C">
      <w:pPr>
        <w:pStyle w:val="ListParagraph"/>
        <w:numPr>
          <w:ilvl w:val="1"/>
          <w:numId w:val="8"/>
        </w:numPr>
        <w:spacing w:before="120"/>
        <w:contextualSpacing w:val="0"/>
      </w:pPr>
      <w:r>
        <w:t>Because w</w:t>
      </w:r>
      <w:r w:rsidR="004F1D92">
        <w:t xml:space="preserve">ireless technologies </w:t>
      </w:r>
      <w:r w:rsidR="00135DC4">
        <w:t xml:space="preserve">are </w:t>
      </w:r>
      <w:r w:rsidR="004F1D92">
        <w:t xml:space="preserve">developed by others, AT&amp;T does not have an opportunity to lead the industry or </w:t>
      </w:r>
      <w:r w:rsidR="00135DC4">
        <w:t xml:space="preserve">to </w:t>
      </w:r>
      <w:r w:rsidR="004F1D92">
        <w:t>achieve first mover advantages</w:t>
      </w:r>
      <w:r w:rsidR="00CA6FDF">
        <w:t xml:space="preserve"> from innovative advancements</w:t>
      </w:r>
      <w:r w:rsidR="004F1D92">
        <w:t xml:space="preserve">.  </w:t>
      </w:r>
    </w:p>
    <w:p w:rsidR="00135DC4" w:rsidRDefault="00135DC4" w:rsidP="00135DC4"/>
    <w:p w:rsidR="0041252F" w:rsidRDefault="0005083F" w:rsidP="0083176C">
      <w:pPr>
        <w:pStyle w:val="ListParagraph"/>
        <w:numPr>
          <w:ilvl w:val="0"/>
          <w:numId w:val="8"/>
        </w:numPr>
      </w:pPr>
      <w:r>
        <w:t>How will competition with cable and satellite companies differ from AT&amp;T’s rivalry with conventional telecommunications and phone companies?</w:t>
      </w:r>
    </w:p>
    <w:p w:rsidR="0005083F" w:rsidRPr="00BB77F7" w:rsidRDefault="0005083F" w:rsidP="0083176C">
      <w:pPr>
        <w:pStyle w:val="ListParagraph"/>
        <w:numPr>
          <w:ilvl w:val="1"/>
          <w:numId w:val="8"/>
        </w:numPr>
        <w:spacing w:before="120"/>
        <w:contextualSpacing w:val="0"/>
      </w:pPr>
      <w:r>
        <w:t>The analysis points out that AT&amp;T</w:t>
      </w:r>
      <w:r w:rsidR="00DE6A56">
        <w:t>’s</w:t>
      </w:r>
      <w:r>
        <w:t xml:space="preserve"> biggest competition in the future </w:t>
      </w:r>
      <w:r w:rsidR="00CA6FDF">
        <w:t>will</w:t>
      </w:r>
      <w:r>
        <w:t xml:space="preserve"> come from cable companies, whose resources an</w:t>
      </w:r>
      <w:bookmarkStart w:id="0" w:name="_GoBack"/>
      <w:bookmarkEnd w:id="0"/>
      <w:r>
        <w:t xml:space="preserve">d reach are extensive.  </w:t>
      </w:r>
    </w:p>
    <w:sectPr w:rsidR="0005083F" w:rsidRPr="00BB77F7" w:rsidSect="005337E5">
      <w:headerReference w:type="default" r:id="rId8"/>
      <w:footerReference w:type="default" r:id="rId9"/>
      <w:pgSz w:w="12240" w:h="15840" w:code="1"/>
      <w:pgMar w:top="1440" w:right="1800" w:bottom="72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F3B" w:rsidRDefault="006A3F3B">
      <w:r>
        <w:separator/>
      </w:r>
    </w:p>
  </w:endnote>
  <w:endnote w:type="continuationSeparator" w:id="0">
    <w:p w:rsidR="006A3F3B" w:rsidRDefault="006A3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F3B" w:rsidRDefault="006A3F3B" w:rsidP="005337E5">
    <w:pPr>
      <w:pStyle w:val="Footer"/>
      <w:tabs>
        <w:tab w:val="clear" w:pos="4320"/>
        <w:tab w:val="clear" w:pos="8640"/>
        <w:tab w:val="left" w:pos="1680"/>
      </w:tabs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E6A56">
      <w:rPr>
        <w:rStyle w:val="PageNumber"/>
        <w:noProof/>
      </w:rPr>
      <w:t>9</w:t>
    </w:r>
    <w:r>
      <w:rPr>
        <w:rStyle w:val="PageNumber"/>
      </w:rPr>
      <w:fldChar w:fldCharType="end"/>
    </w:r>
  </w:p>
  <w:p w:rsidR="006A3F3B" w:rsidRPr="00A12B56" w:rsidRDefault="006A3F3B" w:rsidP="00A12B56">
    <w:pPr>
      <w:pStyle w:val="Header"/>
      <w:jc w:val="center"/>
      <w:rPr>
        <w:b/>
        <w:bCs/>
        <w:sz w:val="28"/>
        <w:szCs w:val="28"/>
      </w:rPr>
    </w:pPr>
    <w:r>
      <w:t>AT&amp;T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F3B" w:rsidRDefault="006A3F3B">
      <w:r>
        <w:separator/>
      </w:r>
    </w:p>
  </w:footnote>
  <w:footnote w:type="continuationSeparator" w:id="0">
    <w:p w:rsidR="006A3F3B" w:rsidRDefault="006A3F3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F3B" w:rsidRDefault="006A3F3B" w:rsidP="00EA0465">
    <w:pPr>
      <w:pStyle w:val="Header"/>
      <w:jc w:val="center"/>
      <w:rPr>
        <w:b/>
        <w:bCs/>
        <w:sz w:val="28"/>
        <w:szCs w:val="28"/>
      </w:rPr>
    </w:pPr>
  </w:p>
  <w:p w:rsidR="006A3F3B" w:rsidRPr="00C420BE" w:rsidRDefault="006A3F3B" w:rsidP="00EA0465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AT&amp;T: Another Century of Innovation?</w:t>
    </w:r>
  </w:p>
  <w:p w:rsidR="006A3F3B" w:rsidRPr="00EA0465" w:rsidRDefault="006A3F3B" w:rsidP="00EA0465">
    <w:pPr>
      <w:pStyle w:val="Header"/>
      <w:jc w:val="center"/>
      <w:rPr>
        <w:b/>
        <w:bCs/>
        <w:sz w:val="28"/>
        <w:szCs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67A"/>
    <w:multiLevelType w:val="hybridMultilevel"/>
    <w:tmpl w:val="59A484C8"/>
    <w:lvl w:ilvl="0" w:tplc="26A4E80C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74DE6"/>
    <w:multiLevelType w:val="hybridMultilevel"/>
    <w:tmpl w:val="2F067070"/>
    <w:lvl w:ilvl="0" w:tplc="26B40A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4"/>
        <w:szCs w:val="20"/>
      </w:rPr>
    </w:lvl>
    <w:lvl w:ilvl="1" w:tplc="76DAFFCC">
      <w:start w:val="5"/>
      <w:numFmt w:val="bullet"/>
      <w:lvlText w:val="–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  <w:i w:val="0"/>
        <w:color w:val="auto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D7F34"/>
    <w:multiLevelType w:val="hybridMultilevel"/>
    <w:tmpl w:val="87F43F86"/>
    <w:lvl w:ilvl="0" w:tplc="26A4E80C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605FB"/>
    <w:multiLevelType w:val="hybridMultilevel"/>
    <w:tmpl w:val="24FE9B7C"/>
    <w:lvl w:ilvl="0" w:tplc="26B40AE2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b w:val="0"/>
        <w:i w:val="0"/>
        <w:color w:val="auto"/>
        <w:sz w:val="24"/>
        <w:szCs w:val="20"/>
      </w:rPr>
    </w:lvl>
    <w:lvl w:ilvl="1" w:tplc="26A4E80C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597579"/>
    <w:multiLevelType w:val="hybridMultilevel"/>
    <w:tmpl w:val="75444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DD102B"/>
    <w:multiLevelType w:val="hybridMultilevel"/>
    <w:tmpl w:val="DBF03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F64D7E"/>
    <w:multiLevelType w:val="hybridMultilevel"/>
    <w:tmpl w:val="2E84DF2A"/>
    <w:lvl w:ilvl="0" w:tplc="26A4E80C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237FF1"/>
    <w:multiLevelType w:val="hybridMultilevel"/>
    <w:tmpl w:val="AEC8A956"/>
    <w:lvl w:ilvl="0" w:tplc="4EDCB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417563"/>
    <w:rsid w:val="00013D0A"/>
    <w:rsid w:val="0001535A"/>
    <w:rsid w:val="00015C27"/>
    <w:rsid w:val="00017033"/>
    <w:rsid w:val="00034048"/>
    <w:rsid w:val="00035E3A"/>
    <w:rsid w:val="00041AC6"/>
    <w:rsid w:val="00043210"/>
    <w:rsid w:val="000465B1"/>
    <w:rsid w:val="0005083F"/>
    <w:rsid w:val="0005736B"/>
    <w:rsid w:val="000615B2"/>
    <w:rsid w:val="000629CB"/>
    <w:rsid w:val="00067126"/>
    <w:rsid w:val="00071FBA"/>
    <w:rsid w:val="000731C0"/>
    <w:rsid w:val="00075762"/>
    <w:rsid w:val="00076F4F"/>
    <w:rsid w:val="00085B51"/>
    <w:rsid w:val="000917E5"/>
    <w:rsid w:val="000A1B38"/>
    <w:rsid w:val="000B2231"/>
    <w:rsid w:val="000B3E08"/>
    <w:rsid w:val="000B681C"/>
    <w:rsid w:val="000C5DFF"/>
    <w:rsid w:val="000D2303"/>
    <w:rsid w:val="000D4582"/>
    <w:rsid w:val="000E14F2"/>
    <w:rsid w:val="000E206E"/>
    <w:rsid w:val="000F44BB"/>
    <w:rsid w:val="00103F00"/>
    <w:rsid w:val="001105D4"/>
    <w:rsid w:val="00117200"/>
    <w:rsid w:val="00117F75"/>
    <w:rsid w:val="001211C5"/>
    <w:rsid w:val="001227B5"/>
    <w:rsid w:val="00127373"/>
    <w:rsid w:val="00127FD2"/>
    <w:rsid w:val="001346C1"/>
    <w:rsid w:val="00135DC4"/>
    <w:rsid w:val="00143177"/>
    <w:rsid w:val="00147354"/>
    <w:rsid w:val="00152A64"/>
    <w:rsid w:val="00155132"/>
    <w:rsid w:val="00164857"/>
    <w:rsid w:val="00176D5F"/>
    <w:rsid w:val="001850EB"/>
    <w:rsid w:val="001904F7"/>
    <w:rsid w:val="00190C73"/>
    <w:rsid w:val="00191F4A"/>
    <w:rsid w:val="00197ADF"/>
    <w:rsid w:val="001A43F1"/>
    <w:rsid w:val="001A6435"/>
    <w:rsid w:val="001B20F8"/>
    <w:rsid w:val="001B5781"/>
    <w:rsid w:val="001B7390"/>
    <w:rsid w:val="001B7795"/>
    <w:rsid w:val="001C4CE8"/>
    <w:rsid w:val="001C5990"/>
    <w:rsid w:val="001D2670"/>
    <w:rsid w:val="001D7AEB"/>
    <w:rsid w:val="001E53E8"/>
    <w:rsid w:val="001E5DD3"/>
    <w:rsid w:val="001E5F3E"/>
    <w:rsid w:val="0020224A"/>
    <w:rsid w:val="00211567"/>
    <w:rsid w:val="00214FFD"/>
    <w:rsid w:val="00217712"/>
    <w:rsid w:val="00223ADB"/>
    <w:rsid w:val="00231167"/>
    <w:rsid w:val="0023116A"/>
    <w:rsid w:val="00232302"/>
    <w:rsid w:val="00234EC2"/>
    <w:rsid w:val="00236DC5"/>
    <w:rsid w:val="00244A62"/>
    <w:rsid w:val="00247C9A"/>
    <w:rsid w:val="0025069C"/>
    <w:rsid w:val="00263CF1"/>
    <w:rsid w:val="002708C0"/>
    <w:rsid w:val="002717DA"/>
    <w:rsid w:val="00271A51"/>
    <w:rsid w:val="00272816"/>
    <w:rsid w:val="0027318B"/>
    <w:rsid w:val="002735EA"/>
    <w:rsid w:val="00277300"/>
    <w:rsid w:val="00280C81"/>
    <w:rsid w:val="0028426C"/>
    <w:rsid w:val="00284353"/>
    <w:rsid w:val="00286FF6"/>
    <w:rsid w:val="00292300"/>
    <w:rsid w:val="0029237D"/>
    <w:rsid w:val="002949E1"/>
    <w:rsid w:val="00294CCA"/>
    <w:rsid w:val="00295180"/>
    <w:rsid w:val="002A017A"/>
    <w:rsid w:val="002A1081"/>
    <w:rsid w:val="002A3009"/>
    <w:rsid w:val="002A3556"/>
    <w:rsid w:val="002A6E24"/>
    <w:rsid w:val="002B016C"/>
    <w:rsid w:val="002B1AF2"/>
    <w:rsid w:val="002B5F8E"/>
    <w:rsid w:val="002C09E9"/>
    <w:rsid w:val="002C2969"/>
    <w:rsid w:val="002C2E37"/>
    <w:rsid w:val="002D2776"/>
    <w:rsid w:val="002D5BFD"/>
    <w:rsid w:val="002D6434"/>
    <w:rsid w:val="002D6F5B"/>
    <w:rsid w:val="002D7231"/>
    <w:rsid w:val="002F5BB5"/>
    <w:rsid w:val="002F65EB"/>
    <w:rsid w:val="002F7684"/>
    <w:rsid w:val="002F7D06"/>
    <w:rsid w:val="00305C3E"/>
    <w:rsid w:val="003115B4"/>
    <w:rsid w:val="003145B2"/>
    <w:rsid w:val="00315AEF"/>
    <w:rsid w:val="00322AC7"/>
    <w:rsid w:val="00330B3C"/>
    <w:rsid w:val="00332AF6"/>
    <w:rsid w:val="003415FB"/>
    <w:rsid w:val="00342981"/>
    <w:rsid w:val="00346AB6"/>
    <w:rsid w:val="003478FD"/>
    <w:rsid w:val="0035225A"/>
    <w:rsid w:val="00352B78"/>
    <w:rsid w:val="00353891"/>
    <w:rsid w:val="003603AE"/>
    <w:rsid w:val="003649F9"/>
    <w:rsid w:val="00366331"/>
    <w:rsid w:val="00376ACF"/>
    <w:rsid w:val="00384767"/>
    <w:rsid w:val="00385793"/>
    <w:rsid w:val="00387F42"/>
    <w:rsid w:val="00390AE3"/>
    <w:rsid w:val="0039311B"/>
    <w:rsid w:val="003963CE"/>
    <w:rsid w:val="003A2426"/>
    <w:rsid w:val="003A4654"/>
    <w:rsid w:val="003A596A"/>
    <w:rsid w:val="003A7E7B"/>
    <w:rsid w:val="003B3148"/>
    <w:rsid w:val="003B3315"/>
    <w:rsid w:val="003B73B5"/>
    <w:rsid w:val="003B79BE"/>
    <w:rsid w:val="003C52D0"/>
    <w:rsid w:val="003C59D3"/>
    <w:rsid w:val="003D0FF7"/>
    <w:rsid w:val="003D17D5"/>
    <w:rsid w:val="003D2326"/>
    <w:rsid w:val="003D5AE3"/>
    <w:rsid w:val="003D6FF1"/>
    <w:rsid w:val="003D7AB0"/>
    <w:rsid w:val="003E1394"/>
    <w:rsid w:val="003E17FA"/>
    <w:rsid w:val="003F159F"/>
    <w:rsid w:val="00403873"/>
    <w:rsid w:val="004038D2"/>
    <w:rsid w:val="004072AB"/>
    <w:rsid w:val="0041252F"/>
    <w:rsid w:val="00417563"/>
    <w:rsid w:val="0042421A"/>
    <w:rsid w:val="00426CAB"/>
    <w:rsid w:val="004311A9"/>
    <w:rsid w:val="004312CF"/>
    <w:rsid w:val="0043165E"/>
    <w:rsid w:val="00435A77"/>
    <w:rsid w:val="00443D20"/>
    <w:rsid w:val="004449FC"/>
    <w:rsid w:val="00451FBE"/>
    <w:rsid w:val="00453297"/>
    <w:rsid w:val="00470399"/>
    <w:rsid w:val="00471E4E"/>
    <w:rsid w:val="00473C21"/>
    <w:rsid w:val="00480FD6"/>
    <w:rsid w:val="00482CF1"/>
    <w:rsid w:val="0048569C"/>
    <w:rsid w:val="00491647"/>
    <w:rsid w:val="00493047"/>
    <w:rsid w:val="004951F4"/>
    <w:rsid w:val="004A2DE9"/>
    <w:rsid w:val="004A5F76"/>
    <w:rsid w:val="004A6E6F"/>
    <w:rsid w:val="004B0994"/>
    <w:rsid w:val="004B1E84"/>
    <w:rsid w:val="004B4927"/>
    <w:rsid w:val="004B51EC"/>
    <w:rsid w:val="004B5E59"/>
    <w:rsid w:val="004C7985"/>
    <w:rsid w:val="004D0220"/>
    <w:rsid w:val="004E4047"/>
    <w:rsid w:val="004E4B1C"/>
    <w:rsid w:val="004E5803"/>
    <w:rsid w:val="004E58A4"/>
    <w:rsid w:val="004E5E77"/>
    <w:rsid w:val="004F0772"/>
    <w:rsid w:val="004F11C3"/>
    <w:rsid w:val="004F1D92"/>
    <w:rsid w:val="004F4F80"/>
    <w:rsid w:val="005013AA"/>
    <w:rsid w:val="005051DE"/>
    <w:rsid w:val="00506FF9"/>
    <w:rsid w:val="0051202C"/>
    <w:rsid w:val="005163B7"/>
    <w:rsid w:val="00520BE0"/>
    <w:rsid w:val="005240EC"/>
    <w:rsid w:val="00532901"/>
    <w:rsid w:val="005337E5"/>
    <w:rsid w:val="0053380A"/>
    <w:rsid w:val="005350E1"/>
    <w:rsid w:val="005405A3"/>
    <w:rsid w:val="005414C3"/>
    <w:rsid w:val="00546C48"/>
    <w:rsid w:val="00546CDE"/>
    <w:rsid w:val="0054718C"/>
    <w:rsid w:val="0055273F"/>
    <w:rsid w:val="00553B52"/>
    <w:rsid w:val="005629F7"/>
    <w:rsid w:val="00566C24"/>
    <w:rsid w:val="00567FC0"/>
    <w:rsid w:val="00571063"/>
    <w:rsid w:val="00571E5D"/>
    <w:rsid w:val="00573BFB"/>
    <w:rsid w:val="00584DF8"/>
    <w:rsid w:val="00587153"/>
    <w:rsid w:val="0058715F"/>
    <w:rsid w:val="00593775"/>
    <w:rsid w:val="005A221B"/>
    <w:rsid w:val="005A2946"/>
    <w:rsid w:val="005A2B72"/>
    <w:rsid w:val="005A5A80"/>
    <w:rsid w:val="005B5575"/>
    <w:rsid w:val="005C62A4"/>
    <w:rsid w:val="005D05C2"/>
    <w:rsid w:val="005D3B4B"/>
    <w:rsid w:val="005D5F9D"/>
    <w:rsid w:val="005E2D77"/>
    <w:rsid w:val="005F1221"/>
    <w:rsid w:val="005F51A5"/>
    <w:rsid w:val="005F79EA"/>
    <w:rsid w:val="00600B3B"/>
    <w:rsid w:val="006037C8"/>
    <w:rsid w:val="00604819"/>
    <w:rsid w:val="00610B01"/>
    <w:rsid w:val="006241ED"/>
    <w:rsid w:val="0063019C"/>
    <w:rsid w:val="00630F56"/>
    <w:rsid w:val="00635633"/>
    <w:rsid w:val="00640331"/>
    <w:rsid w:val="00640B92"/>
    <w:rsid w:val="006430DF"/>
    <w:rsid w:val="00645FBF"/>
    <w:rsid w:val="00652AF3"/>
    <w:rsid w:val="00653913"/>
    <w:rsid w:val="006623E1"/>
    <w:rsid w:val="00663ACF"/>
    <w:rsid w:val="00673E24"/>
    <w:rsid w:val="006743E1"/>
    <w:rsid w:val="00693E4A"/>
    <w:rsid w:val="006A3F3B"/>
    <w:rsid w:val="006A5BCA"/>
    <w:rsid w:val="006A7E5F"/>
    <w:rsid w:val="006B6282"/>
    <w:rsid w:val="006B65C3"/>
    <w:rsid w:val="006C15D3"/>
    <w:rsid w:val="006C339B"/>
    <w:rsid w:val="006C50F3"/>
    <w:rsid w:val="006C7318"/>
    <w:rsid w:val="006D5C01"/>
    <w:rsid w:val="006E0154"/>
    <w:rsid w:val="006E54FA"/>
    <w:rsid w:val="006E5C6F"/>
    <w:rsid w:val="006F0CE3"/>
    <w:rsid w:val="006F1EDF"/>
    <w:rsid w:val="006F760A"/>
    <w:rsid w:val="006F7755"/>
    <w:rsid w:val="006F7D04"/>
    <w:rsid w:val="00700BD2"/>
    <w:rsid w:val="00702DD8"/>
    <w:rsid w:val="00702E1F"/>
    <w:rsid w:val="00706710"/>
    <w:rsid w:val="007101FD"/>
    <w:rsid w:val="00715085"/>
    <w:rsid w:val="0071573C"/>
    <w:rsid w:val="007174FD"/>
    <w:rsid w:val="00720C15"/>
    <w:rsid w:val="0072460C"/>
    <w:rsid w:val="0072532B"/>
    <w:rsid w:val="00725B34"/>
    <w:rsid w:val="00735B62"/>
    <w:rsid w:val="00736790"/>
    <w:rsid w:val="007375D4"/>
    <w:rsid w:val="00744C72"/>
    <w:rsid w:val="00745357"/>
    <w:rsid w:val="00755ACC"/>
    <w:rsid w:val="00756284"/>
    <w:rsid w:val="007609B9"/>
    <w:rsid w:val="00766196"/>
    <w:rsid w:val="007677AC"/>
    <w:rsid w:val="00770211"/>
    <w:rsid w:val="007708D9"/>
    <w:rsid w:val="00775C0A"/>
    <w:rsid w:val="007774B4"/>
    <w:rsid w:val="00791889"/>
    <w:rsid w:val="00792BD6"/>
    <w:rsid w:val="007A339E"/>
    <w:rsid w:val="007A40AD"/>
    <w:rsid w:val="007A5D7C"/>
    <w:rsid w:val="007A5F4F"/>
    <w:rsid w:val="007B0292"/>
    <w:rsid w:val="007B182B"/>
    <w:rsid w:val="007B3CDB"/>
    <w:rsid w:val="007C07D6"/>
    <w:rsid w:val="007C2013"/>
    <w:rsid w:val="007C23F4"/>
    <w:rsid w:val="007C2F97"/>
    <w:rsid w:val="007C502E"/>
    <w:rsid w:val="007D6117"/>
    <w:rsid w:val="007E3939"/>
    <w:rsid w:val="00803B69"/>
    <w:rsid w:val="0080403F"/>
    <w:rsid w:val="00811428"/>
    <w:rsid w:val="008202AE"/>
    <w:rsid w:val="008202C3"/>
    <w:rsid w:val="00823B27"/>
    <w:rsid w:val="0083176C"/>
    <w:rsid w:val="00832CE5"/>
    <w:rsid w:val="00842931"/>
    <w:rsid w:val="00842A09"/>
    <w:rsid w:val="008463AE"/>
    <w:rsid w:val="008533A9"/>
    <w:rsid w:val="008562E3"/>
    <w:rsid w:val="00862836"/>
    <w:rsid w:val="008677B0"/>
    <w:rsid w:val="0087062F"/>
    <w:rsid w:val="00877C37"/>
    <w:rsid w:val="0088175B"/>
    <w:rsid w:val="008A1220"/>
    <w:rsid w:val="008A3814"/>
    <w:rsid w:val="008A3A15"/>
    <w:rsid w:val="008B1398"/>
    <w:rsid w:val="008B37F5"/>
    <w:rsid w:val="008C0646"/>
    <w:rsid w:val="008C1828"/>
    <w:rsid w:val="008D108D"/>
    <w:rsid w:val="008D2CC4"/>
    <w:rsid w:val="008D6891"/>
    <w:rsid w:val="008E696D"/>
    <w:rsid w:val="008F7AC2"/>
    <w:rsid w:val="00901D24"/>
    <w:rsid w:val="00906359"/>
    <w:rsid w:val="00912117"/>
    <w:rsid w:val="00917524"/>
    <w:rsid w:val="0092587E"/>
    <w:rsid w:val="009350D1"/>
    <w:rsid w:val="00935FAB"/>
    <w:rsid w:val="009368C5"/>
    <w:rsid w:val="009437B5"/>
    <w:rsid w:val="00946F0C"/>
    <w:rsid w:val="009474DA"/>
    <w:rsid w:val="00952A62"/>
    <w:rsid w:val="00952D99"/>
    <w:rsid w:val="00960051"/>
    <w:rsid w:val="009635F3"/>
    <w:rsid w:val="00964D78"/>
    <w:rsid w:val="00971A19"/>
    <w:rsid w:val="00976E52"/>
    <w:rsid w:val="00987890"/>
    <w:rsid w:val="009A0C0C"/>
    <w:rsid w:val="009A5C5E"/>
    <w:rsid w:val="009A79EC"/>
    <w:rsid w:val="009B3EDE"/>
    <w:rsid w:val="009C1BCE"/>
    <w:rsid w:val="009C20AD"/>
    <w:rsid w:val="009C2B02"/>
    <w:rsid w:val="009C642B"/>
    <w:rsid w:val="009D1AA6"/>
    <w:rsid w:val="009D6753"/>
    <w:rsid w:val="009D7529"/>
    <w:rsid w:val="009E1BAE"/>
    <w:rsid w:val="009F18C6"/>
    <w:rsid w:val="00A12B56"/>
    <w:rsid w:val="00A17F76"/>
    <w:rsid w:val="00A230CD"/>
    <w:rsid w:val="00A246F2"/>
    <w:rsid w:val="00A32026"/>
    <w:rsid w:val="00A333E9"/>
    <w:rsid w:val="00A37331"/>
    <w:rsid w:val="00A43B14"/>
    <w:rsid w:val="00A45300"/>
    <w:rsid w:val="00A659CF"/>
    <w:rsid w:val="00A6630B"/>
    <w:rsid w:val="00A70A8A"/>
    <w:rsid w:val="00A710F4"/>
    <w:rsid w:val="00A7347B"/>
    <w:rsid w:val="00A741DD"/>
    <w:rsid w:val="00A8075D"/>
    <w:rsid w:val="00A80E97"/>
    <w:rsid w:val="00A829AA"/>
    <w:rsid w:val="00A829FA"/>
    <w:rsid w:val="00A84236"/>
    <w:rsid w:val="00A92E6A"/>
    <w:rsid w:val="00A94C7B"/>
    <w:rsid w:val="00A974C2"/>
    <w:rsid w:val="00AA36AB"/>
    <w:rsid w:val="00AA6226"/>
    <w:rsid w:val="00AB0FD5"/>
    <w:rsid w:val="00AC09FB"/>
    <w:rsid w:val="00AC0E11"/>
    <w:rsid w:val="00AC2E90"/>
    <w:rsid w:val="00AD500B"/>
    <w:rsid w:val="00AD6142"/>
    <w:rsid w:val="00AE637E"/>
    <w:rsid w:val="00AE7220"/>
    <w:rsid w:val="00AE78DF"/>
    <w:rsid w:val="00AF3A82"/>
    <w:rsid w:val="00AF3C24"/>
    <w:rsid w:val="00AF43E5"/>
    <w:rsid w:val="00AF543F"/>
    <w:rsid w:val="00B02C1C"/>
    <w:rsid w:val="00B11D93"/>
    <w:rsid w:val="00B13914"/>
    <w:rsid w:val="00B1748D"/>
    <w:rsid w:val="00B260A3"/>
    <w:rsid w:val="00B36073"/>
    <w:rsid w:val="00B40BB2"/>
    <w:rsid w:val="00B518EC"/>
    <w:rsid w:val="00B5268B"/>
    <w:rsid w:val="00B532C5"/>
    <w:rsid w:val="00B53F13"/>
    <w:rsid w:val="00B62191"/>
    <w:rsid w:val="00B63CAC"/>
    <w:rsid w:val="00B64C67"/>
    <w:rsid w:val="00B67EEA"/>
    <w:rsid w:val="00B71D3F"/>
    <w:rsid w:val="00B73A9D"/>
    <w:rsid w:val="00B858B1"/>
    <w:rsid w:val="00B85AF0"/>
    <w:rsid w:val="00B947B6"/>
    <w:rsid w:val="00BA353F"/>
    <w:rsid w:val="00BA41EB"/>
    <w:rsid w:val="00BA543B"/>
    <w:rsid w:val="00BB2633"/>
    <w:rsid w:val="00BB77F7"/>
    <w:rsid w:val="00BB7ED4"/>
    <w:rsid w:val="00BC05F7"/>
    <w:rsid w:val="00BC184B"/>
    <w:rsid w:val="00BC73DB"/>
    <w:rsid w:val="00BC7EF8"/>
    <w:rsid w:val="00BD1FD0"/>
    <w:rsid w:val="00BD3D79"/>
    <w:rsid w:val="00BE0DEA"/>
    <w:rsid w:val="00BE0E52"/>
    <w:rsid w:val="00BE17F1"/>
    <w:rsid w:val="00BE4021"/>
    <w:rsid w:val="00BF1495"/>
    <w:rsid w:val="00BF3D37"/>
    <w:rsid w:val="00C001DD"/>
    <w:rsid w:val="00C01236"/>
    <w:rsid w:val="00C165C9"/>
    <w:rsid w:val="00C16CFF"/>
    <w:rsid w:val="00C401B7"/>
    <w:rsid w:val="00C41D43"/>
    <w:rsid w:val="00C420BE"/>
    <w:rsid w:val="00C4241E"/>
    <w:rsid w:val="00C449B3"/>
    <w:rsid w:val="00C4762A"/>
    <w:rsid w:val="00C54AE9"/>
    <w:rsid w:val="00C618A0"/>
    <w:rsid w:val="00C7492F"/>
    <w:rsid w:val="00C75C95"/>
    <w:rsid w:val="00C76C98"/>
    <w:rsid w:val="00C77545"/>
    <w:rsid w:val="00C82CBD"/>
    <w:rsid w:val="00C85CAE"/>
    <w:rsid w:val="00C87235"/>
    <w:rsid w:val="00C8795C"/>
    <w:rsid w:val="00C9095C"/>
    <w:rsid w:val="00C93831"/>
    <w:rsid w:val="00C94FB9"/>
    <w:rsid w:val="00C956DA"/>
    <w:rsid w:val="00C96CD0"/>
    <w:rsid w:val="00C9782C"/>
    <w:rsid w:val="00C9788E"/>
    <w:rsid w:val="00CA1550"/>
    <w:rsid w:val="00CA5324"/>
    <w:rsid w:val="00CA5E94"/>
    <w:rsid w:val="00CA6FDF"/>
    <w:rsid w:val="00CC2232"/>
    <w:rsid w:val="00CC2ECF"/>
    <w:rsid w:val="00CC32F2"/>
    <w:rsid w:val="00CC396E"/>
    <w:rsid w:val="00CC51F8"/>
    <w:rsid w:val="00CC53FA"/>
    <w:rsid w:val="00CD1AAC"/>
    <w:rsid w:val="00CE279D"/>
    <w:rsid w:val="00CE6BD2"/>
    <w:rsid w:val="00CF2E4D"/>
    <w:rsid w:val="00CF47BA"/>
    <w:rsid w:val="00CF5599"/>
    <w:rsid w:val="00CF6F66"/>
    <w:rsid w:val="00D02B3F"/>
    <w:rsid w:val="00D3137D"/>
    <w:rsid w:val="00D32047"/>
    <w:rsid w:val="00D33FD0"/>
    <w:rsid w:val="00D34246"/>
    <w:rsid w:val="00D44E03"/>
    <w:rsid w:val="00D46204"/>
    <w:rsid w:val="00D46225"/>
    <w:rsid w:val="00D524B2"/>
    <w:rsid w:val="00D52FB1"/>
    <w:rsid w:val="00D54208"/>
    <w:rsid w:val="00D6333D"/>
    <w:rsid w:val="00D63F8E"/>
    <w:rsid w:val="00D642BC"/>
    <w:rsid w:val="00D64577"/>
    <w:rsid w:val="00D67921"/>
    <w:rsid w:val="00D83B2E"/>
    <w:rsid w:val="00D8407C"/>
    <w:rsid w:val="00D855D3"/>
    <w:rsid w:val="00D85724"/>
    <w:rsid w:val="00D861B6"/>
    <w:rsid w:val="00D907D5"/>
    <w:rsid w:val="00D9229D"/>
    <w:rsid w:val="00D939BC"/>
    <w:rsid w:val="00DA1BEE"/>
    <w:rsid w:val="00DB19C7"/>
    <w:rsid w:val="00DC54C4"/>
    <w:rsid w:val="00DC5BF6"/>
    <w:rsid w:val="00DC5C19"/>
    <w:rsid w:val="00DC7154"/>
    <w:rsid w:val="00DD4425"/>
    <w:rsid w:val="00DD722E"/>
    <w:rsid w:val="00DD7B38"/>
    <w:rsid w:val="00DE4AFD"/>
    <w:rsid w:val="00DE4B89"/>
    <w:rsid w:val="00DE6A56"/>
    <w:rsid w:val="00DF1B2C"/>
    <w:rsid w:val="00DF49F7"/>
    <w:rsid w:val="00DF50D1"/>
    <w:rsid w:val="00DF7A87"/>
    <w:rsid w:val="00E0045E"/>
    <w:rsid w:val="00E02D20"/>
    <w:rsid w:val="00E02EB7"/>
    <w:rsid w:val="00E0539A"/>
    <w:rsid w:val="00E110FC"/>
    <w:rsid w:val="00E13953"/>
    <w:rsid w:val="00E237B9"/>
    <w:rsid w:val="00E27AFD"/>
    <w:rsid w:val="00E3012D"/>
    <w:rsid w:val="00E302D0"/>
    <w:rsid w:val="00E30CDE"/>
    <w:rsid w:val="00E322C0"/>
    <w:rsid w:val="00E342EC"/>
    <w:rsid w:val="00E45EC7"/>
    <w:rsid w:val="00E63A81"/>
    <w:rsid w:val="00E65B9A"/>
    <w:rsid w:val="00E71BD5"/>
    <w:rsid w:val="00E75DE4"/>
    <w:rsid w:val="00E837EF"/>
    <w:rsid w:val="00E8596F"/>
    <w:rsid w:val="00E905D8"/>
    <w:rsid w:val="00E937EB"/>
    <w:rsid w:val="00E94992"/>
    <w:rsid w:val="00EA0465"/>
    <w:rsid w:val="00EA625D"/>
    <w:rsid w:val="00EB1F8B"/>
    <w:rsid w:val="00EB3980"/>
    <w:rsid w:val="00EB3E20"/>
    <w:rsid w:val="00EB4FE0"/>
    <w:rsid w:val="00EC1CE4"/>
    <w:rsid w:val="00ED06A4"/>
    <w:rsid w:val="00ED1A2C"/>
    <w:rsid w:val="00ED30CD"/>
    <w:rsid w:val="00ED5278"/>
    <w:rsid w:val="00EE00F1"/>
    <w:rsid w:val="00EE480E"/>
    <w:rsid w:val="00EF1320"/>
    <w:rsid w:val="00EF2547"/>
    <w:rsid w:val="00EF5D5B"/>
    <w:rsid w:val="00EF7739"/>
    <w:rsid w:val="00EF7E00"/>
    <w:rsid w:val="00F10099"/>
    <w:rsid w:val="00F12069"/>
    <w:rsid w:val="00F1580F"/>
    <w:rsid w:val="00F2082C"/>
    <w:rsid w:val="00F3167D"/>
    <w:rsid w:val="00F335D1"/>
    <w:rsid w:val="00F376A8"/>
    <w:rsid w:val="00F425CA"/>
    <w:rsid w:val="00F46E4A"/>
    <w:rsid w:val="00F47704"/>
    <w:rsid w:val="00F5393D"/>
    <w:rsid w:val="00F5624C"/>
    <w:rsid w:val="00F643DB"/>
    <w:rsid w:val="00F72F73"/>
    <w:rsid w:val="00F73FC6"/>
    <w:rsid w:val="00F7465F"/>
    <w:rsid w:val="00F77CF0"/>
    <w:rsid w:val="00F8494F"/>
    <w:rsid w:val="00F869FF"/>
    <w:rsid w:val="00F90D30"/>
    <w:rsid w:val="00FA268B"/>
    <w:rsid w:val="00FA4B98"/>
    <w:rsid w:val="00FB5AB6"/>
    <w:rsid w:val="00FB5FA8"/>
    <w:rsid w:val="00FC70E6"/>
    <w:rsid w:val="00FD14BF"/>
    <w:rsid w:val="00FE6598"/>
    <w:rsid w:val="00FF0BBB"/>
    <w:rsid w:val="00FF28E7"/>
    <w:rsid w:val="00FF4C6F"/>
  </w:rsids>
  <m:mathPr>
    <m:mathFont m:val="Book Antiqu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7B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9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533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37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37E5"/>
  </w:style>
  <w:style w:type="paragraph" w:styleId="EndnoteText">
    <w:name w:val="endnote text"/>
    <w:basedOn w:val="Normal"/>
    <w:semiHidden/>
    <w:rsid w:val="00493047"/>
    <w:rPr>
      <w:rFonts w:eastAsia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sid w:val="00493047"/>
    <w:rPr>
      <w:vertAlign w:val="superscript"/>
    </w:rPr>
  </w:style>
  <w:style w:type="paragraph" w:styleId="DocumentMap">
    <w:name w:val="Document Map"/>
    <w:basedOn w:val="Normal"/>
    <w:semiHidden/>
    <w:rsid w:val="0055273F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493047"/>
    <w:pPr>
      <w:spacing w:after="120"/>
    </w:pPr>
    <w:rPr>
      <w:rFonts w:eastAsia="Times New Roman"/>
      <w:lang w:eastAsia="en-US"/>
    </w:rPr>
  </w:style>
  <w:style w:type="character" w:customStyle="1" w:styleId="ccbnttl1">
    <w:name w:val="ccbnttl1"/>
    <w:basedOn w:val="DefaultParagraphFont"/>
    <w:rsid w:val="00ED06A4"/>
    <w:rPr>
      <w:rFonts w:ascii="Arial" w:hAnsi="Arial" w:cs="Arial" w:hint="default"/>
      <w:b/>
      <w:bCs/>
      <w:color w:val="000000"/>
      <w:sz w:val="17"/>
      <w:szCs w:val="17"/>
    </w:rPr>
  </w:style>
  <w:style w:type="paragraph" w:styleId="BalloonText">
    <w:name w:val="Balloon Text"/>
    <w:basedOn w:val="Normal"/>
    <w:semiHidden/>
    <w:rsid w:val="00CA5E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F5B"/>
    <w:pPr>
      <w:ind w:left="720"/>
      <w:contextualSpacing/>
    </w:pPr>
  </w:style>
  <w:style w:type="table" w:styleId="TableGrid">
    <w:name w:val="Table Grid"/>
    <w:basedOn w:val="TableNormal"/>
    <w:uiPriority w:val="59"/>
    <w:rsid w:val="005D0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B1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F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F8B"/>
    <w:rPr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F53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table" w:styleId="LightList">
    <w:name w:val="Light List"/>
    <w:basedOn w:val="TableNormal"/>
    <w:uiPriority w:val="61"/>
    <w:rsid w:val="001C599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7B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9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3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37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37E5"/>
  </w:style>
  <w:style w:type="paragraph" w:styleId="EndnoteText">
    <w:name w:val="endnote text"/>
    <w:basedOn w:val="Normal"/>
    <w:semiHidden/>
    <w:rsid w:val="00493047"/>
    <w:rPr>
      <w:rFonts w:eastAsia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sid w:val="00493047"/>
    <w:rPr>
      <w:vertAlign w:val="superscript"/>
    </w:rPr>
  </w:style>
  <w:style w:type="paragraph" w:styleId="DocumentMap">
    <w:name w:val="Document Map"/>
    <w:basedOn w:val="Normal"/>
    <w:semiHidden/>
    <w:rsid w:val="0055273F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493047"/>
    <w:pPr>
      <w:spacing w:after="120"/>
    </w:pPr>
    <w:rPr>
      <w:rFonts w:eastAsia="Times New Roman"/>
      <w:lang w:eastAsia="en-US"/>
    </w:rPr>
  </w:style>
  <w:style w:type="character" w:customStyle="1" w:styleId="ccbnttl1">
    <w:name w:val="ccbnttl1"/>
    <w:basedOn w:val="DefaultParagraphFont"/>
    <w:rsid w:val="00ED06A4"/>
    <w:rPr>
      <w:rFonts w:ascii="Arial" w:hAnsi="Arial" w:cs="Arial" w:hint="default"/>
      <w:b/>
      <w:bCs/>
      <w:color w:val="000000"/>
      <w:sz w:val="17"/>
      <w:szCs w:val="17"/>
    </w:rPr>
  </w:style>
  <w:style w:type="paragraph" w:styleId="BalloonText">
    <w:name w:val="Balloon Text"/>
    <w:basedOn w:val="Normal"/>
    <w:semiHidden/>
    <w:rsid w:val="00CA5E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F5B"/>
    <w:pPr>
      <w:ind w:left="720"/>
      <w:contextualSpacing/>
    </w:pPr>
  </w:style>
  <w:style w:type="table" w:styleId="TableGrid">
    <w:name w:val="Table Grid"/>
    <w:basedOn w:val="TableNormal"/>
    <w:uiPriority w:val="59"/>
    <w:rsid w:val="005D0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B1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F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F8B"/>
    <w:rPr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F53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table" w:styleId="LightList">
    <w:name w:val="Light List"/>
    <w:basedOn w:val="TableNormal"/>
    <w:uiPriority w:val="61"/>
    <w:rsid w:val="001C599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8DDC-2EC0-994B-85C6-41C35861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5904</TotalTime>
  <Pages>9</Pages>
  <Words>3564</Words>
  <Characters>20317</Characters>
  <Application>Microsoft Macintosh Word</Application>
  <DocSecurity>0</DocSecurity>
  <Lines>169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3M Cultivating Core Competency</vt:lpstr>
    </vt:vector>
  </TitlesOfParts>
  <Company/>
  <LinksUpToDate>false</LinksUpToDate>
  <CharactersWithSpaces>24950</CharactersWithSpaces>
  <SharedDoc>false</SharedDoc>
  <HLinks>
    <vt:vector size="6" baseType="variant">
      <vt:variant>
        <vt:i4>5439492</vt:i4>
      </vt:variant>
      <vt:variant>
        <vt:i4>0</vt:i4>
      </vt:variant>
      <vt:variant>
        <vt:i4>0</vt:i4>
      </vt:variant>
      <vt:variant>
        <vt:i4>5</vt:i4>
      </vt:variant>
      <vt:variant>
        <vt:lpwstr>http://premium.hoovers.com/subscribe/co/factsheet.xhtml?ID=fffrffkhtkssjcjkrj&amp;ticker=NFLX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3M Cultivating Core Competency</dc:title>
  <dc:creator>Kristi L. Marshall</dc:creator>
  <cp:lastModifiedBy>Patricia Menard User</cp:lastModifiedBy>
  <cp:revision>91</cp:revision>
  <cp:lastPrinted>2011-07-29T02:02:00Z</cp:lastPrinted>
  <dcterms:created xsi:type="dcterms:W3CDTF">2011-07-13T01:53:00Z</dcterms:created>
  <dcterms:modified xsi:type="dcterms:W3CDTF">2011-10-21T22:20:00Z</dcterms:modified>
</cp:coreProperties>
</file>