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6EEE2" w14:textId="77777777" w:rsidR="003F2F1D" w:rsidRPr="001F1A73" w:rsidRDefault="003F2F1D" w:rsidP="001F1A73">
      <w:pPr>
        <w:spacing w:line="276" w:lineRule="auto"/>
        <w:rPr>
          <w:rFonts w:ascii="Liberation Serif" w:hAnsi="Liberation Serif" w:cs="Liberation Serif"/>
          <w:b/>
          <w:sz w:val="28"/>
        </w:rPr>
      </w:pPr>
      <w:r w:rsidRPr="001F1A73">
        <w:rPr>
          <w:rFonts w:ascii="Liberation Serif" w:hAnsi="Liberation Serif" w:cs="Liberation Serif"/>
          <w:b/>
          <w:sz w:val="28"/>
        </w:rPr>
        <w:t>Teaching Note</w:t>
      </w:r>
    </w:p>
    <w:p w14:paraId="06C72674" w14:textId="77777777" w:rsidR="003F2F1D" w:rsidRPr="001F1A73" w:rsidRDefault="003F2F1D" w:rsidP="001F1A73">
      <w:pPr>
        <w:spacing w:line="276" w:lineRule="auto"/>
        <w:rPr>
          <w:rFonts w:ascii="Liberation Serif" w:hAnsi="Liberation Serif" w:cs="Liberation Serif"/>
          <w:b/>
          <w:sz w:val="28"/>
        </w:rPr>
      </w:pPr>
    </w:p>
    <w:p w14:paraId="211AD528" w14:textId="77777777" w:rsidR="0056574F" w:rsidRPr="001F1A73" w:rsidRDefault="0056574F" w:rsidP="001F1A73">
      <w:pPr>
        <w:spacing w:line="276" w:lineRule="auto"/>
        <w:contextualSpacing/>
        <w:rPr>
          <w:rFonts w:ascii="Liberation Serif" w:hAnsi="Liberation Serif" w:cs="Liberation Serif"/>
          <w:b/>
          <w:sz w:val="32"/>
        </w:rPr>
      </w:pPr>
      <w:r w:rsidRPr="001F1A73">
        <w:rPr>
          <w:rFonts w:ascii="Liberation Serif" w:hAnsi="Liberation Serif" w:cs="Liberation Serif"/>
          <w:b/>
          <w:sz w:val="32"/>
        </w:rPr>
        <w:t>Coca-Cola, Pepsi, and the Shifting Landscape of the Carbonated Soft Drink Industry</w:t>
      </w:r>
    </w:p>
    <w:p w14:paraId="1D702F08" w14:textId="77777777" w:rsidR="003F2F1D" w:rsidRPr="001F1A73" w:rsidRDefault="003F2F1D" w:rsidP="001F1A73">
      <w:pPr>
        <w:spacing w:line="276" w:lineRule="auto"/>
        <w:rPr>
          <w:rFonts w:ascii="Liberation Serif" w:hAnsi="Liberation Serif" w:cs="Liberation Serif"/>
        </w:rPr>
      </w:pPr>
    </w:p>
    <w:p w14:paraId="73C91507" w14:textId="77777777" w:rsidR="0056574F" w:rsidRPr="001F1A73" w:rsidRDefault="0056574F" w:rsidP="001F1A73">
      <w:pPr>
        <w:spacing w:line="276" w:lineRule="auto"/>
        <w:rPr>
          <w:rFonts w:ascii="Liberation Serif" w:hAnsi="Liberation Serif" w:cs="Liberation Serif"/>
          <w:b/>
        </w:rPr>
      </w:pPr>
    </w:p>
    <w:p w14:paraId="0438A68E" w14:textId="77777777" w:rsidR="00CD37E9" w:rsidRPr="001F1A73" w:rsidRDefault="003F2F1D" w:rsidP="001F1A73">
      <w:pPr>
        <w:pBdr>
          <w:bottom w:val="single" w:sz="4" w:space="1" w:color="auto"/>
        </w:pBdr>
        <w:spacing w:line="276" w:lineRule="auto"/>
        <w:rPr>
          <w:rFonts w:ascii="Liberation Serif" w:hAnsi="Liberation Serif" w:cs="Liberation Serif"/>
          <w:b/>
        </w:rPr>
      </w:pPr>
      <w:r w:rsidRPr="001F1A73">
        <w:rPr>
          <w:rFonts w:ascii="Liberation Serif" w:hAnsi="Liberation Serif" w:cs="Liberation Serif"/>
          <w:b/>
        </w:rPr>
        <w:t>Teaching Objectives</w:t>
      </w:r>
    </w:p>
    <w:p w14:paraId="0C5A568D" w14:textId="77777777" w:rsidR="00440674" w:rsidRPr="001F1A73" w:rsidRDefault="00440674" w:rsidP="001F1A73">
      <w:pPr>
        <w:spacing w:line="276" w:lineRule="auto"/>
        <w:rPr>
          <w:rFonts w:ascii="Liberation Serif" w:hAnsi="Liberation Serif" w:cs="Liberation Serif"/>
          <w:b/>
        </w:rPr>
      </w:pPr>
    </w:p>
    <w:p w14:paraId="00B72536" w14:textId="77777777" w:rsidR="0056574F" w:rsidRPr="001F1A73" w:rsidRDefault="0056574F" w:rsidP="001F1A73">
      <w:pPr>
        <w:spacing w:line="276" w:lineRule="auto"/>
        <w:rPr>
          <w:rFonts w:ascii="Liberation Serif" w:hAnsi="Liberation Serif" w:cs="Liberation Serif"/>
        </w:rPr>
      </w:pPr>
      <w:r w:rsidRPr="001F1A73">
        <w:rPr>
          <w:rFonts w:ascii="Liberation Serif" w:hAnsi="Liberation Serif" w:cs="Liberation Serif"/>
        </w:rPr>
        <w:t>This case provides an understanding of the underlying economics of an industry and its relationship to average industry profits. The concentrate industry is, on average, more attractive than bottling.</w:t>
      </w:r>
      <w:r w:rsidR="00BC1893" w:rsidRPr="001F1A73">
        <w:rPr>
          <w:rFonts w:ascii="Liberation Serif" w:hAnsi="Liberation Serif" w:cs="Liberation Serif"/>
        </w:rPr>
        <w:t xml:space="preserve"> It </w:t>
      </w:r>
      <w:r w:rsidRPr="001F1A73">
        <w:rPr>
          <w:rFonts w:ascii="Liberation Serif" w:hAnsi="Liberation Serif" w:cs="Liberation Serif"/>
        </w:rPr>
        <w:t xml:space="preserve">also provides students with an opportunity to create an </w:t>
      </w:r>
      <w:r w:rsidR="00BC1893" w:rsidRPr="001F1A73">
        <w:rPr>
          <w:rFonts w:ascii="Liberation Serif" w:hAnsi="Liberation Serif" w:cs="Liberation Serif"/>
        </w:rPr>
        <w:t>entry strategy for a new player in the concentrate industry.</w:t>
      </w:r>
    </w:p>
    <w:p w14:paraId="0D1B2EC2" w14:textId="77777777" w:rsidR="00BC1893" w:rsidRPr="001F1A73" w:rsidRDefault="00BC1893" w:rsidP="001F1A73">
      <w:pPr>
        <w:spacing w:line="276" w:lineRule="auto"/>
        <w:rPr>
          <w:rFonts w:ascii="Liberation Serif" w:hAnsi="Liberation Serif" w:cs="Liberation Serif"/>
        </w:rPr>
      </w:pPr>
    </w:p>
    <w:p w14:paraId="66DD8D69" w14:textId="0077045F" w:rsidR="00BC1893" w:rsidRPr="001F1A73" w:rsidRDefault="00BC1893" w:rsidP="001F1A73">
      <w:pPr>
        <w:spacing w:line="276" w:lineRule="auto"/>
        <w:rPr>
          <w:rFonts w:ascii="Liberation Serif" w:hAnsi="Liberation Serif" w:cs="Liberation Serif"/>
        </w:rPr>
      </w:pPr>
      <w:r w:rsidRPr="001F1A73">
        <w:rPr>
          <w:rFonts w:ascii="Liberation Serif" w:hAnsi="Liberation Serif" w:cs="Liberation Serif"/>
        </w:rPr>
        <w:t>After completing this case, students should have a much clearer understanding o</w:t>
      </w:r>
      <w:r w:rsidR="00C60D42" w:rsidRPr="001F1A73">
        <w:rPr>
          <w:rFonts w:ascii="Liberation Serif" w:hAnsi="Liberation Serif" w:cs="Liberation Serif"/>
        </w:rPr>
        <w:t>f</w:t>
      </w:r>
      <w:r w:rsidRPr="001F1A73">
        <w:rPr>
          <w:rFonts w:ascii="Liberation Serif" w:hAnsi="Liberation Serif" w:cs="Liberation Serif"/>
        </w:rPr>
        <w:t xml:space="preserve"> the </w:t>
      </w:r>
      <w:r w:rsidR="00C60D42" w:rsidRPr="001F1A73">
        <w:rPr>
          <w:rFonts w:ascii="Liberation Serif" w:hAnsi="Liberation Serif" w:cs="Liberation Serif"/>
        </w:rPr>
        <w:t xml:space="preserve">five </w:t>
      </w:r>
      <w:r w:rsidRPr="001F1A73">
        <w:rPr>
          <w:rFonts w:ascii="Liberation Serif" w:hAnsi="Liberation Serif" w:cs="Liberation Serif"/>
        </w:rPr>
        <w:t xml:space="preserve">forces that </w:t>
      </w:r>
      <w:r w:rsidR="00C60D42" w:rsidRPr="001F1A73">
        <w:rPr>
          <w:rFonts w:ascii="Liberation Serif" w:hAnsi="Liberation Serif" w:cs="Liberation Serif"/>
        </w:rPr>
        <w:t>influence</w:t>
      </w:r>
      <w:r w:rsidRPr="001F1A73">
        <w:rPr>
          <w:rFonts w:ascii="Liberation Serif" w:hAnsi="Liberation Serif" w:cs="Liberation Serif"/>
        </w:rPr>
        <w:t xml:space="preserve"> an industry’s attractiveness. They also should have an increased ability </w:t>
      </w:r>
      <w:r w:rsidR="00C60D42" w:rsidRPr="001F1A73">
        <w:rPr>
          <w:rFonts w:ascii="Liberation Serif" w:hAnsi="Liberation Serif" w:cs="Liberation Serif"/>
        </w:rPr>
        <w:t xml:space="preserve">to analyze each of those five forces to assess and measure the </w:t>
      </w:r>
      <w:r w:rsidRPr="001F1A73">
        <w:rPr>
          <w:rFonts w:ascii="Liberation Serif" w:hAnsi="Liberation Serif" w:cs="Liberation Serif"/>
        </w:rPr>
        <w:t xml:space="preserve">overall attractiveness </w:t>
      </w:r>
      <w:r w:rsidR="00C60D42" w:rsidRPr="001F1A73">
        <w:rPr>
          <w:rFonts w:ascii="Liberation Serif" w:hAnsi="Liberation Serif" w:cs="Liberation Serif"/>
        </w:rPr>
        <w:t>of</w:t>
      </w:r>
      <w:r w:rsidRPr="001F1A73">
        <w:rPr>
          <w:rFonts w:ascii="Liberation Serif" w:hAnsi="Liberation Serif" w:cs="Liberation Serif"/>
        </w:rPr>
        <w:t xml:space="preserve"> a given industry.</w:t>
      </w:r>
      <w:r w:rsidR="0079587F" w:rsidRPr="001F1A73">
        <w:rPr>
          <w:rFonts w:ascii="Liberation Serif" w:hAnsi="Liberation Serif" w:cs="Liberation Serif"/>
        </w:rPr>
        <w:t xml:space="preserve">  The case provides all of the needed information for students to use the supplier power and rivalry five forces tools from chapter 2.  </w:t>
      </w:r>
    </w:p>
    <w:p w14:paraId="5C86DEAE" w14:textId="77777777" w:rsidR="0056574F" w:rsidRPr="001F1A73" w:rsidRDefault="0056574F" w:rsidP="001F1A73">
      <w:pPr>
        <w:spacing w:line="276" w:lineRule="auto"/>
        <w:rPr>
          <w:rFonts w:ascii="Liberation Serif" w:hAnsi="Liberation Serif" w:cs="Liberation Serif"/>
          <w:b/>
        </w:rPr>
      </w:pPr>
    </w:p>
    <w:p w14:paraId="13711657" w14:textId="77777777" w:rsidR="0056574F" w:rsidRPr="001F1A73" w:rsidRDefault="0056574F" w:rsidP="001F1A73">
      <w:pPr>
        <w:spacing w:line="276" w:lineRule="auto"/>
        <w:rPr>
          <w:rFonts w:ascii="Liberation Serif" w:hAnsi="Liberation Serif" w:cs="Liberation Serif"/>
          <w:b/>
        </w:rPr>
      </w:pPr>
    </w:p>
    <w:p w14:paraId="7472D0E2" w14:textId="77777777" w:rsidR="003F2F1D" w:rsidRPr="001F1A73" w:rsidRDefault="003F2F1D" w:rsidP="001F1A73">
      <w:pPr>
        <w:pBdr>
          <w:bottom w:val="single" w:sz="4" w:space="1" w:color="auto"/>
        </w:pBdr>
        <w:spacing w:line="276" w:lineRule="auto"/>
        <w:rPr>
          <w:rFonts w:ascii="Liberation Serif" w:hAnsi="Liberation Serif" w:cs="Liberation Serif"/>
          <w:b/>
        </w:rPr>
      </w:pPr>
      <w:r w:rsidRPr="001F1A73">
        <w:rPr>
          <w:rFonts w:ascii="Liberation Serif" w:hAnsi="Liberation Serif" w:cs="Liberation Serif"/>
          <w:b/>
        </w:rPr>
        <w:t>Study Questions</w:t>
      </w:r>
    </w:p>
    <w:p w14:paraId="73C460AA" w14:textId="77777777" w:rsidR="00CD37E9" w:rsidRPr="001F1A73" w:rsidRDefault="00CD37E9" w:rsidP="001F1A73">
      <w:pPr>
        <w:spacing w:line="276" w:lineRule="auto"/>
        <w:rPr>
          <w:rFonts w:ascii="Liberation Serif" w:hAnsi="Liberation Serif" w:cs="Liberation Serif"/>
        </w:rPr>
      </w:pPr>
    </w:p>
    <w:p w14:paraId="4FBD4F9F" w14:textId="77777777" w:rsidR="0056574F" w:rsidRPr="001F1A73" w:rsidRDefault="0056574F" w:rsidP="001F1A73">
      <w:pPr>
        <w:pStyle w:val="ListParagraph"/>
        <w:numPr>
          <w:ilvl w:val="0"/>
          <w:numId w:val="18"/>
        </w:numPr>
        <w:spacing w:line="276" w:lineRule="auto"/>
        <w:rPr>
          <w:rFonts w:ascii="Liberation Serif" w:hAnsi="Liberation Serif" w:cs="Liberation Serif"/>
        </w:rPr>
      </w:pPr>
      <w:r w:rsidRPr="001F1A73">
        <w:rPr>
          <w:rFonts w:ascii="Liberation Serif" w:hAnsi="Liberation Serif" w:cs="Liberation Serif"/>
        </w:rPr>
        <w:t>Analyze the structure (Porter’s 5 Forces) of the soft drink industry. Why are Coke and Pepsi so profitable? What prevent other firms from entering this industry and accessing some of those high profits?</w:t>
      </w:r>
    </w:p>
    <w:p w14:paraId="2CA455F6" w14:textId="77777777" w:rsidR="0056574F" w:rsidRPr="001F1A73" w:rsidRDefault="0056574F" w:rsidP="001F1A73">
      <w:pPr>
        <w:pStyle w:val="ListParagraph"/>
        <w:numPr>
          <w:ilvl w:val="0"/>
          <w:numId w:val="18"/>
        </w:numPr>
        <w:spacing w:line="276" w:lineRule="auto"/>
        <w:rPr>
          <w:rFonts w:ascii="Liberation Serif" w:hAnsi="Liberation Serif" w:cs="Liberation Serif"/>
        </w:rPr>
      </w:pPr>
      <w:r w:rsidRPr="001F1A73">
        <w:rPr>
          <w:rFonts w:ascii="Liberation Serif" w:hAnsi="Liberation Serif" w:cs="Liberation Serif"/>
        </w:rPr>
        <w:t xml:space="preserve">Compare the economics (costs and profits) of soft drinks (concentrate) versus bottlers. </w:t>
      </w:r>
      <w:r w:rsidR="00C60D42" w:rsidRPr="001F1A73">
        <w:rPr>
          <w:rFonts w:ascii="Liberation Serif" w:hAnsi="Liberation Serif" w:cs="Liberation Serif"/>
        </w:rPr>
        <w:t xml:space="preserve"> Why is the concentrate business more profitable than the bottling business?  </w:t>
      </w:r>
      <w:r w:rsidRPr="001F1A73">
        <w:rPr>
          <w:rFonts w:ascii="Liberation Serif" w:hAnsi="Liberation Serif" w:cs="Liberation Serif"/>
        </w:rPr>
        <w:t>Why do you think Coke &amp; Pepsi are in the bottling business?</w:t>
      </w:r>
    </w:p>
    <w:p w14:paraId="378297FB" w14:textId="6AA29F03" w:rsidR="0056574F" w:rsidRPr="001F1A73" w:rsidRDefault="0056574F" w:rsidP="001F1A73">
      <w:pPr>
        <w:pStyle w:val="ListParagraph"/>
        <w:numPr>
          <w:ilvl w:val="0"/>
          <w:numId w:val="18"/>
        </w:numPr>
        <w:spacing w:line="276" w:lineRule="auto"/>
        <w:rPr>
          <w:rFonts w:ascii="Liberation Serif" w:hAnsi="Liberation Serif" w:cs="Liberation Serif"/>
        </w:rPr>
      </w:pPr>
      <w:r w:rsidRPr="001F1A73">
        <w:rPr>
          <w:rFonts w:ascii="Liberation Serif" w:hAnsi="Liberation Serif" w:cs="Liberation Serif"/>
        </w:rPr>
        <w:t xml:space="preserve">Team Assignment: Create a 5 year proforma in Excel which projects the revenues, costs, and profits (both earnings before interest, taxes, and amortization (EBITDA) and earnings before taxes (EBT) for a company who enters the U.S. carbonated soft drink industry and who attempts to build a 10% market share position in the U.S. carbonated soft drink industry within a five year time period (please include fixed and variable costs in your analysis). To calculate interest expense, assume that you will need to raise 50% of the capital you require through bank financing at 10% interest. To calculate depreciation expense, assume that only a niche player (with less than 5% market share) can access the bottlers/distributors of Coke or </w:t>
      </w:r>
      <w:r w:rsidR="001A5D04" w:rsidRPr="001F1A73">
        <w:rPr>
          <w:rFonts w:ascii="Liberation Serif" w:hAnsi="Liberation Serif" w:cs="Liberation Serif"/>
        </w:rPr>
        <w:t>Pepsi</w:t>
      </w:r>
      <w:r w:rsidRPr="001F1A73">
        <w:rPr>
          <w:rFonts w:ascii="Liberation Serif" w:hAnsi="Liberation Serif" w:cs="Liberation Serif"/>
        </w:rPr>
        <w:t xml:space="preserve">, which means you will need to build bottling plants (which you can depreciate using straight line depreciation over a 30 year </w:t>
      </w:r>
      <w:r w:rsidRPr="001F1A73">
        <w:rPr>
          <w:rFonts w:ascii="Liberation Serif" w:hAnsi="Liberation Serif" w:cs="Liberation Serif"/>
        </w:rPr>
        <w:lastRenderedPageBreak/>
        <w:t>life). Please provide your assumptions along with a one half page description of your market entry strategy.</w:t>
      </w:r>
    </w:p>
    <w:p w14:paraId="2374F1D1" w14:textId="70EF60D6" w:rsidR="003F2F1D" w:rsidRDefault="003F2F1D" w:rsidP="001F1A73">
      <w:pPr>
        <w:spacing w:line="276" w:lineRule="auto"/>
        <w:rPr>
          <w:rFonts w:ascii="Liberation Serif" w:hAnsi="Liberation Serif" w:cs="Liberation Serif"/>
          <w:b/>
        </w:rPr>
      </w:pPr>
    </w:p>
    <w:p w14:paraId="79791543" w14:textId="77777777" w:rsidR="001F1A73" w:rsidRPr="001F1A73" w:rsidRDefault="001F1A73" w:rsidP="001F1A73">
      <w:pPr>
        <w:spacing w:line="276" w:lineRule="auto"/>
        <w:rPr>
          <w:rFonts w:ascii="Liberation Serif" w:hAnsi="Liberation Serif" w:cs="Liberation Serif"/>
          <w:b/>
        </w:rPr>
      </w:pPr>
    </w:p>
    <w:p w14:paraId="49B5FB49" w14:textId="77777777" w:rsidR="001F1A73" w:rsidRPr="0038253A" w:rsidRDefault="001F1A73" w:rsidP="001F1A73">
      <w:pPr>
        <w:pBdr>
          <w:bottom w:val="single" w:sz="4" w:space="1" w:color="auto"/>
        </w:pBdr>
        <w:spacing w:line="276" w:lineRule="auto"/>
        <w:rPr>
          <w:rFonts w:ascii="Liberation Serif" w:hAnsi="Liberation Serif" w:cs="Liberation Serif"/>
          <w:b/>
        </w:rPr>
      </w:pPr>
      <w:r w:rsidRPr="0038253A">
        <w:rPr>
          <w:rFonts w:ascii="Liberation Serif" w:hAnsi="Liberation Serif" w:cs="Liberation Serif"/>
          <w:b/>
        </w:rPr>
        <w:t>Teaching Plan</w:t>
      </w:r>
    </w:p>
    <w:p w14:paraId="586DAC07" w14:textId="77777777" w:rsidR="003F2F1D" w:rsidRPr="001F1A73" w:rsidRDefault="003F2F1D" w:rsidP="001F1A73">
      <w:pPr>
        <w:spacing w:line="276" w:lineRule="auto"/>
        <w:rPr>
          <w:rFonts w:ascii="Liberation Serif" w:hAnsi="Liberation Serif" w:cs="Liberation Serif"/>
        </w:rPr>
      </w:pPr>
    </w:p>
    <w:tbl>
      <w:tblPr>
        <w:tblStyle w:val="TableGrid"/>
        <w:tblW w:w="0" w:type="auto"/>
        <w:jc w:val="center"/>
        <w:tblLook w:val="04A0" w:firstRow="1" w:lastRow="0" w:firstColumn="1" w:lastColumn="0" w:noHBand="0" w:noVBand="1"/>
      </w:tblPr>
      <w:tblGrid>
        <w:gridCol w:w="5238"/>
        <w:gridCol w:w="1350"/>
      </w:tblGrid>
      <w:tr w:rsidR="003F2F1D" w:rsidRPr="001F1A73" w14:paraId="1189B4F7" w14:textId="77777777" w:rsidTr="00734272">
        <w:trPr>
          <w:jc w:val="center"/>
        </w:trPr>
        <w:tc>
          <w:tcPr>
            <w:tcW w:w="5238" w:type="dxa"/>
          </w:tcPr>
          <w:p w14:paraId="026D5EDD" w14:textId="77777777" w:rsidR="003F2F1D" w:rsidRPr="001F1A73" w:rsidRDefault="004C761E" w:rsidP="001F1A73">
            <w:pPr>
              <w:spacing w:line="276" w:lineRule="auto"/>
              <w:rPr>
                <w:rFonts w:ascii="Liberation Serif" w:hAnsi="Liberation Serif" w:cs="Liberation Serif"/>
              </w:rPr>
            </w:pPr>
            <w:r w:rsidRPr="001F1A73">
              <w:rPr>
                <w:rFonts w:ascii="Liberation Serif" w:hAnsi="Liberation Serif" w:cs="Liberation Serif"/>
              </w:rPr>
              <w:t>I</w:t>
            </w:r>
            <w:r w:rsidR="003F2F1D" w:rsidRPr="001F1A73">
              <w:rPr>
                <w:rFonts w:ascii="Liberation Serif" w:hAnsi="Liberation Serif" w:cs="Liberation Serif"/>
              </w:rPr>
              <w:t xml:space="preserve">. </w:t>
            </w:r>
            <w:r w:rsidR="00BC1893" w:rsidRPr="001F1A73">
              <w:rPr>
                <w:rFonts w:ascii="Liberation Serif" w:hAnsi="Liberation Serif" w:cs="Liberation Serif"/>
              </w:rPr>
              <w:t xml:space="preserve">Taste Test </w:t>
            </w:r>
          </w:p>
        </w:tc>
        <w:tc>
          <w:tcPr>
            <w:tcW w:w="1350" w:type="dxa"/>
          </w:tcPr>
          <w:p w14:paraId="38DD015A" w14:textId="4DB45B1C" w:rsidR="003F2F1D" w:rsidRPr="001F1A73" w:rsidRDefault="00C60D42" w:rsidP="001F1A73">
            <w:pPr>
              <w:spacing w:line="276" w:lineRule="auto"/>
              <w:rPr>
                <w:rFonts w:ascii="Liberation Serif" w:hAnsi="Liberation Serif" w:cs="Liberation Serif"/>
              </w:rPr>
            </w:pPr>
            <w:r w:rsidRPr="001F1A73">
              <w:rPr>
                <w:rFonts w:ascii="Liberation Serif" w:hAnsi="Liberation Serif" w:cs="Liberation Serif"/>
              </w:rPr>
              <w:t>1</w:t>
            </w:r>
            <w:r w:rsidR="005B5880" w:rsidRPr="001F1A73">
              <w:rPr>
                <w:rFonts w:ascii="Liberation Serif" w:hAnsi="Liberation Serif" w:cs="Liberation Serif"/>
              </w:rPr>
              <w:t>5</w:t>
            </w:r>
            <w:r w:rsidR="003F2F1D" w:rsidRPr="001F1A73">
              <w:rPr>
                <w:rFonts w:ascii="Liberation Serif" w:hAnsi="Liberation Serif" w:cs="Liberation Serif"/>
              </w:rPr>
              <w:t xml:space="preserve"> min</w:t>
            </w:r>
          </w:p>
        </w:tc>
      </w:tr>
      <w:tr w:rsidR="003F2F1D" w:rsidRPr="001F1A73" w14:paraId="2526B5A4" w14:textId="77777777" w:rsidTr="00734272">
        <w:trPr>
          <w:jc w:val="center"/>
        </w:trPr>
        <w:tc>
          <w:tcPr>
            <w:tcW w:w="5238" w:type="dxa"/>
          </w:tcPr>
          <w:p w14:paraId="6AF014FC" w14:textId="783ED0C2" w:rsidR="003F2F1D" w:rsidRPr="001F1A73" w:rsidRDefault="00BC1893" w:rsidP="001F1A73">
            <w:pPr>
              <w:spacing w:line="276" w:lineRule="auto"/>
              <w:rPr>
                <w:rFonts w:ascii="Liberation Serif" w:hAnsi="Liberation Serif" w:cs="Liberation Serif"/>
              </w:rPr>
            </w:pPr>
            <w:r w:rsidRPr="001F1A73">
              <w:rPr>
                <w:rFonts w:ascii="Liberation Serif" w:hAnsi="Liberation Serif" w:cs="Liberation Serif"/>
              </w:rPr>
              <w:t xml:space="preserve">II. </w:t>
            </w:r>
            <w:r w:rsidR="00A311BB" w:rsidRPr="001F1A73">
              <w:rPr>
                <w:rFonts w:ascii="Liberation Serif" w:hAnsi="Liberation Serif" w:cs="Liberation Serif"/>
              </w:rPr>
              <w:t xml:space="preserve">Board Exercise: </w:t>
            </w:r>
            <w:r w:rsidRPr="001F1A73">
              <w:rPr>
                <w:rFonts w:ascii="Liberation Serif" w:hAnsi="Liberation Serif" w:cs="Liberation Serif"/>
              </w:rPr>
              <w:t xml:space="preserve">Concentrate </w:t>
            </w:r>
            <w:r w:rsidR="00B45866" w:rsidRPr="001F1A73">
              <w:rPr>
                <w:rFonts w:ascii="Liberation Serif" w:hAnsi="Liberation Serif" w:cs="Liberation Serif"/>
              </w:rPr>
              <w:t>Environment</w:t>
            </w:r>
          </w:p>
        </w:tc>
        <w:tc>
          <w:tcPr>
            <w:tcW w:w="1350" w:type="dxa"/>
          </w:tcPr>
          <w:p w14:paraId="1761FCAA" w14:textId="77777777" w:rsidR="003F2F1D" w:rsidRPr="001F1A73" w:rsidRDefault="0011317E" w:rsidP="001F1A73">
            <w:pPr>
              <w:spacing w:line="276" w:lineRule="auto"/>
              <w:rPr>
                <w:rFonts w:ascii="Liberation Serif" w:hAnsi="Liberation Serif" w:cs="Liberation Serif"/>
              </w:rPr>
            </w:pPr>
            <w:r w:rsidRPr="001F1A73">
              <w:rPr>
                <w:rFonts w:ascii="Liberation Serif" w:hAnsi="Liberation Serif" w:cs="Liberation Serif"/>
              </w:rPr>
              <w:t>30</w:t>
            </w:r>
            <w:r w:rsidR="003F2F1D" w:rsidRPr="001F1A73">
              <w:rPr>
                <w:rFonts w:ascii="Liberation Serif" w:hAnsi="Liberation Serif" w:cs="Liberation Serif"/>
              </w:rPr>
              <w:t xml:space="preserve"> min</w:t>
            </w:r>
          </w:p>
        </w:tc>
      </w:tr>
      <w:tr w:rsidR="00BC1893" w:rsidRPr="001F1A73" w14:paraId="2ECAB00A" w14:textId="77777777" w:rsidTr="00734272">
        <w:trPr>
          <w:jc w:val="center"/>
        </w:trPr>
        <w:tc>
          <w:tcPr>
            <w:tcW w:w="5238" w:type="dxa"/>
          </w:tcPr>
          <w:p w14:paraId="59130AAD" w14:textId="31169DB8" w:rsidR="00BC1893" w:rsidRPr="001F1A73" w:rsidRDefault="00B45866" w:rsidP="001F1A73">
            <w:pPr>
              <w:spacing w:line="276" w:lineRule="auto"/>
              <w:rPr>
                <w:rFonts w:ascii="Liberation Serif" w:hAnsi="Liberation Serif" w:cs="Liberation Serif"/>
              </w:rPr>
            </w:pPr>
            <w:r w:rsidRPr="001F1A73">
              <w:rPr>
                <w:rFonts w:ascii="Liberation Serif" w:hAnsi="Liberation Serif" w:cs="Liberation Serif"/>
              </w:rPr>
              <w:t xml:space="preserve">III. </w:t>
            </w:r>
            <w:r w:rsidR="00A311BB" w:rsidRPr="001F1A73">
              <w:rPr>
                <w:rFonts w:ascii="Liberation Serif" w:hAnsi="Liberation Serif" w:cs="Liberation Serif"/>
              </w:rPr>
              <w:t xml:space="preserve">Board Exercise: </w:t>
            </w:r>
            <w:r w:rsidR="00C60D42" w:rsidRPr="001F1A73">
              <w:rPr>
                <w:rFonts w:ascii="Liberation Serif" w:hAnsi="Liberation Serif" w:cs="Liberation Serif"/>
              </w:rPr>
              <w:t xml:space="preserve">Comparison to </w:t>
            </w:r>
            <w:r w:rsidRPr="001F1A73">
              <w:rPr>
                <w:rFonts w:ascii="Liberation Serif" w:hAnsi="Liberation Serif" w:cs="Liberation Serif"/>
              </w:rPr>
              <w:t>Bottling Environment</w:t>
            </w:r>
          </w:p>
        </w:tc>
        <w:tc>
          <w:tcPr>
            <w:tcW w:w="1350" w:type="dxa"/>
          </w:tcPr>
          <w:p w14:paraId="4A8D6E3B" w14:textId="18707531" w:rsidR="00BC1893" w:rsidRPr="001F1A73" w:rsidRDefault="00C60D42" w:rsidP="001F1A73">
            <w:pPr>
              <w:spacing w:line="276" w:lineRule="auto"/>
              <w:rPr>
                <w:rFonts w:ascii="Liberation Serif" w:hAnsi="Liberation Serif" w:cs="Liberation Serif"/>
              </w:rPr>
            </w:pPr>
            <w:r w:rsidRPr="001F1A73">
              <w:rPr>
                <w:rFonts w:ascii="Liberation Serif" w:hAnsi="Liberation Serif" w:cs="Liberation Serif"/>
              </w:rPr>
              <w:t>1</w:t>
            </w:r>
            <w:r w:rsidR="005B5880" w:rsidRPr="001F1A73">
              <w:rPr>
                <w:rFonts w:ascii="Liberation Serif" w:hAnsi="Liberation Serif" w:cs="Liberation Serif"/>
              </w:rPr>
              <w:t>5</w:t>
            </w:r>
            <w:r w:rsidRPr="001F1A73">
              <w:rPr>
                <w:rFonts w:ascii="Liberation Serif" w:hAnsi="Liberation Serif" w:cs="Liberation Serif"/>
              </w:rPr>
              <w:t xml:space="preserve"> min</w:t>
            </w:r>
          </w:p>
        </w:tc>
      </w:tr>
      <w:tr w:rsidR="00BC1893" w:rsidRPr="001F1A73" w14:paraId="3B63D7B1" w14:textId="77777777" w:rsidTr="00734272">
        <w:trPr>
          <w:jc w:val="center"/>
        </w:trPr>
        <w:tc>
          <w:tcPr>
            <w:tcW w:w="5238" w:type="dxa"/>
          </w:tcPr>
          <w:p w14:paraId="30D04AF9" w14:textId="77777777" w:rsidR="00BC1893" w:rsidRPr="001F1A73" w:rsidRDefault="00BC1893" w:rsidP="001F1A73">
            <w:pPr>
              <w:spacing w:line="276" w:lineRule="auto"/>
              <w:rPr>
                <w:rFonts w:ascii="Liberation Serif" w:hAnsi="Liberation Serif" w:cs="Liberation Serif"/>
              </w:rPr>
            </w:pPr>
            <w:r w:rsidRPr="001F1A73">
              <w:rPr>
                <w:rFonts w:ascii="Liberation Serif" w:hAnsi="Liberation Serif" w:cs="Liberation Serif"/>
              </w:rPr>
              <w:t>IV. Conclusion</w:t>
            </w:r>
          </w:p>
        </w:tc>
        <w:tc>
          <w:tcPr>
            <w:tcW w:w="1350" w:type="dxa"/>
          </w:tcPr>
          <w:p w14:paraId="41D8F60B" w14:textId="77777777" w:rsidR="00BC1893" w:rsidRPr="001F1A73" w:rsidRDefault="00C60D42" w:rsidP="001F1A73">
            <w:pPr>
              <w:spacing w:line="276" w:lineRule="auto"/>
              <w:rPr>
                <w:rFonts w:ascii="Liberation Serif" w:hAnsi="Liberation Serif" w:cs="Liberation Serif"/>
              </w:rPr>
            </w:pPr>
            <w:r w:rsidRPr="001F1A73">
              <w:rPr>
                <w:rFonts w:ascii="Liberation Serif" w:hAnsi="Liberation Serif" w:cs="Liberation Serif"/>
              </w:rPr>
              <w:t>10 min</w:t>
            </w:r>
          </w:p>
        </w:tc>
      </w:tr>
    </w:tbl>
    <w:p w14:paraId="00567706" w14:textId="77777777" w:rsidR="004C761E" w:rsidRPr="001F1A73" w:rsidRDefault="004C761E" w:rsidP="001F1A73">
      <w:pPr>
        <w:spacing w:line="276" w:lineRule="auto"/>
        <w:rPr>
          <w:rFonts w:ascii="Liberation Serif" w:hAnsi="Liberation Serif" w:cs="Liberation Serif"/>
        </w:rPr>
      </w:pPr>
    </w:p>
    <w:p w14:paraId="1020CCDE" w14:textId="77777777" w:rsidR="008F5050" w:rsidRPr="001F1A73" w:rsidRDefault="0078443B" w:rsidP="001F1A73">
      <w:pPr>
        <w:spacing w:line="276" w:lineRule="auto"/>
        <w:rPr>
          <w:rFonts w:ascii="Liberation Serif" w:hAnsi="Liberation Serif" w:cs="Liberation Serif"/>
          <w:i/>
        </w:rPr>
      </w:pPr>
      <w:r w:rsidRPr="001F1A73">
        <w:rPr>
          <w:rFonts w:ascii="Liberation Serif" w:hAnsi="Liberation Serif" w:cs="Liberation Serif"/>
          <w:i/>
        </w:rPr>
        <w:t xml:space="preserve">I. </w:t>
      </w:r>
      <w:r w:rsidR="008F5050" w:rsidRPr="001F1A73">
        <w:rPr>
          <w:rFonts w:ascii="Liberation Serif" w:hAnsi="Liberation Serif" w:cs="Liberation Serif"/>
          <w:i/>
        </w:rPr>
        <w:t>Taste Test</w:t>
      </w:r>
    </w:p>
    <w:p w14:paraId="55601027" w14:textId="77777777" w:rsidR="008F5050" w:rsidRPr="001F1A73" w:rsidRDefault="008F5050" w:rsidP="001F1A73">
      <w:pPr>
        <w:spacing w:line="276" w:lineRule="auto"/>
        <w:rPr>
          <w:rFonts w:ascii="Liberation Serif" w:hAnsi="Liberation Serif" w:cs="Liberation Serif"/>
        </w:rPr>
      </w:pPr>
    </w:p>
    <w:p w14:paraId="61589684" w14:textId="77777777" w:rsidR="008F5050" w:rsidRPr="001F1A73" w:rsidRDefault="008F5050" w:rsidP="001F1A73">
      <w:pPr>
        <w:spacing w:line="276" w:lineRule="auto"/>
        <w:rPr>
          <w:rFonts w:ascii="Liberation Serif" w:hAnsi="Liberation Serif" w:cs="Liberation Serif"/>
        </w:rPr>
      </w:pPr>
      <w:r w:rsidRPr="001F1A73">
        <w:rPr>
          <w:rFonts w:ascii="Liberation Serif" w:hAnsi="Liberation Serif" w:cs="Liberation Serif"/>
        </w:rPr>
        <w:t>While not required, this activity may help students understand more clearly that Coke &amp; Pepsi are more differentiated by brand than they are by product.</w:t>
      </w:r>
    </w:p>
    <w:p w14:paraId="1E933D04" w14:textId="77777777" w:rsidR="008F5050" w:rsidRPr="001F1A73" w:rsidRDefault="008F5050" w:rsidP="001F1A73">
      <w:pPr>
        <w:spacing w:line="276" w:lineRule="auto"/>
        <w:rPr>
          <w:rFonts w:ascii="Liberation Serif" w:hAnsi="Liberation Serif" w:cs="Liberation Serif"/>
        </w:rPr>
      </w:pPr>
    </w:p>
    <w:p w14:paraId="11988DFC" w14:textId="1B1818EA" w:rsidR="008F5050" w:rsidRPr="001F1A73" w:rsidRDefault="00300AB7" w:rsidP="001F1A73">
      <w:pPr>
        <w:spacing w:line="276" w:lineRule="auto"/>
        <w:rPr>
          <w:rFonts w:ascii="Liberation Serif" w:hAnsi="Liberation Serif" w:cs="Liberation Serif"/>
        </w:rPr>
      </w:pPr>
      <w:r w:rsidRPr="001F1A73">
        <w:rPr>
          <w:rFonts w:ascii="Liberation Serif" w:hAnsi="Liberation Serif" w:cs="Liberation Serif"/>
        </w:rPr>
        <w:t>In preparation for this activity, you will need a bottle of Coke, Pepsi, and generic cola.</w:t>
      </w:r>
      <w:r w:rsidR="005D6C41" w:rsidRPr="001F1A73">
        <w:rPr>
          <w:rFonts w:ascii="Liberation Serif" w:hAnsi="Liberation Serif" w:cs="Liberation Serif"/>
        </w:rPr>
        <w:t xml:space="preserve"> </w:t>
      </w:r>
      <w:r w:rsidR="0079587F" w:rsidRPr="001F1A73">
        <w:rPr>
          <w:rFonts w:ascii="Liberation Serif" w:hAnsi="Liberation Serif" w:cs="Liberation Serif"/>
        </w:rPr>
        <w:t>It is best to put each brand in a pitcher or other type of generic container as the two liter bottles are distinctive in appearance.  Make sure you know which brand is in which container. This can be done with a number taped to the bottom of the container.  Place each container on a table with a number in front of it. The students will use that number to identify which brand they think they are tasting.</w:t>
      </w:r>
    </w:p>
    <w:p w14:paraId="248BB39F" w14:textId="77777777" w:rsidR="005D6C41" w:rsidRPr="001F1A73" w:rsidRDefault="005D6C41" w:rsidP="001F1A73">
      <w:pPr>
        <w:spacing w:line="276" w:lineRule="auto"/>
        <w:rPr>
          <w:rFonts w:ascii="Liberation Serif" w:hAnsi="Liberation Serif" w:cs="Liberation Serif"/>
        </w:rPr>
      </w:pPr>
    </w:p>
    <w:p w14:paraId="1BC0BB2C" w14:textId="77777777" w:rsidR="0079587F" w:rsidRPr="001F1A73" w:rsidRDefault="0079587F" w:rsidP="001F1A73">
      <w:pPr>
        <w:spacing w:line="276" w:lineRule="auto"/>
        <w:rPr>
          <w:rFonts w:ascii="Liberation Serif" w:hAnsi="Liberation Serif" w:cs="Liberation Serif"/>
        </w:rPr>
      </w:pPr>
      <w:r w:rsidRPr="001F1A73">
        <w:rPr>
          <w:rFonts w:ascii="Liberation Serif" w:hAnsi="Liberation Serif" w:cs="Liberation Serif"/>
        </w:rPr>
        <w:t>Ask if any students drink a lot of cola and have a preference for a particular brand. At the end of the exercise you will specifically ask those students if they correctly identified each brand and if they chose the right one as their favorite.</w:t>
      </w:r>
    </w:p>
    <w:p w14:paraId="69090280" w14:textId="77777777" w:rsidR="0079587F" w:rsidRPr="001F1A73" w:rsidRDefault="0079587F" w:rsidP="001F1A73">
      <w:pPr>
        <w:spacing w:line="276" w:lineRule="auto"/>
        <w:rPr>
          <w:rFonts w:ascii="Liberation Serif" w:hAnsi="Liberation Serif" w:cs="Liberation Serif"/>
        </w:rPr>
      </w:pPr>
    </w:p>
    <w:p w14:paraId="1E76A1A5" w14:textId="5EAB0835" w:rsidR="00A46197" w:rsidRPr="001F1A73" w:rsidRDefault="0079587F" w:rsidP="001F1A73">
      <w:pPr>
        <w:spacing w:line="276" w:lineRule="auto"/>
        <w:rPr>
          <w:rFonts w:ascii="Liberation Serif" w:hAnsi="Liberation Serif" w:cs="Liberation Serif"/>
        </w:rPr>
      </w:pPr>
      <w:r w:rsidRPr="001F1A73">
        <w:rPr>
          <w:rFonts w:ascii="Liberation Serif" w:hAnsi="Liberation Serif" w:cs="Liberation Serif"/>
        </w:rPr>
        <w:t xml:space="preserve">Write Coke, Pepsi, and Generic on the board. </w:t>
      </w:r>
      <w:r w:rsidR="005D6C41" w:rsidRPr="001F1A73">
        <w:rPr>
          <w:rFonts w:ascii="Liberation Serif" w:hAnsi="Liberation Serif" w:cs="Liberation Serif"/>
        </w:rPr>
        <w:t xml:space="preserve">Have </w:t>
      </w:r>
      <w:r w:rsidRPr="001F1A73">
        <w:rPr>
          <w:rFonts w:ascii="Liberation Serif" w:hAnsi="Liberation Serif" w:cs="Liberation Serif"/>
        </w:rPr>
        <w:t xml:space="preserve">either all or a subset of </w:t>
      </w:r>
      <w:r w:rsidR="005D6C41" w:rsidRPr="001F1A73">
        <w:rPr>
          <w:rFonts w:ascii="Liberation Serif" w:hAnsi="Liberation Serif" w:cs="Liberation Serif"/>
        </w:rPr>
        <w:t xml:space="preserve">students taste a sample from each bottle </w:t>
      </w:r>
      <w:r w:rsidRPr="001F1A73">
        <w:rPr>
          <w:rFonts w:ascii="Liberation Serif" w:hAnsi="Liberation Serif" w:cs="Liberation Serif"/>
        </w:rPr>
        <w:t xml:space="preserve">and write down the number of the container beneath the brand they believe they are tasting. While some professors like to use a subset of students to speed up the exercise letting all students do the taste test </w:t>
      </w:r>
      <w:r w:rsidR="001A5D04" w:rsidRPr="001F1A73">
        <w:rPr>
          <w:rFonts w:ascii="Liberation Serif" w:hAnsi="Liberation Serif" w:cs="Liberation Serif"/>
        </w:rPr>
        <w:t>really</w:t>
      </w:r>
      <w:r w:rsidRPr="001F1A73">
        <w:rPr>
          <w:rFonts w:ascii="Liberation Serif" w:hAnsi="Liberation Serif" w:cs="Liberation Serif"/>
        </w:rPr>
        <w:t xml:space="preserve"> peaks their interest and engages them in the rest of the lesson. </w:t>
      </w:r>
      <w:r w:rsidR="005D6C41" w:rsidRPr="001F1A73">
        <w:rPr>
          <w:rFonts w:ascii="Liberation Serif" w:hAnsi="Liberation Serif" w:cs="Liberation Serif"/>
        </w:rPr>
        <w:t xml:space="preserve">Also have </w:t>
      </w:r>
      <w:r w:rsidRPr="001F1A73">
        <w:rPr>
          <w:rFonts w:ascii="Liberation Serif" w:hAnsi="Liberation Serif" w:cs="Liberation Serif"/>
        </w:rPr>
        <w:t xml:space="preserve">the students </w:t>
      </w:r>
      <w:r w:rsidR="005D6C41" w:rsidRPr="001F1A73">
        <w:rPr>
          <w:rFonts w:ascii="Liberation Serif" w:hAnsi="Liberation Serif" w:cs="Liberation Serif"/>
        </w:rPr>
        <w:t xml:space="preserve">select which </w:t>
      </w:r>
      <w:r w:rsidRPr="001F1A73">
        <w:rPr>
          <w:rFonts w:ascii="Liberation Serif" w:hAnsi="Liberation Serif" w:cs="Liberation Serif"/>
        </w:rPr>
        <w:t>cola</w:t>
      </w:r>
      <w:r w:rsidR="005D6C41" w:rsidRPr="001F1A73">
        <w:rPr>
          <w:rFonts w:ascii="Liberation Serif" w:hAnsi="Liberation Serif" w:cs="Liberation Serif"/>
        </w:rPr>
        <w:t xml:space="preserve"> they most like</w:t>
      </w:r>
      <w:r w:rsidRPr="001F1A73">
        <w:rPr>
          <w:rFonts w:ascii="Liberation Serif" w:hAnsi="Liberation Serif" w:cs="Liberation Serif"/>
        </w:rPr>
        <w:t xml:space="preserve"> by placing an asterisk next to that selection on the board</w:t>
      </w:r>
      <w:r w:rsidR="001A5D04" w:rsidRPr="001F1A73">
        <w:rPr>
          <w:rFonts w:ascii="Liberation Serif" w:hAnsi="Liberation Serif" w:cs="Liberation Serif"/>
        </w:rPr>
        <w:t>.</w:t>
      </w:r>
      <w:r w:rsidR="00A46197" w:rsidRPr="001F1A73">
        <w:rPr>
          <w:rFonts w:ascii="Liberation Serif" w:hAnsi="Liberation Serif" w:cs="Liberation Serif"/>
        </w:rPr>
        <w:t xml:space="preserve"> </w:t>
      </w:r>
      <w:r w:rsidR="004173C1" w:rsidRPr="001F1A73">
        <w:rPr>
          <w:rFonts w:ascii="Liberation Serif" w:hAnsi="Liberation Serif" w:cs="Liberation Serif"/>
        </w:rPr>
        <w:t>After each student has completed the test taste, reveal to them which soda was which.</w:t>
      </w:r>
      <w:r w:rsidRPr="001F1A73">
        <w:rPr>
          <w:rFonts w:ascii="Liberation Serif" w:hAnsi="Liberation Serif" w:cs="Liberation Serif"/>
        </w:rPr>
        <w:t xml:space="preserve"> Ask those who drink a lot of cola and were sure they could tell the difference if they got it right.</w:t>
      </w:r>
      <w:r w:rsidR="004173C1" w:rsidRPr="001F1A73">
        <w:rPr>
          <w:rFonts w:ascii="Liberation Serif" w:hAnsi="Liberation Serif" w:cs="Liberation Serif"/>
        </w:rPr>
        <w:t xml:space="preserve"> While some may </w:t>
      </w:r>
      <w:r w:rsidR="00B45CEC" w:rsidRPr="001F1A73">
        <w:rPr>
          <w:rFonts w:ascii="Liberation Serif" w:hAnsi="Liberation Serif" w:cs="Liberation Serif"/>
        </w:rPr>
        <w:t>correctly identify all three, most of the students will likely not.</w:t>
      </w:r>
      <w:r w:rsidR="00A46197" w:rsidRPr="001F1A73">
        <w:rPr>
          <w:rFonts w:ascii="Liberation Serif" w:hAnsi="Liberation Serif" w:cs="Liberation Serif"/>
        </w:rPr>
        <w:t xml:space="preserve"> It may also be interesting to note that some students </w:t>
      </w:r>
      <w:r w:rsidR="00C60D42" w:rsidRPr="001F1A73">
        <w:rPr>
          <w:rFonts w:ascii="Liberation Serif" w:hAnsi="Liberation Serif" w:cs="Liberation Serif"/>
        </w:rPr>
        <w:t xml:space="preserve">that have a favorite </w:t>
      </w:r>
      <w:r w:rsidR="00A50443" w:rsidRPr="001F1A73">
        <w:rPr>
          <w:rFonts w:ascii="Liberation Serif" w:hAnsi="Liberation Serif" w:cs="Liberation Serif"/>
        </w:rPr>
        <w:t xml:space="preserve">cola </w:t>
      </w:r>
      <w:r w:rsidR="00C60D42" w:rsidRPr="001F1A73">
        <w:rPr>
          <w:rFonts w:ascii="Liberation Serif" w:hAnsi="Liberation Serif" w:cs="Liberation Serif"/>
        </w:rPr>
        <w:t xml:space="preserve">(Pepsi or Coke) </w:t>
      </w:r>
      <w:r w:rsidR="00A46197" w:rsidRPr="001F1A73">
        <w:rPr>
          <w:rFonts w:ascii="Liberation Serif" w:hAnsi="Liberation Serif" w:cs="Liberation Serif"/>
        </w:rPr>
        <w:t xml:space="preserve">will mistakenly choose </w:t>
      </w:r>
      <w:r w:rsidR="00C60D42" w:rsidRPr="001F1A73">
        <w:rPr>
          <w:rFonts w:ascii="Liberation Serif" w:hAnsi="Liberation Serif" w:cs="Liberation Serif"/>
        </w:rPr>
        <w:t xml:space="preserve">another cola as </w:t>
      </w:r>
      <w:r w:rsidR="00A46197" w:rsidRPr="001F1A73">
        <w:rPr>
          <w:rFonts w:ascii="Liberation Serif" w:hAnsi="Liberation Serif" w:cs="Liberation Serif"/>
        </w:rPr>
        <w:t>their favorite (e.g. Pepsi drinkers may mistakenly identify Coke or the generic brand as Pepsi).</w:t>
      </w:r>
      <w:r w:rsidRPr="001F1A73">
        <w:rPr>
          <w:rFonts w:ascii="Liberation Serif" w:hAnsi="Liberation Serif" w:cs="Liberation Serif"/>
        </w:rPr>
        <w:t xml:space="preserve">  While with some classes the majority identify each cola </w:t>
      </w:r>
      <w:r w:rsidRPr="001F1A73">
        <w:rPr>
          <w:rFonts w:ascii="Liberation Serif" w:hAnsi="Liberation Serif" w:cs="Liberation Serif"/>
        </w:rPr>
        <w:lastRenderedPageBreak/>
        <w:t>correctly most of the time they do not and the generic cola is often chosen as the overall favorite.</w:t>
      </w:r>
    </w:p>
    <w:p w14:paraId="48240A56" w14:textId="77777777" w:rsidR="00A46197" w:rsidRPr="001F1A73" w:rsidRDefault="00A46197" w:rsidP="001F1A73">
      <w:pPr>
        <w:spacing w:line="276" w:lineRule="auto"/>
        <w:rPr>
          <w:rFonts w:ascii="Liberation Serif" w:hAnsi="Liberation Serif" w:cs="Liberation Serif"/>
        </w:rPr>
      </w:pPr>
    </w:p>
    <w:p w14:paraId="29AD6574" w14:textId="77777777" w:rsidR="00A46197" w:rsidRPr="001F1A73" w:rsidRDefault="00A46197" w:rsidP="001F1A73">
      <w:pPr>
        <w:spacing w:line="276" w:lineRule="auto"/>
        <w:rPr>
          <w:rFonts w:ascii="Liberation Serif" w:hAnsi="Liberation Serif" w:cs="Liberation Serif"/>
          <w:i/>
        </w:rPr>
      </w:pPr>
      <w:r w:rsidRPr="001F1A73">
        <w:rPr>
          <w:rFonts w:ascii="Liberation Serif" w:hAnsi="Liberation Serif" w:cs="Liberation Serif"/>
          <w:i/>
        </w:rPr>
        <w:t>Question: What does it mean that you can’t tell the difference?</w:t>
      </w:r>
    </w:p>
    <w:p w14:paraId="7C19CF4E" w14:textId="77777777" w:rsidR="00C507B2" w:rsidRPr="001F1A73" w:rsidRDefault="00C507B2" w:rsidP="001F1A73">
      <w:pPr>
        <w:spacing w:line="276" w:lineRule="auto"/>
        <w:rPr>
          <w:rFonts w:ascii="Liberation Serif" w:hAnsi="Liberation Serif" w:cs="Liberation Serif"/>
        </w:rPr>
      </w:pPr>
    </w:p>
    <w:p w14:paraId="0532DE13"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The purpose of the Concentrate &amp; Bottling Environment sections is to help students more concretely identify the sources of Coke &amp; Pepsi’s profitability. These sections also give students an opportunity to identify what they would do to operate profitably in these environments (see Study Question #3).</w:t>
      </w:r>
    </w:p>
    <w:p w14:paraId="0B7E2066" w14:textId="77777777" w:rsidR="00E81026" w:rsidRPr="001F1A73" w:rsidRDefault="00E81026" w:rsidP="001F1A73">
      <w:pPr>
        <w:spacing w:line="276" w:lineRule="auto"/>
        <w:rPr>
          <w:rFonts w:ascii="Liberation Serif" w:hAnsi="Liberation Serif" w:cs="Liberation Serif"/>
        </w:rPr>
      </w:pPr>
    </w:p>
    <w:p w14:paraId="00ADA3F4" w14:textId="77777777" w:rsidR="00C507B2" w:rsidRPr="001F1A73" w:rsidRDefault="00C507B2" w:rsidP="001F1A73">
      <w:pPr>
        <w:spacing w:line="276" w:lineRule="auto"/>
        <w:rPr>
          <w:rFonts w:ascii="Liberation Serif" w:hAnsi="Liberation Serif" w:cs="Liberation Serif"/>
          <w:i/>
        </w:rPr>
      </w:pPr>
      <w:r w:rsidRPr="001F1A73">
        <w:rPr>
          <w:rFonts w:ascii="Liberation Serif" w:hAnsi="Liberation Serif" w:cs="Liberation Serif"/>
          <w:i/>
        </w:rPr>
        <w:t>II. Concentrate Environment</w:t>
      </w:r>
    </w:p>
    <w:p w14:paraId="20777247" w14:textId="77777777" w:rsidR="00E81026" w:rsidRPr="001F1A73" w:rsidRDefault="00E81026" w:rsidP="001F1A73">
      <w:pPr>
        <w:spacing w:line="276" w:lineRule="auto"/>
        <w:rPr>
          <w:rFonts w:ascii="Liberation Serif" w:hAnsi="Liberation Serif" w:cs="Liberation Serif"/>
        </w:rPr>
      </w:pPr>
    </w:p>
    <w:p w14:paraId="2167CED6" w14:textId="77777777" w:rsidR="00C507B2" w:rsidRPr="001F1A73" w:rsidRDefault="009719AF" w:rsidP="001F1A73">
      <w:pPr>
        <w:spacing w:line="276" w:lineRule="auto"/>
        <w:rPr>
          <w:rFonts w:ascii="Liberation Serif" w:hAnsi="Liberation Serif" w:cs="Liberation Serif"/>
          <w:i/>
        </w:rPr>
      </w:pPr>
      <w:r w:rsidRPr="001F1A73">
        <w:rPr>
          <w:rFonts w:ascii="Liberation Serif" w:hAnsi="Liberation Serif" w:cs="Liberation Serif"/>
          <w:i/>
        </w:rPr>
        <w:t xml:space="preserve">Question: Coke &amp; Pepsi make roughly 80% margins on a product that, according to the taste test, isn’t very differentiated at all. </w:t>
      </w:r>
      <w:r w:rsidR="00A87896" w:rsidRPr="001F1A73">
        <w:rPr>
          <w:rFonts w:ascii="Liberation Serif" w:hAnsi="Liberation Serif" w:cs="Liberation Serif"/>
          <w:i/>
        </w:rPr>
        <w:t>How can you explain how a company that sells a non-differentiated product makes higher margins than companies that make very differentiated products such as Intel or Apple?</w:t>
      </w:r>
    </w:p>
    <w:p w14:paraId="267699D5" w14:textId="77777777" w:rsidR="00A87896" w:rsidRPr="001F1A73" w:rsidRDefault="00A87896" w:rsidP="001F1A73">
      <w:pPr>
        <w:spacing w:line="276" w:lineRule="auto"/>
        <w:rPr>
          <w:rFonts w:ascii="Liberation Serif" w:hAnsi="Liberation Serif" w:cs="Liberation Serif"/>
          <w:i/>
        </w:rPr>
      </w:pPr>
    </w:p>
    <w:p w14:paraId="2EF85769" w14:textId="77777777" w:rsidR="007B3A89"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 xml:space="preserve">As students answer, help them see that the profitability does not solely come from brand equity. For example, it may be useful to refer students back to the taste test and ask a question such as: </w:t>
      </w:r>
      <w:r w:rsidRPr="001F1A73">
        <w:rPr>
          <w:rFonts w:ascii="Liberation Serif" w:hAnsi="Liberation Serif" w:cs="Liberation Serif"/>
          <w:i/>
        </w:rPr>
        <w:t>If brand is the source of profitability, does that mean that Coke and Pepsi have convinced us that their product is better than the generic brand even though you can’t really taste a difference between them?</w:t>
      </w:r>
    </w:p>
    <w:p w14:paraId="083E1CDE" w14:textId="77777777" w:rsidR="00E81026" w:rsidRPr="001F1A73" w:rsidRDefault="00E81026" w:rsidP="001F1A73">
      <w:pPr>
        <w:spacing w:line="276" w:lineRule="auto"/>
        <w:rPr>
          <w:rFonts w:ascii="Liberation Serif" w:hAnsi="Liberation Serif" w:cs="Liberation Serif"/>
        </w:rPr>
      </w:pPr>
    </w:p>
    <w:p w14:paraId="51E637F1" w14:textId="77777777" w:rsidR="00490E6A" w:rsidRPr="001F1A73" w:rsidRDefault="00490E6A" w:rsidP="001F1A73">
      <w:pPr>
        <w:spacing w:line="276" w:lineRule="auto"/>
        <w:rPr>
          <w:rFonts w:ascii="Liberation Serif" w:hAnsi="Liberation Serif" w:cs="Liberation Serif"/>
        </w:rPr>
      </w:pPr>
      <w:r w:rsidRPr="001F1A73">
        <w:rPr>
          <w:rFonts w:ascii="Liberation Serif" w:hAnsi="Liberation Serif" w:cs="Liberation Serif"/>
        </w:rPr>
        <w:t>During this discussion, it is likely that students will mention Coke &amp; Pepsi’s spending on marketing and advertising ($234m &amp; 136m respectively). As they do so, it may be useful to ask the following:</w:t>
      </w:r>
    </w:p>
    <w:p w14:paraId="2A9F3DCB" w14:textId="77777777" w:rsidR="00490E6A" w:rsidRPr="001F1A73" w:rsidRDefault="00490E6A" w:rsidP="001F1A73">
      <w:pPr>
        <w:spacing w:line="276" w:lineRule="auto"/>
        <w:rPr>
          <w:rFonts w:ascii="Liberation Serif" w:hAnsi="Liberation Serif" w:cs="Liberation Serif"/>
        </w:rPr>
      </w:pPr>
    </w:p>
    <w:p w14:paraId="3A1266DE" w14:textId="616AC357" w:rsidR="00490E6A" w:rsidRPr="001F1A73" w:rsidRDefault="00490E6A" w:rsidP="001F1A73">
      <w:pPr>
        <w:spacing w:line="276" w:lineRule="auto"/>
        <w:rPr>
          <w:rFonts w:ascii="Liberation Serif" w:hAnsi="Liberation Serif" w:cs="Liberation Serif"/>
        </w:rPr>
      </w:pPr>
      <w:r w:rsidRPr="001F1A73">
        <w:rPr>
          <w:rFonts w:ascii="Liberation Serif" w:hAnsi="Liberation Serif" w:cs="Liberation Serif"/>
        </w:rPr>
        <w:t>At this point, students should be describing characteristics of the competitive environment other than brand equity. A description of the concentrate industry environment is given below for reference.</w:t>
      </w:r>
    </w:p>
    <w:p w14:paraId="1046E49C" w14:textId="77777777" w:rsidR="00257E7A" w:rsidRPr="001F1A73" w:rsidRDefault="00257E7A" w:rsidP="001F1A73">
      <w:pPr>
        <w:spacing w:line="276" w:lineRule="auto"/>
        <w:rPr>
          <w:rFonts w:ascii="Liberation Serif" w:hAnsi="Liberation Serif" w:cs="Liberation Serif"/>
        </w:rPr>
      </w:pPr>
    </w:p>
    <w:p w14:paraId="0ABCFF9B" w14:textId="4E739963" w:rsidR="00257E7A" w:rsidRPr="001F1A73" w:rsidRDefault="00257E7A" w:rsidP="001F1A73">
      <w:pPr>
        <w:spacing w:line="276" w:lineRule="auto"/>
        <w:rPr>
          <w:rFonts w:ascii="Liberation Serif" w:hAnsi="Liberation Serif" w:cs="Liberation Serif"/>
        </w:rPr>
      </w:pPr>
      <w:r w:rsidRPr="001F1A73">
        <w:rPr>
          <w:rFonts w:ascii="Liberation Serif" w:hAnsi="Liberation Serif" w:cs="Liberation Serif"/>
        </w:rPr>
        <w:t xml:space="preserve">This works well as a board exercise. Two approaches – one is to list the five forces on the board and fill in the various elements as students bring them up. Another approach, the one I typically use, is to ask for a five force, and then ask students to rate it low, medium, or high, and analyze why. As they do so write a summary of their analysis on the board.  </w:t>
      </w:r>
      <w:r w:rsidR="003A6E90" w:rsidRPr="001F1A73">
        <w:rPr>
          <w:rFonts w:ascii="Liberation Serif" w:hAnsi="Liberation Serif" w:cs="Liberation Serif"/>
        </w:rPr>
        <w:t xml:space="preserve">It is helpful to push the students to use the language from the chapter and identify the exact reasons that a force is high, medium, or low.  For instance, one reason rivalry is low is because the concentrate manufacturing industry has few firms in it and they do not compete on price with their primary customers, the bottlers. </w:t>
      </w:r>
      <w:r w:rsidRPr="001F1A73">
        <w:rPr>
          <w:rFonts w:ascii="Liberation Serif" w:hAnsi="Liberation Serif" w:cs="Liberation Serif"/>
        </w:rPr>
        <w:t>Below is a simplified summary.</w:t>
      </w:r>
    </w:p>
    <w:p w14:paraId="12FC4793" w14:textId="77777777" w:rsidR="00257E7A" w:rsidRPr="001F1A73" w:rsidRDefault="00257E7A" w:rsidP="001F1A73">
      <w:pPr>
        <w:spacing w:line="276" w:lineRule="auto"/>
        <w:rPr>
          <w:rFonts w:ascii="Liberation Serif" w:hAnsi="Liberation Serif" w:cs="Liberation Serif"/>
        </w:rPr>
      </w:pPr>
    </w:p>
    <w:p w14:paraId="423F9F62" w14:textId="2524FB3F" w:rsidR="00257E7A" w:rsidRPr="001F1A73" w:rsidRDefault="00257E7A" w:rsidP="001F1A73">
      <w:pPr>
        <w:spacing w:line="276" w:lineRule="auto"/>
        <w:rPr>
          <w:rFonts w:ascii="Liberation Serif" w:hAnsi="Liberation Serif" w:cs="Liberation Serif"/>
        </w:rPr>
      </w:pPr>
      <w:r w:rsidRPr="001F1A73">
        <w:rPr>
          <w:rFonts w:ascii="Liberation Serif" w:hAnsi="Liberation Serif" w:cs="Liberation Serif"/>
        </w:rPr>
        <w:t>If you had the students use the rivalry tool as an experiential exercise when covering rivalry you may want to show the answers to five forces worksheet so students can compare it with their answers and see how a thorough analysis can inform the more informal analysis they are doing in class.</w:t>
      </w:r>
    </w:p>
    <w:p w14:paraId="24FE664B" w14:textId="77777777" w:rsidR="00490E6A" w:rsidRPr="001F1A73" w:rsidRDefault="00490E6A" w:rsidP="001F1A73">
      <w:pPr>
        <w:spacing w:line="276" w:lineRule="auto"/>
        <w:rPr>
          <w:rFonts w:ascii="Liberation Serif" w:hAnsi="Liberation Serif" w:cs="Liberation Serif"/>
          <w:noProof/>
        </w:rPr>
      </w:pPr>
    </w:p>
    <w:p w14:paraId="4EA70577" w14:textId="181192AF" w:rsidR="00490E6A" w:rsidRPr="001F1A73" w:rsidRDefault="003A6E90" w:rsidP="001F1A73">
      <w:pPr>
        <w:spacing w:line="276" w:lineRule="auto"/>
        <w:rPr>
          <w:rFonts w:ascii="Liberation Serif" w:hAnsi="Liberation Serif" w:cs="Liberation Serif"/>
          <w:noProof/>
        </w:rPr>
      </w:pPr>
      <w:r w:rsidRPr="001F1A73">
        <w:rPr>
          <w:rFonts w:ascii="Liberation Serif" w:hAnsi="Liberation Serif" w:cs="Liberation Serif"/>
          <w:noProof/>
        </w:rPr>
        <mc:AlternateContent>
          <mc:Choice Requires="wpg">
            <w:drawing>
              <wp:inline distT="0" distB="0" distL="0" distR="0" wp14:anchorId="5D5A1FEB" wp14:editId="658754CF">
                <wp:extent cx="5715000" cy="4800600"/>
                <wp:effectExtent l="57150" t="19050" r="76200" b="95250"/>
                <wp:docPr id="22" name="Group 22"/>
                <wp:cNvGraphicFramePr/>
                <a:graphic xmlns:a="http://schemas.openxmlformats.org/drawingml/2006/main">
                  <a:graphicData uri="http://schemas.microsoft.com/office/word/2010/wordprocessingGroup">
                    <wpg:wgp>
                      <wpg:cNvGrpSpPr/>
                      <wpg:grpSpPr>
                        <a:xfrm>
                          <a:off x="0" y="0"/>
                          <a:ext cx="5715000" cy="4800600"/>
                          <a:chOff x="0" y="266700"/>
                          <a:chExt cx="5715000" cy="4000500"/>
                        </a:xfrm>
                      </wpg:grpSpPr>
                      <wps:wsp>
                        <wps:cNvPr id="2" name="Rectangle 2"/>
                        <wps:cNvSpPr/>
                        <wps:spPr>
                          <a:xfrm>
                            <a:off x="1943100" y="266700"/>
                            <a:ext cx="1828800" cy="11430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D665A87" w14:textId="77777777" w:rsidR="002B2415" w:rsidRDefault="002B2415" w:rsidP="00490E6A">
                              <w:pPr>
                                <w:jc w:val="center"/>
                              </w:pPr>
                              <w:r w:rsidRPr="009B36F2">
                                <w:t>Threat of New Entrants</w:t>
                              </w:r>
                            </w:p>
                            <w:p w14:paraId="3AABC7A2" w14:textId="77777777" w:rsidR="002B2415" w:rsidRDefault="002B2415" w:rsidP="00490E6A">
                              <w:pPr>
                                <w:jc w:val="center"/>
                              </w:pPr>
                            </w:p>
                            <w:p w14:paraId="6B165C7A" w14:textId="1CF962F7" w:rsidR="002B2415" w:rsidRPr="009B36F2" w:rsidRDefault="002B2415" w:rsidP="009B36F2">
                              <w:r>
                                <w:t xml:space="preserve">LOW- due to barriers such as limited shelf space* and the high brand equities of </w:t>
                              </w:r>
                              <w:r w:rsidR="001A5D04">
                                <w:t>incumbents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angle 3"/>
                        <wps:cNvSpPr/>
                        <wps:spPr>
                          <a:xfrm>
                            <a:off x="1943100" y="1485900"/>
                            <a:ext cx="1828800" cy="11430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429D01E" w14:textId="77777777" w:rsidR="002B2415" w:rsidRDefault="002B2415" w:rsidP="00490E6A">
                              <w:pPr>
                                <w:jc w:val="center"/>
                              </w:pPr>
                              <w:r>
                                <w:t>Competitive Rivalry</w:t>
                              </w:r>
                            </w:p>
                            <w:p w14:paraId="6321E4C4" w14:textId="77777777" w:rsidR="002B2415" w:rsidRDefault="002B2415" w:rsidP="00490E6A">
                              <w:pPr>
                                <w:jc w:val="center"/>
                              </w:pPr>
                            </w:p>
                            <w:p w14:paraId="26521330" w14:textId="29F78CF9" w:rsidR="002B2415" w:rsidRDefault="002B2415" w:rsidP="009B36F2">
                              <w:r>
                                <w:t>LOW - Coke &amp; Pepsi have a large share of a shrinking market. Little price competition. Few firms in the industry.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Rectangle 4"/>
                        <wps:cNvSpPr/>
                        <wps:spPr>
                          <a:xfrm>
                            <a:off x="1943100" y="2781300"/>
                            <a:ext cx="1828800" cy="1485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4A4D48C" w14:textId="77777777" w:rsidR="002B2415" w:rsidRDefault="002B2415" w:rsidP="009B36F2">
                              <w:pPr>
                                <w:jc w:val="center"/>
                              </w:pPr>
                              <w:r>
                                <w:t>Threat of Substitutes</w:t>
                              </w:r>
                            </w:p>
                            <w:p w14:paraId="027AC572" w14:textId="74ADA389" w:rsidR="002B2415" w:rsidRDefault="002B2415" w:rsidP="009B36F2">
                              <w:r>
                                <w:t>HIGH – multiple substitutes – any other beverage. Get students to see how Coke and Pepsi have managed this threat by purchasing major substitute brands.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Rectangle 5"/>
                        <wps:cNvSpPr/>
                        <wps:spPr>
                          <a:xfrm>
                            <a:off x="3886200" y="1485900"/>
                            <a:ext cx="1828800" cy="114988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2218A84" w14:textId="77777777" w:rsidR="002B2415" w:rsidRDefault="002B2415" w:rsidP="009B36F2">
                              <w:pPr>
                                <w:jc w:val="center"/>
                              </w:pPr>
                              <w:r>
                                <w:t>Buyer Power</w:t>
                              </w:r>
                            </w:p>
                            <w:p w14:paraId="0BCBE1FE" w14:textId="77777777" w:rsidR="002B2415" w:rsidRDefault="002B2415" w:rsidP="009B36F2">
                              <w:pPr>
                                <w:jc w:val="center"/>
                              </w:pPr>
                            </w:p>
                            <w:p w14:paraId="27A98074" w14:textId="5AE5F3DC" w:rsidR="002B2415" w:rsidRDefault="002B2415" w:rsidP="009B36F2">
                              <w:r>
                                <w:t xml:space="preserve">LOW – The Bottlers are the buyers. They are locked into long term contracts with no ability to switch </w:t>
                              </w:r>
                              <w:r w:rsidR="001A5D04">
                                <w:t>suppliers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angle 6"/>
                        <wps:cNvSpPr/>
                        <wps:spPr>
                          <a:xfrm>
                            <a:off x="0" y="1485900"/>
                            <a:ext cx="1828800" cy="11430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41EBC10" w14:textId="77777777" w:rsidR="002B2415" w:rsidRDefault="002B2415" w:rsidP="009B36F2">
                              <w:pPr>
                                <w:jc w:val="center"/>
                              </w:pPr>
                              <w:r>
                                <w:t>Supplier Power</w:t>
                              </w:r>
                            </w:p>
                            <w:p w14:paraId="1A217E8B" w14:textId="77777777" w:rsidR="002B2415" w:rsidRDefault="002B2415" w:rsidP="009B36F2">
                              <w:pPr>
                                <w:jc w:val="center"/>
                              </w:pPr>
                            </w:p>
                            <w:p w14:paraId="12004DFA" w14:textId="76D8FB7B" w:rsidR="002B2415" w:rsidRDefault="002B2415" w:rsidP="009B36F2">
                              <w:r>
                                <w:t xml:space="preserve">LOW - All concentrate inputs are commodities.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22" o:spid="_x0000_s1026" style="width:450pt;height:378pt;mso-position-horizontal-relative:char;mso-position-vertical-relative:line" coordorigin=",2667" coordsize="57150,4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">
                <v:rect id="Rectangle 2" o:spid="_x0000_s1027" style="position:absolute;left:19431;top:2667;width:18288;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RTzMMA&#10;AADaAAAADwAAAGRycy9kb3ducmV2LnhtbESP3WoCMRSE7wu+QziCN1KzWljLahQttgilUG0f4LA5&#10;Zhc3J8sm3Z8+vSkIvRxm5htmve1tJVpqfOlYwXyWgCDOnS7ZKPj+en18BuEDssbKMSkYyMN2M3pY&#10;Y6Zdxydqz8GICGGfoYIihDqT0ucFWfQzVxNH7+IaiyHKxkjdYBfhtpKLJEmlxZLjQoE1vRSUX88/&#10;VsEBjaPy7d1o/lw+DR8Bf/fTVKnJuN+tQATqw3/43j5qBQv4uxJvgN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RTzMMAAADa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textbox>
                    <w:txbxContent>
                      <w:p w14:paraId="5D665A87" w14:textId="77777777" w:rsidR="002B2415" w:rsidRDefault="002B2415" w:rsidP="00490E6A">
                        <w:pPr>
                          <w:jc w:val="center"/>
                        </w:pPr>
                        <w:r w:rsidRPr="009B36F2">
                          <w:t>Threat of New Entrants</w:t>
                        </w:r>
                      </w:p>
                      <w:p w14:paraId="3AABC7A2" w14:textId="77777777" w:rsidR="002B2415" w:rsidRDefault="002B2415" w:rsidP="00490E6A">
                        <w:pPr>
                          <w:jc w:val="center"/>
                        </w:pPr>
                      </w:p>
                      <w:p w14:paraId="6B165C7A" w14:textId="1CF962F7" w:rsidR="002B2415" w:rsidRPr="009B36F2" w:rsidRDefault="002B2415" w:rsidP="009B36F2">
                        <w:r>
                          <w:t xml:space="preserve">LOW- due to barriers such as limited shelf space* and the high brand equities of </w:t>
                        </w:r>
                        <w:r w:rsidR="001A5D04">
                          <w:t>incumbents</w:t>
                        </w:r>
                        <w:r>
                          <w:t xml:space="preserve"> </w:t>
                        </w:r>
                      </w:p>
                    </w:txbxContent>
                  </v:textbox>
                </v:rect>
                <v:rect id="Rectangle 3" o:spid="_x0000_s1028" style="position:absolute;left:19431;top:14859;width:18288;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j2V8IA&#10;AADaAAAADwAAAGRycy9kb3ducmV2LnhtbESP3YrCMBSE7wXfIRxhb0TTVVCpRnHFXQRZWH8e4NAc&#10;02JzUpqodZ/eCIKXw8x8w8wWjS3FlWpfOFbw2U9AEGdOF2wUHA/fvQkIH5A1lo5JwZ08LObt1gxT&#10;7W68o+s+GBEh7FNUkIdQpVL6LCeLvu8q4uidXG0xRFkbqWu8Rbgt5SBJRtJiwXEhx4pWOWXn/cUq&#10;WKNxVPxsjea/8fD+G/D/qztS6qPTLKcgAjXhHX61N1rBEJ5X4g2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PZXwgAAANoAAAAPAAAAAAAAAAAAAAAAAJgCAABkcnMvZG93&#10;bnJldi54bWxQSwUGAAAAAAQABAD1AAAAhwMAAAAA&#10;" fillcolor="#4f81bd [3204]" strokecolor="#4579b8 [3044]">
                  <v:fill color2="#a7bfde [1620]" rotate="t" angle="180" focus="100%" type="gradient">
                    <o:fill v:ext="view" type="gradientUnscaled"/>
                  </v:fill>
                  <v:shadow on="t" color="black" opacity="22937f" origin=",.5" offset="0,.63889mm"/>
                  <v:textbox>
                    <w:txbxContent>
                      <w:p w14:paraId="5429D01E" w14:textId="77777777" w:rsidR="002B2415" w:rsidRDefault="002B2415" w:rsidP="00490E6A">
                        <w:pPr>
                          <w:jc w:val="center"/>
                        </w:pPr>
                        <w:r>
                          <w:t>Competitive Rivalry</w:t>
                        </w:r>
                      </w:p>
                      <w:p w14:paraId="6321E4C4" w14:textId="77777777" w:rsidR="002B2415" w:rsidRDefault="002B2415" w:rsidP="00490E6A">
                        <w:pPr>
                          <w:jc w:val="center"/>
                        </w:pPr>
                      </w:p>
                      <w:p w14:paraId="26521330" w14:textId="29F78CF9" w:rsidR="002B2415" w:rsidRDefault="002B2415" w:rsidP="009B36F2">
                        <w:r>
                          <w:t>LOW - Coke &amp; Pepsi have a large share of a shrinking market. Little price competition. Few firms in the industry.</w:t>
                        </w:r>
                      </w:p>
                    </w:txbxContent>
                  </v:textbox>
                </v:rect>
                <v:rect id="Rectangle 4" o:spid="_x0000_s1029" style="position:absolute;left:19431;top:27813;width:18288;height:14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uI8MA&#10;AADaAAAADwAAAGRycy9kb3ducmV2LnhtbESP0WrCQBRE34X+w3ILvkjdVMVK6ia0okUQwVo/4JK9&#10;3YRm74bsqtGv7wqCj8PMnGHmeWdrcaLWV44VvA4TEMSF0xUbBYef1csMhA/IGmvHpOBCHvLsqTfH&#10;VLszf9NpH4yIEPYpKihDaFIpfVGSRT90DXH0fl1rMUTZGqlbPEe4reUoSabSYsVxocSGFiUVf/uj&#10;VbBE46j62hjNu7fxZRvw+jmYKtV/7j7eQQTqwiN8b6+1ggncrsQb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FuI8MAAADa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textbox>
                    <w:txbxContent>
                      <w:p w14:paraId="44A4D48C" w14:textId="77777777" w:rsidR="002B2415" w:rsidRDefault="002B2415" w:rsidP="009B36F2">
                        <w:pPr>
                          <w:jc w:val="center"/>
                        </w:pPr>
                        <w:r>
                          <w:t>Threat of Substitutes</w:t>
                        </w:r>
                      </w:p>
                      <w:p w14:paraId="027AC572" w14:textId="74ADA389" w:rsidR="002B2415" w:rsidRDefault="002B2415" w:rsidP="009B36F2">
                        <w:r>
                          <w:t>HIGH – multiple substitutes – any other beverage. Get students to see how Coke and Pepsi have managed this threat by purchasing major substitute brands.</w:t>
                        </w:r>
                      </w:p>
                    </w:txbxContent>
                  </v:textbox>
                </v:rect>
                <v:rect id="Rectangle 5" o:spid="_x0000_s1030" style="position:absolute;left:38862;top:14859;width:18288;height:11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LuMMA&#10;AADaAAAADwAAAGRycy9kb3ducmV2LnhtbESP0WrCQBRE34X+w3ILvkjdVNFK6ia0okUQwVo/4JK9&#10;3YRm74bsqtGv7wqCj8PMnGHmeWdrcaLWV44VvA4TEMSF0xUbBYef1csMhA/IGmvHpOBCHvLsqTfH&#10;VLszf9NpH4yIEPYpKihDaFIpfVGSRT90DXH0fl1rMUTZGqlbPEe4reUoSabSYsVxocSGFiUVf/uj&#10;VbBE46j62hjNu7fxZRvw+jmYKtV/7j7eQQTqwiN8b6+1ggncrsQb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3LuMMAAADa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textbox>
                    <w:txbxContent>
                      <w:p w14:paraId="72218A84" w14:textId="77777777" w:rsidR="002B2415" w:rsidRDefault="002B2415" w:rsidP="009B36F2">
                        <w:pPr>
                          <w:jc w:val="center"/>
                        </w:pPr>
                        <w:r>
                          <w:t>Buyer Power</w:t>
                        </w:r>
                      </w:p>
                      <w:p w14:paraId="0BCBE1FE" w14:textId="77777777" w:rsidR="002B2415" w:rsidRDefault="002B2415" w:rsidP="009B36F2">
                        <w:pPr>
                          <w:jc w:val="center"/>
                        </w:pPr>
                      </w:p>
                      <w:p w14:paraId="27A98074" w14:textId="5AE5F3DC" w:rsidR="002B2415" w:rsidRDefault="002B2415" w:rsidP="009B36F2">
                        <w:r>
                          <w:t xml:space="preserve">LOW – The Bottlers are the buyers. They are locked into long term contracts with no ability to switch </w:t>
                        </w:r>
                        <w:r w:rsidR="001A5D04">
                          <w:t>suppliers</w:t>
                        </w:r>
                        <w:r>
                          <w:t xml:space="preserve">. </w:t>
                        </w:r>
                      </w:p>
                    </w:txbxContent>
                  </v:textbox>
                </v:rect>
                <v:rect id="Rectangle 6" o:spid="_x0000_s1031" style="position:absolute;top:14859;width:18288;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9Vz8MA&#10;AADaAAAADwAAAGRycy9kb3ducmV2LnhtbESP0WrCQBRE3wv+w3KFvohu2kIsqZugxZaCCDb2Ay7Z&#10;6yaYvRuyq8Z+fVcQ+jjMzBlmUQy2FWfqfeNYwdMsAUFcOd2wUfCz/5i+gvABWWPrmBRcyUORjx4W&#10;mGl34W86l8GICGGfoYI6hC6T0lc1WfQz1xFH7+B6iyHK3kjd4yXCbSufkySVFhuOCzV29F5TdSxP&#10;VsEajaPmc2M07+Yv123A39UkVepxPCzfQAQawn/43v7SClK4XYk3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9Vz8MAAADa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textbox>
                    <w:txbxContent>
                      <w:p w14:paraId="341EBC10" w14:textId="77777777" w:rsidR="002B2415" w:rsidRDefault="002B2415" w:rsidP="009B36F2">
                        <w:pPr>
                          <w:jc w:val="center"/>
                        </w:pPr>
                        <w:r>
                          <w:t>Supplier Power</w:t>
                        </w:r>
                      </w:p>
                      <w:p w14:paraId="1A217E8B" w14:textId="77777777" w:rsidR="002B2415" w:rsidRDefault="002B2415" w:rsidP="009B36F2">
                        <w:pPr>
                          <w:jc w:val="center"/>
                        </w:pPr>
                      </w:p>
                      <w:p w14:paraId="12004DFA" w14:textId="76D8FB7B" w:rsidR="002B2415" w:rsidRDefault="002B2415" w:rsidP="009B36F2">
                        <w:r>
                          <w:t xml:space="preserve">LOW - All concentrate inputs are commodities. </w:t>
                        </w:r>
                      </w:p>
                    </w:txbxContent>
                  </v:textbox>
                </v:rect>
                <w10:anchorlock/>
              </v:group>
            </w:pict>
          </mc:Fallback>
        </mc:AlternateContent>
      </w:r>
    </w:p>
    <w:p w14:paraId="7D9C39E3" w14:textId="77777777" w:rsidR="003A6E90" w:rsidRPr="001F1A73" w:rsidRDefault="003A6E90" w:rsidP="001F1A73">
      <w:pPr>
        <w:spacing w:line="276" w:lineRule="auto"/>
        <w:rPr>
          <w:rFonts w:ascii="Liberation Serif" w:hAnsi="Liberation Serif" w:cs="Liberation Serif"/>
        </w:rPr>
      </w:pPr>
    </w:p>
    <w:p w14:paraId="552065D7" w14:textId="77777777" w:rsidR="00490E6A" w:rsidRPr="001F1A73" w:rsidRDefault="009B36F2" w:rsidP="001F1A73">
      <w:pPr>
        <w:spacing w:line="276" w:lineRule="auto"/>
        <w:rPr>
          <w:rFonts w:ascii="Liberation Serif" w:hAnsi="Liberation Serif" w:cs="Liberation Serif"/>
        </w:rPr>
      </w:pPr>
      <w:r w:rsidRPr="001F1A73">
        <w:rPr>
          <w:rFonts w:ascii="Liberation Serif" w:hAnsi="Liberation Serif" w:cs="Liberation Serif"/>
        </w:rPr>
        <w:t>*Besides limited shelf space, limited fountain space and costs of vending distribution also create barriers to entry.</w:t>
      </w:r>
    </w:p>
    <w:p w14:paraId="56EFC8DD" w14:textId="77777777" w:rsidR="00490E6A" w:rsidRPr="001F1A73" w:rsidRDefault="00490E6A" w:rsidP="001F1A73">
      <w:pPr>
        <w:spacing w:line="276" w:lineRule="auto"/>
        <w:rPr>
          <w:rFonts w:ascii="Liberation Serif" w:hAnsi="Liberation Serif" w:cs="Liberation Serif"/>
        </w:rPr>
      </w:pPr>
    </w:p>
    <w:p w14:paraId="23066909" w14:textId="77777777" w:rsidR="003A6E90" w:rsidRPr="001F1A73" w:rsidRDefault="003A6E90" w:rsidP="001F1A73">
      <w:pPr>
        <w:spacing w:line="276" w:lineRule="auto"/>
        <w:rPr>
          <w:rFonts w:ascii="Liberation Serif" w:hAnsi="Liberation Serif" w:cs="Liberation Serif"/>
        </w:rPr>
      </w:pPr>
      <w:r w:rsidRPr="001F1A73">
        <w:rPr>
          <w:rFonts w:ascii="Liberation Serif" w:hAnsi="Liberation Serif" w:cs="Liberation Serif"/>
          <w:i/>
        </w:rPr>
        <w:t>Question: Why can’t another company successfully enter the concentrate industry by simply investing a large amount into marketing and advertising?</w:t>
      </w:r>
    </w:p>
    <w:p w14:paraId="4F49F43E" w14:textId="77777777" w:rsidR="00490E6A" w:rsidRPr="001F1A73" w:rsidRDefault="00490E6A" w:rsidP="001F1A73">
      <w:pPr>
        <w:spacing w:line="276" w:lineRule="auto"/>
        <w:rPr>
          <w:rFonts w:ascii="Liberation Serif" w:hAnsi="Liberation Serif" w:cs="Liberation Serif"/>
        </w:rPr>
      </w:pPr>
    </w:p>
    <w:p w14:paraId="47F84B12" w14:textId="358292F4" w:rsidR="003A6E90" w:rsidRPr="001F1A73" w:rsidRDefault="003A6E90" w:rsidP="001F1A73">
      <w:pPr>
        <w:spacing w:line="276" w:lineRule="auto"/>
        <w:rPr>
          <w:rFonts w:ascii="Liberation Serif" w:hAnsi="Liberation Serif" w:cs="Liberation Serif"/>
        </w:rPr>
      </w:pPr>
      <w:r w:rsidRPr="001F1A73">
        <w:rPr>
          <w:rFonts w:ascii="Liberation Serif" w:hAnsi="Liberation Serif" w:cs="Liberation Serif"/>
        </w:rPr>
        <w:t>If you had the students do study question #3 this would be the time to show the excel spreadsheet showing the 5 year proforma, focusing on the costs of advertising, creating a bottler network, and paying for shelf space.</w:t>
      </w:r>
    </w:p>
    <w:p w14:paraId="3687CCA7" w14:textId="77777777" w:rsidR="003D7D6D" w:rsidRPr="001F1A73" w:rsidRDefault="003D7D6D" w:rsidP="001F1A73">
      <w:pPr>
        <w:spacing w:line="276" w:lineRule="auto"/>
        <w:rPr>
          <w:rFonts w:ascii="Liberation Serif" w:hAnsi="Liberation Serif" w:cs="Liberation Serif"/>
        </w:rPr>
      </w:pPr>
    </w:p>
    <w:p w14:paraId="12C2FE15" w14:textId="77777777" w:rsidR="003D7D6D" w:rsidRPr="001F1A73" w:rsidRDefault="003D7D6D" w:rsidP="001F1A73">
      <w:pPr>
        <w:spacing w:line="276" w:lineRule="auto"/>
        <w:rPr>
          <w:rFonts w:ascii="Liberation Serif" w:hAnsi="Liberation Serif" w:cs="Liberation Serif"/>
        </w:rPr>
      </w:pPr>
      <w:r w:rsidRPr="001F1A73">
        <w:rPr>
          <w:rFonts w:ascii="Liberation Serif" w:hAnsi="Liberation Serif" w:cs="Liberation Serif"/>
          <w:i/>
        </w:rPr>
        <w:t>III. Bottling Environment</w:t>
      </w:r>
    </w:p>
    <w:p w14:paraId="5D9A362E" w14:textId="77777777" w:rsidR="003D7D6D" w:rsidRPr="001F1A73" w:rsidRDefault="003D7D6D" w:rsidP="001F1A73">
      <w:pPr>
        <w:spacing w:line="276" w:lineRule="auto"/>
        <w:rPr>
          <w:rFonts w:ascii="Liberation Serif" w:hAnsi="Liberation Serif" w:cs="Liberation Serif"/>
        </w:rPr>
      </w:pPr>
    </w:p>
    <w:p w14:paraId="001D78A7" w14:textId="77777777" w:rsidR="00A50443" w:rsidRPr="001F1A73" w:rsidRDefault="000A52D9" w:rsidP="001F1A73">
      <w:pPr>
        <w:spacing w:line="276" w:lineRule="auto"/>
        <w:rPr>
          <w:rFonts w:ascii="Liberation Serif" w:hAnsi="Liberation Serif" w:cs="Liberation Serif"/>
          <w:i/>
        </w:rPr>
      </w:pPr>
      <w:r w:rsidRPr="001F1A73">
        <w:rPr>
          <w:rFonts w:ascii="Liberation Serif" w:hAnsi="Liberation Serif" w:cs="Liberation Serif"/>
          <w:i/>
        </w:rPr>
        <w:t xml:space="preserve">Question: </w:t>
      </w:r>
      <w:r w:rsidR="00A50443" w:rsidRPr="001F1A73">
        <w:rPr>
          <w:rFonts w:ascii="Liberation Serif" w:hAnsi="Liberation Serif" w:cs="Liberation Serif"/>
          <w:i/>
        </w:rPr>
        <w:t>Compare the attractiveness of the concentrate industry with the bottling industry?  Why is the concentrate industry more attractive than the bottling industry?</w:t>
      </w:r>
    </w:p>
    <w:p w14:paraId="2ED81D79" w14:textId="77777777" w:rsidR="002B2415" w:rsidRPr="001F1A73" w:rsidRDefault="002B2415" w:rsidP="001F1A73">
      <w:pPr>
        <w:pStyle w:val="ListParagraph"/>
        <w:spacing w:line="276" w:lineRule="auto"/>
        <w:rPr>
          <w:rFonts w:ascii="Liberation Serif" w:hAnsi="Liberation Serif" w:cs="Liberation Serif"/>
          <w:i/>
        </w:rPr>
      </w:pPr>
    </w:p>
    <w:p w14:paraId="53AA8582" w14:textId="77777777" w:rsidR="003A6E90" w:rsidRPr="001F1A73" w:rsidRDefault="00A50443" w:rsidP="001F1A73">
      <w:pPr>
        <w:spacing w:line="276" w:lineRule="auto"/>
        <w:rPr>
          <w:rFonts w:ascii="Liberation Serif" w:hAnsi="Liberation Serif" w:cs="Liberation Serif"/>
          <w:i/>
        </w:rPr>
      </w:pPr>
      <w:r w:rsidRPr="001F1A73">
        <w:rPr>
          <w:rFonts w:ascii="Liberation Serif" w:hAnsi="Liberation Serif" w:cs="Liberation Serif"/>
        </w:rPr>
        <w:t xml:space="preserve">Push students to apply the 5 Forces model to compare the two industries.  </w:t>
      </w:r>
      <w:r w:rsidR="003A6E90" w:rsidRPr="001F1A73">
        <w:rPr>
          <w:rFonts w:ascii="Liberation Serif" w:hAnsi="Liberation Serif" w:cs="Liberation Serif"/>
        </w:rPr>
        <w:t xml:space="preserve">This works well as a board exercise. As with the concentrate manufacturers ask students for a five force, have them choose if the threat is low, medium, or high, and then analyze why. </w:t>
      </w:r>
    </w:p>
    <w:p w14:paraId="16709E75" w14:textId="77777777" w:rsidR="003A6E90" w:rsidRPr="001F1A73" w:rsidRDefault="003A6E90" w:rsidP="001F1A73">
      <w:pPr>
        <w:spacing w:line="276" w:lineRule="auto"/>
        <w:rPr>
          <w:rFonts w:ascii="Liberation Serif" w:hAnsi="Liberation Serif" w:cs="Liberation Serif"/>
          <w:i/>
        </w:rPr>
      </w:pPr>
    </w:p>
    <w:p w14:paraId="541B2431" w14:textId="77777777" w:rsidR="002B2415" w:rsidRPr="001F1A73" w:rsidRDefault="002B2415" w:rsidP="001F1A73">
      <w:pPr>
        <w:spacing w:line="276" w:lineRule="auto"/>
        <w:rPr>
          <w:rFonts w:ascii="Liberation Serif" w:hAnsi="Liberation Serif" w:cs="Liberation Serif"/>
        </w:rPr>
      </w:pPr>
      <w:r w:rsidRPr="001F1A73">
        <w:rPr>
          <w:rFonts w:ascii="Liberation Serif" w:hAnsi="Liberation Serif" w:cs="Liberation Serif"/>
        </w:rPr>
        <w:t>If you had the students use the supplier power tool as an experiential exercise when covering supplier power you may want to show the answers to five forces worksheet so students can compare it with their answers and see how a thorough analysis can inform the more informal analysis they are doing in class.</w:t>
      </w:r>
    </w:p>
    <w:p w14:paraId="70E9CAEF" w14:textId="77777777" w:rsidR="002B2415" w:rsidRPr="001F1A73" w:rsidRDefault="002B2415" w:rsidP="001F1A73">
      <w:pPr>
        <w:spacing w:line="276" w:lineRule="auto"/>
        <w:rPr>
          <w:rFonts w:ascii="Liberation Serif" w:hAnsi="Liberation Serif" w:cs="Liberation Serif"/>
          <w:i/>
        </w:rPr>
      </w:pPr>
    </w:p>
    <w:p w14:paraId="66FEE06C" w14:textId="406647AA" w:rsidR="002B2415" w:rsidRPr="001F1A73" w:rsidRDefault="003A6E90" w:rsidP="001F1A73">
      <w:pPr>
        <w:spacing w:line="276" w:lineRule="auto"/>
        <w:rPr>
          <w:rFonts w:ascii="Liberation Serif" w:hAnsi="Liberation Serif" w:cs="Liberation Serif"/>
          <w:i/>
        </w:rPr>
      </w:pPr>
      <w:r w:rsidRPr="001F1A73">
        <w:rPr>
          <w:rFonts w:ascii="Liberation Serif" w:hAnsi="Liberation Serif" w:cs="Liberation Serif"/>
        </w:rPr>
        <w:t xml:space="preserve">A comparison between the two industries can be very instructive. At this point ask the students if the industries are attractive. </w:t>
      </w:r>
      <w:r w:rsidR="002B2415" w:rsidRPr="001F1A73">
        <w:rPr>
          <w:rFonts w:ascii="Liberation Serif" w:hAnsi="Liberation Serif" w:cs="Liberation Serif"/>
        </w:rPr>
        <w:t xml:space="preserve"> On the surface both look attractive.  However, you can point out that the concentrate manufacturers enjoy high profit margins while the bottlers do not. Ask the students why. While the bottling industry looks very attractive the lesson to be learned is that it can take only one of the five forces to be a major threat to industry profitability.  In this case the extremely high supplier power that the concentrate manufacturers enjoy allows them to siphon off any extra profits from the bottling industry. </w:t>
      </w:r>
    </w:p>
    <w:p w14:paraId="712744C4" w14:textId="77777777" w:rsidR="002B2415" w:rsidRPr="001F1A73" w:rsidRDefault="002B2415" w:rsidP="001F1A73">
      <w:pPr>
        <w:pStyle w:val="ListParagraph"/>
        <w:spacing w:line="276" w:lineRule="auto"/>
        <w:rPr>
          <w:rFonts w:ascii="Liberation Serif" w:hAnsi="Liberation Serif" w:cs="Liberation Serif"/>
          <w:i/>
        </w:rPr>
      </w:pPr>
    </w:p>
    <w:p w14:paraId="79CA11F3" w14:textId="2E9994A2" w:rsidR="00257E7A" w:rsidRPr="001F1A73" w:rsidRDefault="002B2415" w:rsidP="001F1A73">
      <w:pPr>
        <w:spacing w:line="276" w:lineRule="auto"/>
        <w:rPr>
          <w:rFonts w:ascii="Liberation Serif" w:hAnsi="Liberation Serif" w:cs="Liberation Serif"/>
          <w:i/>
        </w:rPr>
      </w:pPr>
      <w:r w:rsidRPr="001F1A73">
        <w:rPr>
          <w:rFonts w:ascii="Liberation Serif" w:hAnsi="Liberation Serif" w:cs="Liberation Serif"/>
          <w:noProof/>
        </w:rPr>
        <w:lastRenderedPageBreak/>
        <mc:AlternateContent>
          <mc:Choice Requires="wpg">
            <w:drawing>
              <wp:inline distT="0" distB="0" distL="0" distR="0" wp14:anchorId="6288E91C" wp14:editId="7362AA3F">
                <wp:extent cx="5583370" cy="4065725"/>
                <wp:effectExtent l="57150" t="19050" r="74930" b="87630"/>
                <wp:docPr id="1" name="Group 1"/>
                <wp:cNvGraphicFramePr/>
                <a:graphic xmlns:a="http://schemas.openxmlformats.org/drawingml/2006/main">
                  <a:graphicData uri="http://schemas.microsoft.com/office/word/2010/wordprocessingGroup">
                    <wpg:wgp>
                      <wpg:cNvGrpSpPr/>
                      <wpg:grpSpPr>
                        <a:xfrm>
                          <a:off x="0" y="0"/>
                          <a:ext cx="5583370" cy="4065725"/>
                          <a:chOff x="-124600" y="0"/>
                          <a:chExt cx="5816010" cy="3971228"/>
                        </a:xfrm>
                      </wpg:grpSpPr>
                      <wps:wsp>
                        <wps:cNvPr id="7" name="Rectangle 7"/>
                        <wps:cNvSpPr/>
                        <wps:spPr>
                          <a:xfrm>
                            <a:off x="1943100" y="0"/>
                            <a:ext cx="1828800" cy="1356758"/>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9290B2C" w14:textId="77777777" w:rsidR="002B2415" w:rsidRDefault="002B2415" w:rsidP="002B2415">
                              <w:pPr>
                                <w:jc w:val="center"/>
                              </w:pPr>
                              <w:r w:rsidRPr="009B36F2">
                                <w:t>Threat of New Entrants</w:t>
                              </w:r>
                            </w:p>
                            <w:p w14:paraId="569E5C11" w14:textId="77777777" w:rsidR="002B2415" w:rsidRDefault="002B2415" w:rsidP="002B2415">
                              <w:pPr>
                                <w:jc w:val="center"/>
                              </w:pPr>
                            </w:p>
                            <w:p w14:paraId="143EE427" w14:textId="7D349DBC" w:rsidR="002B2415" w:rsidRPr="009B36F2" w:rsidRDefault="002B2415" w:rsidP="002B2415">
                              <w:r>
                                <w:t>LOW- due to high capital costs to enter and exclusive contracts with Coke and Pepsi.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Rectangle 8"/>
                        <wps:cNvSpPr/>
                        <wps:spPr>
                          <a:xfrm>
                            <a:off x="1943100" y="1485900"/>
                            <a:ext cx="1828800" cy="11430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FC07F8F" w14:textId="77777777" w:rsidR="002B2415" w:rsidRDefault="002B2415" w:rsidP="002B2415">
                              <w:pPr>
                                <w:jc w:val="center"/>
                              </w:pPr>
                              <w:r>
                                <w:t>Competitive Rivalry</w:t>
                              </w:r>
                            </w:p>
                            <w:p w14:paraId="36EA46C0" w14:textId="77777777" w:rsidR="002B2415" w:rsidRDefault="002B2415" w:rsidP="002B2415">
                              <w:pPr>
                                <w:jc w:val="center"/>
                              </w:pPr>
                            </w:p>
                            <w:p w14:paraId="54A8F742" w14:textId="66941F78" w:rsidR="002B2415" w:rsidRDefault="006F4CA9" w:rsidP="002B2415">
                              <w:r>
                                <w:t>LOW – only two to three bottlers in any geographic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Rectangle 9"/>
                        <wps:cNvSpPr/>
                        <wps:spPr>
                          <a:xfrm>
                            <a:off x="1943100" y="2770333"/>
                            <a:ext cx="1828800" cy="1200895"/>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64A7004" w14:textId="77777777" w:rsidR="002B2415" w:rsidRDefault="002B2415" w:rsidP="002B2415">
                              <w:pPr>
                                <w:jc w:val="center"/>
                              </w:pPr>
                              <w:r>
                                <w:t>Threat of Substitutes</w:t>
                              </w:r>
                            </w:p>
                            <w:p w14:paraId="6369819B" w14:textId="77777777" w:rsidR="002B2415" w:rsidRDefault="002B2415" w:rsidP="002B2415"/>
                            <w:p w14:paraId="31F853E3" w14:textId="3BAD35A3" w:rsidR="002B2415" w:rsidRDefault="002B2415" w:rsidP="002B2415">
                              <w:r>
                                <w:t xml:space="preserve">LOW – Bottlers control most methods of bottling including glass and </w:t>
                              </w:r>
                              <w:r w:rsidR="001A5D04">
                                <w:t>aluminum</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Rectangle 10"/>
                        <wps:cNvSpPr/>
                        <wps:spPr>
                          <a:xfrm>
                            <a:off x="3862610" y="1095774"/>
                            <a:ext cx="1828800" cy="195472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6BF7B9AA" w14:textId="77777777" w:rsidR="002B2415" w:rsidRDefault="002B2415" w:rsidP="002B2415">
                              <w:pPr>
                                <w:jc w:val="center"/>
                              </w:pPr>
                              <w:r>
                                <w:t>Buyer Power</w:t>
                              </w:r>
                            </w:p>
                            <w:p w14:paraId="199AAC3A" w14:textId="77777777" w:rsidR="002B2415" w:rsidRDefault="002B2415" w:rsidP="002B2415">
                              <w:pPr>
                                <w:jc w:val="center"/>
                              </w:pPr>
                            </w:p>
                            <w:p w14:paraId="5DCDF9DF" w14:textId="5E009560" w:rsidR="002B2415" w:rsidRDefault="002B2415" w:rsidP="002B2415">
                              <w:r>
                                <w:t xml:space="preserve">MED </w:t>
                              </w:r>
                              <w:r w:rsidR="006F4CA9">
                                <w:t>–</w:t>
                              </w:r>
                              <w:r>
                                <w:t xml:space="preserve"> </w:t>
                              </w:r>
                              <w:r w:rsidR="006F4CA9">
                                <w:t xml:space="preserve">overall buyers are fragmented but in any geographic area supermarkets and </w:t>
                              </w:r>
                              <w:r>
                                <w:t xml:space="preserve"> </w:t>
                              </w:r>
                              <w:r w:rsidR="006F4CA9">
                                <w:t>warehouse stores are likely to represent a large percentage of sales.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Rectangle 11"/>
                        <wps:cNvSpPr/>
                        <wps:spPr>
                          <a:xfrm>
                            <a:off x="-124600" y="1430486"/>
                            <a:ext cx="1828800" cy="1339828"/>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8AD05D7" w14:textId="77777777" w:rsidR="002B2415" w:rsidRDefault="002B2415" w:rsidP="002B2415">
                              <w:pPr>
                                <w:jc w:val="center"/>
                              </w:pPr>
                              <w:r>
                                <w:t>Supplier Power</w:t>
                              </w:r>
                            </w:p>
                            <w:p w14:paraId="00C5E2E0" w14:textId="77777777" w:rsidR="002B2415" w:rsidRDefault="002B2415" w:rsidP="002B2415">
                              <w:pPr>
                                <w:jc w:val="center"/>
                              </w:pPr>
                            </w:p>
                            <w:p w14:paraId="429D4FB7" w14:textId="6A0B7D61" w:rsidR="002B2415" w:rsidRDefault="002B2415" w:rsidP="002B2415">
                              <w:r>
                                <w:t>LOW for commodity inputs (such as glass) and Very HIGH for the soda inputs (such as Coke)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1" o:spid="_x0000_s1032" style="width:439.65pt;height:320.15pt;mso-position-horizontal-relative:char;mso-position-vertical-relative:line" coordorigin="-1246" coordsize="58160,39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">
                <v:rect id="Rectangle 7" o:spid="_x0000_s1033" style="position:absolute;left:19431;width:18288;height:13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wVMEA&#10;AADaAAAADwAAAGRycy9kb3ducmV2LnhtbESP0YrCMBRE3xf8h3AFX2RNVVDpGkVFRZCF1d0PuDTX&#10;tNjclCZq9euNIOzjMDNnmOm8saW4Uu0Lxwr6vQQEceZ0wUbB3+/mcwLCB2SNpWNScCcP81nrY4qp&#10;djc+0PUYjIgQ9ikqyEOoUil9lpNF33MVcfROrrYYoqyN1DXeItyWcpAkI2mx4LiQY0WrnLLz8WIV&#10;rNE4KrZ7o/lnPLx/B3wsuyOlOu1m8QUiUBP+w+/2TisYw+tKvAF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D8FTBAAAA2gAAAA8AAAAAAAAAAAAAAAAAmAIAAGRycy9kb3du&#10;cmV2LnhtbFBLBQYAAAAABAAEAPUAAACGAwAAAAA=&#10;" fillcolor="#4f81bd [3204]" strokecolor="#4579b8 [3044]">
                  <v:fill color2="#a7bfde [1620]" rotate="t" angle="180" focus="100%" type="gradient">
                    <o:fill v:ext="view" type="gradientUnscaled"/>
                  </v:fill>
                  <v:shadow on="t" color="black" opacity="22937f" origin=",.5" offset="0,.63889mm"/>
                  <v:textbox>
                    <w:txbxContent>
                      <w:p w14:paraId="19290B2C" w14:textId="77777777" w:rsidR="002B2415" w:rsidRDefault="002B2415" w:rsidP="002B2415">
                        <w:pPr>
                          <w:jc w:val="center"/>
                        </w:pPr>
                        <w:r w:rsidRPr="009B36F2">
                          <w:t>Threat of New Entrants</w:t>
                        </w:r>
                      </w:p>
                      <w:p w14:paraId="569E5C11" w14:textId="77777777" w:rsidR="002B2415" w:rsidRDefault="002B2415" w:rsidP="002B2415">
                        <w:pPr>
                          <w:jc w:val="center"/>
                        </w:pPr>
                      </w:p>
                      <w:p w14:paraId="143EE427" w14:textId="7D349DBC" w:rsidR="002B2415" w:rsidRPr="009B36F2" w:rsidRDefault="002B2415" w:rsidP="002B2415">
                        <w:r>
                          <w:t>LOW- due to high capital costs to enter and exclusive contracts with Coke and Pepsi.</w:t>
                        </w:r>
                      </w:p>
                    </w:txbxContent>
                  </v:textbox>
                </v:rect>
                <v:rect id="Rectangle 8" o:spid="_x0000_s1034" style="position:absolute;left:19431;top:14859;width:18288;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xkJsAA&#10;AADaAAAADwAAAGRycy9kb3ducmV2LnhtbERP3WrCMBS+F3yHcITdDJu6QZXaKDq2IYzB/HmAQ3NM&#10;i81JaTJt9/TLheDlx/dfrHvbiCt1vnasYJakIIhLp2s2Ck7Hj+kChA/IGhvHpGAgD+vVeFRgrt2N&#10;93Q9BCNiCPscFVQhtLmUvqzIok9cSxy5s+sshgg7I3WHtxhuG/mSppm0WHNsqLClt4rKy+HXKnhH&#10;46j+/DKaf+avw3fAv+1zptTTpN8sQQTqw0N8d++0grg1Xok3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1xkJsAAAADaAAAADwAAAAAAAAAAAAAAAACYAgAAZHJzL2Rvd25y&#10;ZXYueG1sUEsFBgAAAAAEAAQA9QAAAIUDAAAAAA==&#10;" fillcolor="#4f81bd [3204]" strokecolor="#4579b8 [3044]">
                  <v:fill color2="#a7bfde [1620]" rotate="t" angle="180" focus="100%" type="gradient">
                    <o:fill v:ext="view" type="gradientUnscaled"/>
                  </v:fill>
                  <v:shadow on="t" color="black" opacity="22937f" origin=",.5" offset="0,.63889mm"/>
                  <v:textbox>
                    <w:txbxContent>
                      <w:p w14:paraId="1FC07F8F" w14:textId="77777777" w:rsidR="002B2415" w:rsidRDefault="002B2415" w:rsidP="002B2415">
                        <w:pPr>
                          <w:jc w:val="center"/>
                        </w:pPr>
                        <w:r>
                          <w:t>Competitive Rivalry</w:t>
                        </w:r>
                      </w:p>
                      <w:p w14:paraId="36EA46C0" w14:textId="77777777" w:rsidR="002B2415" w:rsidRDefault="002B2415" w:rsidP="002B2415">
                        <w:pPr>
                          <w:jc w:val="center"/>
                        </w:pPr>
                      </w:p>
                      <w:p w14:paraId="54A8F742" w14:textId="66941F78" w:rsidR="002B2415" w:rsidRDefault="006F4CA9" w:rsidP="002B2415">
                        <w:r>
                          <w:t>LOW – only two to three bottlers in any geographic area</w:t>
                        </w:r>
                      </w:p>
                    </w:txbxContent>
                  </v:textbox>
                </v:rect>
                <v:rect id="Rectangle 9" o:spid="_x0000_s1035" style="position:absolute;left:19431;top:27703;width:18288;height:12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DBvcMA&#10;AADaAAAADwAAAGRycy9kb3ducmV2LnhtbESP0WrCQBRE34X+w3ILvkjdVEFr6ia0okUQwVo/4JK9&#10;3YRm74bsqtGv7wqCj8PMnGHmeWdrcaLWV44VvA4TEMSF0xUbBYef1csbCB+QNdaOScGFPOTZU2+O&#10;qXZn/qbTPhgRIexTVFCG0KRS+qIki37oGuLo/brWYoiyNVK3eI5wW8tRkkykxYrjQokNLUoq/vZH&#10;q2CJxlH1tTGad9PxZRvw+jmYKNV/7j7eQQTqwiN8b6+1ghncrsQb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DBvcMAAADa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textbox>
                    <w:txbxContent>
                      <w:p w14:paraId="564A7004" w14:textId="77777777" w:rsidR="002B2415" w:rsidRDefault="002B2415" w:rsidP="002B2415">
                        <w:pPr>
                          <w:jc w:val="center"/>
                        </w:pPr>
                        <w:r>
                          <w:t>Threat of Substitutes</w:t>
                        </w:r>
                      </w:p>
                      <w:p w14:paraId="6369819B" w14:textId="77777777" w:rsidR="002B2415" w:rsidRDefault="002B2415" w:rsidP="002B2415"/>
                      <w:p w14:paraId="31F853E3" w14:textId="3BAD35A3" w:rsidR="002B2415" w:rsidRDefault="002B2415" w:rsidP="002B2415">
                        <w:r>
                          <w:t xml:space="preserve">LOW – Bottlers control most methods of bottling including glass and </w:t>
                        </w:r>
                        <w:r w:rsidR="001A5D04">
                          <w:t>aluminum</w:t>
                        </w:r>
                        <w:r>
                          <w:t xml:space="preserve">. </w:t>
                        </w:r>
                      </w:p>
                    </w:txbxContent>
                  </v:textbox>
                </v:rect>
                <v:rect id="Rectangle 10" o:spid="_x0000_s1036" style="position:absolute;left:38626;top:10957;width:18288;height:19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Zd6sQA&#10;AADbAAAADwAAAGRycy9kb3ducmV2LnhtbESP3WoCQQyF7wXfYYjgTamzraBl6yi2VCkUwb8HCDvp&#10;7OJOZtmZ6urTm4uCdwnn5Jwvs0Xna3WmNlaBDbyMMlDERbAVOwPHw+r5DVRMyBbrwGTgShEW835v&#10;hrkNF97ReZ+ckhCOORooU2pyrWNRksc4Cg2xaL+h9ZhkbZ22LV4k3Nf6Ncsm2mPF0lBiQ58lFaf9&#10;nzfwhS5Qtf5xlrfT8XWT8PbxNDFmOOiW76ASdelh/r/+toIv9PKLDK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XerEAAAA2wAAAA8AAAAAAAAAAAAAAAAAmAIAAGRycy9k&#10;b3ducmV2LnhtbFBLBQYAAAAABAAEAPUAAACJAwAAAAA=&#10;" fillcolor="#4f81bd [3204]" strokecolor="#4579b8 [3044]">
                  <v:fill color2="#a7bfde [1620]" rotate="t" angle="180" focus="100%" type="gradient">
                    <o:fill v:ext="view" type="gradientUnscaled"/>
                  </v:fill>
                  <v:shadow on="t" color="black" opacity="22937f" origin=",.5" offset="0,.63889mm"/>
                  <v:textbox>
                    <w:txbxContent>
                      <w:p w14:paraId="6BF7B9AA" w14:textId="77777777" w:rsidR="002B2415" w:rsidRDefault="002B2415" w:rsidP="002B2415">
                        <w:pPr>
                          <w:jc w:val="center"/>
                        </w:pPr>
                        <w:r>
                          <w:t>Buyer Power</w:t>
                        </w:r>
                      </w:p>
                      <w:p w14:paraId="199AAC3A" w14:textId="77777777" w:rsidR="002B2415" w:rsidRDefault="002B2415" w:rsidP="002B2415">
                        <w:pPr>
                          <w:jc w:val="center"/>
                        </w:pPr>
                      </w:p>
                      <w:p w14:paraId="5DCDF9DF" w14:textId="5E009560" w:rsidR="002B2415" w:rsidRDefault="002B2415" w:rsidP="002B2415">
                        <w:r>
                          <w:t xml:space="preserve">MED </w:t>
                        </w:r>
                        <w:r w:rsidR="006F4CA9">
                          <w:t>–</w:t>
                        </w:r>
                        <w:r>
                          <w:t xml:space="preserve"> </w:t>
                        </w:r>
                        <w:r w:rsidR="006F4CA9">
                          <w:t xml:space="preserve">overall buyers are fragmented but in any geographic area supermarkets and </w:t>
                        </w:r>
                        <w:r>
                          <w:t xml:space="preserve"> </w:t>
                        </w:r>
                        <w:r w:rsidR="006F4CA9">
                          <w:t>warehouse stores are likely to represent a large percentage of sales.</w:t>
                        </w:r>
                        <w:r>
                          <w:t xml:space="preserve"> </w:t>
                        </w:r>
                      </w:p>
                    </w:txbxContent>
                  </v:textbox>
                </v:rect>
                <v:rect id="Rectangle 11" o:spid="_x0000_s1037" style="position:absolute;left:-1246;top:14304;width:18288;height:13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4ccAA&#10;AADbAAAADwAAAGRycy9kb3ducmV2LnhtbERP24rCMBB9F/Yfwgi+LJqq4Eo1yu6iIojgqh8wNGNa&#10;bCaliVr9eiMs+DaHc53pvLGluFLtC8cK+r0EBHHmdMFGwfGw7I5B+ICssXRMCu7kYT77aE0x1e7G&#10;f3TdByNiCPsUFeQhVKmUPsvJou+5ijhyJ1dbDBHWRuoabzHclnKQJCNpseDYkGNFvzll5/3FKlig&#10;cVSsNkbz7mt43wZ8/HyOlOq0m+8JiEBNeIv/3Wsd5/fh9Us8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qr4ccAAAADbAAAADwAAAAAAAAAAAAAAAACYAgAAZHJzL2Rvd25y&#10;ZXYueG1sUEsFBgAAAAAEAAQA9QAAAIUDAAAAAA==&#10;" fillcolor="#4f81bd [3204]" strokecolor="#4579b8 [3044]">
                  <v:fill color2="#a7bfde [1620]" rotate="t" angle="180" focus="100%" type="gradient">
                    <o:fill v:ext="view" type="gradientUnscaled"/>
                  </v:fill>
                  <v:shadow on="t" color="black" opacity="22937f" origin=",.5" offset="0,.63889mm"/>
                  <v:textbox>
                    <w:txbxContent>
                      <w:p w14:paraId="58AD05D7" w14:textId="77777777" w:rsidR="002B2415" w:rsidRDefault="002B2415" w:rsidP="002B2415">
                        <w:pPr>
                          <w:jc w:val="center"/>
                        </w:pPr>
                        <w:r>
                          <w:t>Supplier Power</w:t>
                        </w:r>
                      </w:p>
                      <w:p w14:paraId="00C5E2E0" w14:textId="77777777" w:rsidR="002B2415" w:rsidRDefault="002B2415" w:rsidP="002B2415">
                        <w:pPr>
                          <w:jc w:val="center"/>
                        </w:pPr>
                      </w:p>
                      <w:p w14:paraId="429D4FB7" w14:textId="6A0B7D61" w:rsidR="002B2415" w:rsidRDefault="002B2415" w:rsidP="002B2415">
                        <w:r>
                          <w:t>LOW for commodity inputs (such as glass) and Very HIGH for the soda inputs (such as Coke)</w:t>
                        </w:r>
                      </w:p>
                    </w:txbxContent>
                  </v:textbox>
                </v:rect>
                <w10:anchorlock/>
              </v:group>
            </w:pict>
          </mc:Fallback>
        </mc:AlternateContent>
      </w:r>
    </w:p>
    <w:p w14:paraId="5F72BD70" w14:textId="77777777" w:rsidR="006F4CA9" w:rsidRPr="001F1A73" w:rsidRDefault="006F4CA9" w:rsidP="001F1A73">
      <w:pPr>
        <w:spacing w:line="276" w:lineRule="auto"/>
        <w:rPr>
          <w:rFonts w:ascii="Liberation Serif" w:hAnsi="Liberation Serif" w:cs="Liberation Serif"/>
          <w:i/>
        </w:rPr>
      </w:pPr>
    </w:p>
    <w:p w14:paraId="7E3E8039" w14:textId="77777777" w:rsidR="000A52D9" w:rsidRPr="001F1A73" w:rsidRDefault="00A50443" w:rsidP="001F1A73">
      <w:pPr>
        <w:spacing w:line="276" w:lineRule="auto"/>
        <w:rPr>
          <w:rFonts w:ascii="Liberation Serif" w:hAnsi="Liberation Serif" w:cs="Liberation Serif"/>
        </w:rPr>
      </w:pPr>
      <w:r w:rsidRPr="001F1A73">
        <w:rPr>
          <w:rFonts w:ascii="Liberation Serif" w:hAnsi="Liberation Serif" w:cs="Liberation Serif"/>
          <w:i/>
        </w:rPr>
        <w:t xml:space="preserve">Question: </w:t>
      </w:r>
      <w:r w:rsidR="00C05963" w:rsidRPr="001F1A73">
        <w:rPr>
          <w:rFonts w:ascii="Liberation Serif" w:hAnsi="Liberation Serif" w:cs="Liberation Serif"/>
          <w:i/>
        </w:rPr>
        <w:t>Why are Coke and Pepsi in the bottling business</w:t>
      </w:r>
      <w:r w:rsidRPr="001F1A73">
        <w:rPr>
          <w:rFonts w:ascii="Liberation Serif" w:hAnsi="Liberation Serif" w:cs="Liberation Serif"/>
          <w:i/>
        </w:rPr>
        <w:t xml:space="preserve"> if it is so much less attractive than concentrate</w:t>
      </w:r>
      <w:r w:rsidR="00C05963" w:rsidRPr="001F1A73">
        <w:rPr>
          <w:rFonts w:ascii="Liberation Serif" w:hAnsi="Liberation Serif" w:cs="Liberation Serif"/>
          <w:i/>
        </w:rPr>
        <w:t>?</w:t>
      </w:r>
    </w:p>
    <w:p w14:paraId="3ECA16F9" w14:textId="77777777" w:rsidR="000A52D9" w:rsidRPr="001F1A73" w:rsidRDefault="000A52D9" w:rsidP="001F1A73">
      <w:pPr>
        <w:spacing w:line="276" w:lineRule="auto"/>
        <w:rPr>
          <w:rFonts w:ascii="Liberation Serif" w:hAnsi="Liberation Serif" w:cs="Liberation Serif"/>
        </w:rPr>
      </w:pPr>
    </w:p>
    <w:p w14:paraId="69E0297E" w14:textId="77777777" w:rsidR="00C05963" w:rsidRPr="001F1A73" w:rsidRDefault="00C05963" w:rsidP="001F1A73">
      <w:pPr>
        <w:spacing w:line="276" w:lineRule="auto"/>
        <w:rPr>
          <w:rFonts w:ascii="Liberation Serif" w:hAnsi="Liberation Serif" w:cs="Liberation Serif"/>
        </w:rPr>
      </w:pPr>
      <w:r w:rsidRPr="001F1A73">
        <w:rPr>
          <w:rFonts w:ascii="Liberation Serif" w:hAnsi="Liberation Serif" w:cs="Liberation Serif"/>
        </w:rPr>
        <w:t>Although the concentrate environment is attractive by itself, their presence in the bottling business is what protects the concentrate industry due to the increased barriers to entry. The purpose of this section is to help students understand why it would be difficult to directly enter the concentrate market and why Coke &amp; Pepsi are experiencing such great profits.</w:t>
      </w:r>
    </w:p>
    <w:p w14:paraId="57A4BB36" w14:textId="77777777" w:rsidR="00C05963" w:rsidRPr="001F1A73" w:rsidRDefault="00C05963" w:rsidP="001F1A73">
      <w:pPr>
        <w:spacing w:line="276" w:lineRule="auto"/>
        <w:rPr>
          <w:rFonts w:ascii="Liberation Serif" w:hAnsi="Liberation Serif" w:cs="Liberation Serif"/>
        </w:rPr>
      </w:pPr>
    </w:p>
    <w:p w14:paraId="4C09055C" w14:textId="77777777" w:rsidR="003D7D6D" w:rsidRPr="001F1A73" w:rsidRDefault="003D7D6D" w:rsidP="001F1A73">
      <w:pPr>
        <w:spacing w:line="276" w:lineRule="auto"/>
        <w:rPr>
          <w:rFonts w:ascii="Liberation Serif" w:hAnsi="Liberation Serif" w:cs="Liberation Serif"/>
          <w:i/>
        </w:rPr>
      </w:pPr>
      <w:bookmarkStart w:id="0" w:name="_GoBack"/>
      <w:bookmarkEnd w:id="0"/>
      <w:r w:rsidRPr="001F1A73">
        <w:rPr>
          <w:rFonts w:ascii="Liberation Serif" w:hAnsi="Liberation Serif" w:cs="Liberation Serif"/>
          <w:i/>
        </w:rPr>
        <w:t>IV. Conclusion</w:t>
      </w:r>
    </w:p>
    <w:p w14:paraId="111F7769" w14:textId="77777777" w:rsidR="003D7D6D" w:rsidRPr="001F1A73" w:rsidRDefault="003D7D6D" w:rsidP="001F1A73">
      <w:pPr>
        <w:pStyle w:val="ListParagraph"/>
        <w:spacing w:line="276" w:lineRule="auto"/>
        <w:rPr>
          <w:rFonts w:ascii="Liberation Serif" w:hAnsi="Liberation Serif" w:cs="Liberation Serif"/>
        </w:rPr>
      </w:pPr>
    </w:p>
    <w:p w14:paraId="7F34BA94"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This case provides an understanding of the underlying economics of an industry and its relationship to average industry profits. The concentrate industry is, on average, more attractive than bottling.</w:t>
      </w:r>
    </w:p>
    <w:p w14:paraId="24E6ABE4" w14:textId="77777777" w:rsidR="00E81026" w:rsidRPr="001F1A73" w:rsidRDefault="00E81026" w:rsidP="001F1A73">
      <w:pPr>
        <w:spacing w:line="276" w:lineRule="auto"/>
        <w:rPr>
          <w:rFonts w:ascii="Liberation Serif" w:hAnsi="Liberation Serif" w:cs="Liberation Serif"/>
        </w:rPr>
      </w:pPr>
    </w:p>
    <w:p w14:paraId="405D0180"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Entry into the concentrate industry is limited by barriers to entry:</w:t>
      </w:r>
    </w:p>
    <w:p w14:paraId="4B0F63C4"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t>Brand Equity</w:t>
      </w:r>
    </w:p>
    <w:p w14:paraId="28732EFF"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t>Bottling/Franchise System</w:t>
      </w:r>
    </w:p>
    <w:p w14:paraId="65DEA97A"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t>Limited Shelf Space</w:t>
      </w:r>
    </w:p>
    <w:p w14:paraId="2A189A0B" w14:textId="77777777" w:rsidR="00E81026" w:rsidRPr="001F1A73" w:rsidRDefault="00E81026" w:rsidP="001F1A73">
      <w:pPr>
        <w:spacing w:line="276" w:lineRule="auto"/>
        <w:rPr>
          <w:rFonts w:ascii="Liberation Serif" w:hAnsi="Liberation Serif" w:cs="Liberation Serif"/>
        </w:rPr>
      </w:pPr>
    </w:p>
    <w:p w14:paraId="0CDA60FB"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Relative to bottling, concentrate has:</w:t>
      </w:r>
    </w:p>
    <w:p w14:paraId="30C72D83" w14:textId="5DEFBAF9"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r>
    </w:p>
    <w:p w14:paraId="6429DA7F"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t>Greater bargaining power over suppliers and buyers</w:t>
      </w:r>
    </w:p>
    <w:p w14:paraId="34B02729" w14:textId="77777777" w:rsidR="00E81026" w:rsidRPr="001F1A73" w:rsidRDefault="00E81026" w:rsidP="001F1A73">
      <w:pPr>
        <w:spacing w:line="276" w:lineRule="auto"/>
        <w:rPr>
          <w:rFonts w:ascii="Liberation Serif" w:hAnsi="Liberation Serif" w:cs="Liberation Serif"/>
        </w:rPr>
      </w:pPr>
      <w:r w:rsidRPr="001F1A73">
        <w:rPr>
          <w:rFonts w:ascii="Liberation Serif" w:hAnsi="Liberation Serif" w:cs="Liberation Serif"/>
        </w:rPr>
        <w:tab/>
        <w:t>A more attractive industry structure overall</w:t>
      </w:r>
    </w:p>
    <w:p w14:paraId="64DB0E62" w14:textId="77777777" w:rsidR="003D7D6D" w:rsidRPr="001F1A73" w:rsidRDefault="003D7D6D" w:rsidP="001F1A73">
      <w:pPr>
        <w:pStyle w:val="ListParagraph"/>
        <w:spacing w:line="276" w:lineRule="auto"/>
        <w:rPr>
          <w:rFonts w:ascii="Liberation Serif" w:hAnsi="Liberation Serif" w:cs="Liberation Serif"/>
        </w:rPr>
      </w:pPr>
    </w:p>
    <w:p w14:paraId="42C3B22C" w14:textId="77777777" w:rsidR="00F50108" w:rsidRPr="001F1A73" w:rsidRDefault="00F50108" w:rsidP="001F1A73">
      <w:pPr>
        <w:spacing w:line="276" w:lineRule="auto"/>
        <w:rPr>
          <w:rFonts w:ascii="Liberation Serif" w:hAnsi="Liberation Serif" w:cs="Liberation Serif"/>
        </w:rPr>
      </w:pPr>
    </w:p>
    <w:sectPr w:rsidR="00F50108" w:rsidRPr="001F1A73" w:rsidSect="00026E03">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612E8" w14:textId="77777777" w:rsidR="001F1A73" w:rsidRDefault="001F1A73" w:rsidP="001F1A73">
      <w:r>
        <w:separator/>
      </w:r>
    </w:p>
  </w:endnote>
  <w:endnote w:type="continuationSeparator" w:id="0">
    <w:p w14:paraId="62364D58" w14:textId="77777777" w:rsidR="001F1A73" w:rsidRDefault="001F1A73" w:rsidP="001F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Liberation Serif">
    <w:panose1 w:val="02020603050405020304"/>
    <w:charset w:val="00"/>
    <w:family w:val="roman"/>
    <w:pitch w:val="variable"/>
    <w:sig w:usb0="E0000AFF" w:usb1="500078FF" w:usb2="00000021" w:usb3="00000000" w:csb0="000001BF" w:csb1="00000000"/>
  </w:font>
  <w:font w:name="Liberation Sans">
    <w:panose1 w:val="020B0604020202020204"/>
    <w:charset w:val="00"/>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iberation Sans" w:hAnsi="Liberation Sans" w:cs="Liberation Sans"/>
        <w:sz w:val="18"/>
      </w:rPr>
      <w:id w:val="1735963393"/>
      <w:docPartObj>
        <w:docPartGallery w:val="Page Numbers (Bottom of Page)"/>
        <w:docPartUnique/>
      </w:docPartObj>
    </w:sdtPr>
    <w:sdtContent>
      <w:p w14:paraId="6B83D961" w14:textId="613102BE" w:rsidR="001F1A73" w:rsidRPr="001F1A73" w:rsidRDefault="001F1A73" w:rsidP="001F1A73">
        <w:pPr>
          <w:pStyle w:val="Footer"/>
          <w:tabs>
            <w:tab w:val="right" w:pos="8640"/>
          </w:tabs>
          <w:jc w:val="right"/>
          <w:rPr>
            <w:rFonts w:ascii="Liberation Sans" w:hAnsi="Liberation Sans" w:cs="Liberation Sans"/>
            <w:sz w:val="18"/>
          </w:rPr>
        </w:pPr>
        <w:r>
          <w:rPr>
            <w:rFonts w:ascii="Liberation Sans" w:hAnsi="Liberation Sans" w:cs="Liberation Sans"/>
            <w:sz w:val="18"/>
          </w:rPr>
          <w:t>Copyright ©2015 John Wiley &amp; Sons, Inc.</w:t>
        </w:r>
        <w:r>
          <w:rPr>
            <w:rFonts w:ascii="Liberation Sans" w:hAnsi="Liberation Sans" w:cs="Liberation Sans"/>
            <w:sz w:val="18"/>
          </w:rPr>
          <w:tab/>
        </w:r>
        <w:r>
          <w:rPr>
            <w:rFonts w:ascii="Liberation Sans" w:hAnsi="Liberation Sans" w:cs="Liberation Sans"/>
            <w:sz w:val="18"/>
          </w:rPr>
          <w:tab/>
          <w:t xml:space="preserve">Case </w:t>
        </w:r>
        <w:r>
          <w:rPr>
            <w:rFonts w:ascii="Liberation Sans" w:hAnsi="Liberation Sans" w:cs="Liberation Sans"/>
            <w:sz w:val="18"/>
          </w:rPr>
          <w:t>2</w:t>
        </w:r>
        <w:r>
          <w:rPr>
            <w:rFonts w:ascii="Liberation Sans" w:hAnsi="Liberation Sans" w:cs="Liberation Sans"/>
            <w:sz w:val="18"/>
          </w:rPr>
          <w:t xml:space="preserve"> - </w:t>
        </w:r>
        <w:r>
          <w:rPr>
            <w:rFonts w:ascii="Liberation Sans" w:hAnsi="Liberation Sans" w:cs="Liberation Sans"/>
            <w:sz w:val="18"/>
          </w:rPr>
          <w:fldChar w:fldCharType="begin"/>
        </w:r>
        <w:r>
          <w:rPr>
            <w:rFonts w:ascii="Liberation Sans" w:hAnsi="Liberation Sans" w:cs="Liberation Sans"/>
            <w:sz w:val="18"/>
          </w:rPr>
          <w:instrText xml:space="preserve"> PAGE   \* MERGEFORMAT </w:instrText>
        </w:r>
        <w:r>
          <w:rPr>
            <w:rFonts w:ascii="Liberation Sans" w:hAnsi="Liberation Sans" w:cs="Liberation Sans"/>
            <w:sz w:val="18"/>
          </w:rPr>
          <w:fldChar w:fldCharType="separate"/>
        </w:r>
        <w:r>
          <w:rPr>
            <w:rFonts w:ascii="Liberation Sans" w:hAnsi="Liberation Sans" w:cs="Liberation Sans"/>
            <w:noProof/>
            <w:sz w:val="18"/>
          </w:rPr>
          <w:t>6</w:t>
        </w:r>
        <w:r>
          <w:rPr>
            <w:rFonts w:ascii="Liberation Sans" w:hAnsi="Liberation Sans" w:cs="Liberation Sans"/>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DB817" w14:textId="77777777" w:rsidR="001F1A73" w:rsidRDefault="001F1A73" w:rsidP="001F1A73">
      <w:r>
        <w:separator/>
      </w:r>
    </w:p>
  </w:footnote>
  <w:footnote w:type="continuationSeparator" w:id="0">
    <w:p w14:paraId="60FB795E" w14:textId="77777777" w:rsidR="001F1A73" w:rsidRDefault="001F1A73" w:rsidP="001F1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61EFE" w14:textId="5530E6C8" w:rsidR="001F1A73" w:rsidRPr="001F1A73" w:rsidRDefault="001F1A73" w:rsidP="001F1A73">
    <w:pPr>
      <w:pStyle w:val="Header"/>
      <w:tabs>
        <w:tab w:val="right" w:pos="8640"/>
      </w:tabs>
      <w:rPr>
        <w:rFonts w:ascii="Liberation Sans" w:hAnsi="Liberation Sans" w:cs="Liberation Sans"/>
        <w:sz w:val="20"/>
      </w:rPr>
    </w:pPr>
    <w:r>
      <w:rPr>
        <w:rFonts w:ascii="Liberation Sans" w:hAnsi="Liberation Sans" w:cs="Liberation Sans"/>
        <w:i/>
        <w:sz w:val="20"/>
      </w:rPr>
      <w:t>Strategic Management</w:t>
    </w:r>
    <w:r>
      <w:rPr>
        <w:rFonts w:ascii="Liberation Sans" w:hAnsi="Liberation Sans" w:cs="Liberation Sans"/>
        <w:sz w:val="20"/>
      </w:rPr>
      <w:t xml:space="preserve"> Case Notes</w:t>
    </w:r>
    <w:r>
      <w:rPr>
        <w:rFonts w:ascii="Liberation Sans" w:hAnsi="Liberation Sans" w:cs="Liberation Sans"/>
        <w:sz w:val="20"/>
      </w:rPr>
      <w:tab/>
    </w:r>
    <w:r>
      <w:rPr>
        <w:rFonts w:ascii="Liberation Sans" w:hAnsi="Liberation Sans" w:cs="Liberation Sans"/>
        <w:sz w:val="20"/>
      </w:rPr>
      <w:tab/>
      <w:t xml:space="preserve">Case </w:t>
    </w:r>
    <w:r>
      <w:rPr>
        <w:rFonts w:ascii="Liberation Sans" w:hAnsi="Liberation Sans" w:cs="Liberation Sans"/>
        <w:sz w:val="20"/>
      </w:rPr>
      <w:t>2</w:t>
    </w:r>
    <w:r>
      <w:rPr>
        <w:rFonts w:ascii="Liberation Sans" w:hAnsi="Liberation Sans" w:cs="Liberation Sans"/>
        <w:sz w:val="20"/>
      </w:rPr>
      <w:t xml:space="preserve">: </w:t>
    </w:r>
    <w:r>
      <w:rPr>
        <w:rFonts w:ascii="Liberation Sans" w:hAnsi="Liberation Sans" w:cs="Liberation Sans"/>
        <w:sz w:val="20"/>
      </w:rPr>
      <w:t>Coca-Cola and Pepsi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D08B7"/>
    <w:multiLevelType w:val="hybridMultilevel"/>
    <w:tmpl w:val="DB1C6D3E"/>
    <w:lvl w:ilvl="0" w:tplc="61464E58">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161EC"/>
    <w:multiLevelType w:val="hybridMultilevel"/>
    <w:tmpl w:val="F498F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10643"/>
    <w:multiLevelType w:val="hybridMultilevel"/>
    <w:tmpl w:val="DF1E0B2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8F2FF8"/>
    <w:multiLevelType w:val="hybridMultilevel"/>
    <w:tmpl w:val="D88C2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F764E8"/>
    <w:multiLevelType w:val="hybridMultilevel"/>
    <w:tmpl w:val="C7221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95A21"/>
    <w:multiLevelType w:val="hybridMultilevel"/>
    <w:tmpl w:val="E128632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61505B"/>
    <w:multiLevelType w:val="hybridMultilevel"/>
    <w:tmpl w:val="E4A67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197BB0"/>
    <w:multiLevelType w:val="hybridMultilevel"/>
    <w:tmpl w:val="484CF3A4"/>
    <w:lvl w:ilvl="0" w:tplc="BBAEB73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8F2B37"/>
    <w:multiLevelType w:val="hybridMultilevel"/>
    <w:tmpl w:val="1B0C0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D1748"/>
    <w:multiLevelType w:val="hybridMultilevel"/>
    <w:tmpl w:val="CB66A782"/>
    <w:lvl w:ilvl="0" w:tplc="F6C69F90">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116088"/>
    <w:multiLevelType w:val="hybridMultilevel"/>
    <w:tmpl w:val="96B052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17043"/>
    <w:multiLevelType w:val="hybridMultilevel"/>
    <w:tmpl w:val="F7F4CE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9AE7867"/>
    <w:multiLevelType w:val="hybridMultilevel"/>
    <w:tmpl w:val="96B052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3A035A"/>
    <w:multiLevelType w:val="hybridMultilevel"/>
    <w:tmpl w:val="70A6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3733C9"/>
    <w:multiLevelType w:val="hybridMultilevel"/>
    <w:tmpl w:val="B4C0A0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D197A53"/>
    <w:multiLevelType w:val="hybridMultilevel"/>
    <w:tmpl w:val="66E02F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720811"/>
    <w:multiLevelType w:val="hybridMultilevel"/>
    <w:tmpl w:val="FF26E6EC"/>
    <w:lvl w:ilvl="0" w:tplc="300CA07A">
      <w:start w:val="1"/>
      <w:numFmt w:val="upperRoman"/>
      <w:lvlText w:val="%1."/>
      <w:lvlJc w:val="left"/>
      <w:pPr>
        <w:ind w:left="720" w:hanging="72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B4355DB"/>
    <w:multiLevelType w:val="hybridMultilevel"/>
    <w:tmpl w:val="0A12C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4A66E1"/>
    <w:multiLevelType w:val="hybridMultilevel"/>
    <w:tmpl w:val="15A25B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6E338E"/>
    <w:multiLevelType w:val="multilevel"/>
    <w:tmpl w:val="0409001D"/>
    <w:styleLink w:val="Style1"/>
    <w:lvl w:ilvl="0">
      <w:start w:val="1"/>
      <w:numFmt w:val="upperRoman"/>
      <w:lvlText w:val="%1"/>
      <w:lvlJc w:val="left"/>
      <w:pPr>
        <w:ind w:left="360" w:hanging="360"/>
      </w:pPr>
      <w:rPr>
        <w:rFonts w:ascii="Times New Roman" w:hAnsi="Times New Roman" w:hint="default"/>
      </w:r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8A52B98"/>
    <w:multiLevelType w:val="hybridMultilevel"/>
    <w:tmpl w:val="3DB82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A33ECC"/>
    <w:multiLevelType w:val="hybridMultilevel"/>
    <w:tmpl w:val="CCC2E4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13"/>
  </w:num>
  <w:num w:numId="3">
    <w:abstractNumId w:val="6"/>
  </w:num>
  <w:num w:numId="4">
    <w:abstractNumId w:val="18"/>
  </w:num>
  <w:num w:numId="5">
    <w:abstractNumId w:val="3"/>
  </w:num>
  <w:num w:numId="6">
    <w:abstractNumId w:val="4"/>
  </w:num>
  <w:num w:numId="7">
    <w:abstractNumId w:val="2"/>
  </w:num>
  <w:num w:numId="8">
    <w:abstractNumId w:val="5"/>
  </w:num>
  <w:num w:numId="9">
    <w:abstractNumId w:val="8"/>
  </w:num>
  <w:num w:numId="10">
    <w:abstractNumId w:val="14"/>
  </w:num>
  <w:num w:numId="11">
    <w:abstractNumId w:val="17"/>
  </w:num>
  <w:num w:numId="12">
    <w:abstractNumId w:val="12"/>
  </w:num>
  <w:num w:numId="13">
    <w:abstractNumId w:val="20"/>
  </w:num>
  <w:num w:numId="14">
    <w:abstractNumId w:val="10"/>
  </w:num>
  <w:num w:numId="15">
    <w:abstractNumId w:val="11"/>
  </w:num>
  <w:num w:numId="16">
    <w:abstractNumId w:val="21"/>
  </w:num>
  <w:num w:numId="17">
    <w:abstractNumId w:val="15"/>
  </w:num>
  <w:num w:numId="18">
    <w:abstractNumId w:val="1"/>
  </w:num>
  <w:num w:numId="19">
    <w:abstractNumId w:val="0"/>
  </w:num>
  <w:num w:numId="20">
    <w:abstractNumId w:val="16"/>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F1D"/>
    <w:rsid w:val="00022711"/>
    <w:rsid w:val="00026E03"/>
    <w:rsid w:val="000A52D9"/>
    <w:rsid w:val="0011317E"/>
    <w:rsid w:val="00122945"/>
    <w:rsid w:val="0012783A"/>
    <w:rsid w:val="00173393"/>
    <w:rsid w:val="001A5D04"/>
    <w:rsid w:val="001A7DDB"/>
    <w:rsid w:val="001C5C0A"/>
    <w:rsid w:val="001D45E6"/>
    <w:rsid w:val="001F1A73"/>
    <w:rsid w:val="00257E7A"/>
    <w:rsid w:val="00262326"/>
    <w:rsid w:val="002636E1"/>
    <w:rsid w:val="002A59E1"/>
    <w:rsid w:val="002B2415"/>
    <w:rsid w:val="00300AB7"/>
    <w:rsid w:val="00357D83"/>
    <w:rsid w:val="00387F8C"/>
    <w:rsid w:val="003A6E90"/>
    <w:rsid w:val="003D7A35"/>
    <w:rsid w:val="003D7D6D"/>
    <w:rsid w:val="003E7C90"/>
    <w:rsid w:val="003F2F1D"/>
    <w:rsid w:val="003F3F92"/>
    <w:rsid w:val="004173C1"/>
    <w:rsid w:val="00433657"/>
    <w:rsid w:val="00440674"/>
    <w:rsid w:val="004722A4"/>
    <w:rsid w:val="004837B6"/>
    <w:rsid w:val="00490E6A"/>
    <w:rsid w:val="004A741F"/>
    <w:rsid w:val="004C761E"/>
    <w:rsid w:val="00560074"/>
    <w:rsid w:val="0056574F"/>
    <w:rsid w:val="005B5880"/>
    <w:rsid w:val="005C46E5"/>
    <w:rsid w:val="005D6C41"/>
    <w:rsid w:val="00611D0E"/>
    <w:rsid w:val="0066409C"/>
    <w:rsid w:val="006B35DE"/>
    <w:rsid w:val="006C01D8"/>
    <w:rsid w:val="006C0F73"/>
    <w:rsid w:val="006F4CA9"/>
    <w:rsid w:val="00704F76"/>
    <w:rsid w:val="00713CA9"/>
    <w:rsid w:val="007226AB"/>
    <w:rsid w:val="00734272"/>
    <w:rsid w:val="00745020"/>
    <w:rsid w:val="00755380"/>
    <w:rsid w:val="00765900"/>
    <w:rsid w:val="0078443B"/>
    <w:rsid w:val="0079587F"/>
    <w:rsid w:val="007B3A89"/>
    <w:rsid w:val="0080075C"/>
    <w:rsid w:val="0080434C"/>
    <w:rsid w:val="0089327E"/>
    <w:rsid w:val="008A2454"/>
    <w:rsid w:val="008D750B"/>
    <w:rsid w:val="008F5050"/>
    <w:rsid w:val="00930E1C"/>
    <w:rsid w:val="009312D2"/>
    <w:rsid w:val="00933227"/>
    <w:rsid w:val="00941FDF"/>
    <w:rsid w:val="00954448"/>
    <w:rsid w:val="00964176"/>
    <w:rsid w:val="009719AF"/>
    <w:rsid w:val="00982E7E"/>
    <w:rsid w:val="009B36F2"/>
    <w:rsid w:val="009C0BF1"/>
    <w:rsid w:val="009C1D0D"/>
    <w:rsid w:val="00A172F5"/>
    <w:rsid w:val="00A311BB"/>
    <w:rsid w:val="00A434BC"/>
    <w:rsid w:val="00A46197"/>
    <w:rsid w:val="00A47728"/>
    <w:rsid w:val="00A50443"/>
    <w:rsid w:val="00A87896"/>
    <w:rsid w:val="00A9793C"/>
    <w:rsid w:val="00AA76D2"/>
    <w:rsid w:val="00AF67E3"/>
    <w:rsid w:val="00B15CF4"/>
    <w:rsid w:val="00B2226E"/>
    <w:rsid w:val="00B45866"/>
    <w:rsid w:val="00B45CEC"/>
    <w:rsid w:val="00B70EB4"/>
    <w:rsid w:val="00B81963"/>
    <w:rsid w:val="00BC1893"/>
    <w:rsid w:val="00BC69F2"/>
    <w:rsid w:val="00BD75C8"/>
    <w:rsid w:val="00BE74C8"/>
    <w:rsid w:val="00C05963"/>
    <w:rsid w:val="00C406EF"/>
    <w:rsid w:val="00C507B2"/>
    <w:rsid w:val="00C56BE5"/>
    <w:rsid w:val="00C60D42"/>
    <w:rsid w:val="00C839EF"/>
    <w:rsid w:val="00CC00A8"/>
    <w:rsid w:val="00CC6092"/>
    <w:rsid w:val="00CC756D"/>
    <w:rsid w:val="00CD37E9"/>
    <w:rsid w:val="00D55C02"/>
    <w:rsid w:val="00D73FA3"/>
    <w:rsid w:val="00D82E6D"/>
    <w:rsid w:val="00D9157A"/>
    <w:rsid w:val="00DA7412"/>
    <w:rsid w:val="00E06BA4"/>
    <w:rsid w:val="00E54BE7"/>
    <w:rsid w:val="00E8063F"/>
    <w:rsid w:val="00E81026"/>
    <w:rsid w:val="00E9664B"/>
    <w:rsid w:val="00EE2849"/>
    <w:rsid w:val="00EF6E62"/>
    <w:rsid w:val="00F50108"/>
    <w:rsid w:val="00F5049F"/>
    <w:rsid w:val="00F82AC0"/>
    <w:rsid w:val="00FC25AB"/>
    <w:rsid w:val="00FC3FAE"/>
    <w:rsid w:val="00FD2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6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F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713CA9"/>
    <w:pPr>
      <w:numPr>
        <w:numId w:val="1"/>
      </w:numPr>
    </w:pPr>
  </w:style>
  <w:style w:type="paragraph" w:styleId="ListParagraph">
    <w:name w:val="List Paragraph"/>
    <w:basedOn w:val="Normal"/>
    <w:uiPriority w:val="34"/>
    <w:qFormat/>
    <w:rsid w:val="003F2F1D"/>
    <w:pPr>
      <w:ind w:left="720"/>
      <w:contextualSpacing/>
    </w:pPr>
  </w:style>
  <w:style w:type="table" w:styleId="TableGrid">
    <w:name w:val="Table Grid"/>
    <w:basedOn w:val="TableNormal"/>
    <w:uiPriority w:val="59"/>
    <w:rsid w:val="003F2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0F73"/>
    <w:rPr>
      <w:rFonts w:ascii="Lucida Grande" w:hAnsi="Lucida Grande"/>
      <w:sz w:val="18"/>
      <w:szCs w:val="18"/>
    </w:rPr>
  </w:style>
  <w:style w:type="character" w:customStyle="1" w:styleId="BalloonTextChar">
    <w:name w:val="Balloon Text Char"/>
    <w:basedOn w:val="DefaultParagraphFont"/>
    <w:link w:val="BalloonText"/>
    <w:uiPriority w:val="99"/>
    <w:semiHidden/>
    <w:rsid w:val="006C0F73"/>
    <w:rPr>
      <w:rFonts w:ascii="Lucida Grande" w:hAnsi="Lucida Grande"/>
      <w:sz w:val="18"/>
      <w:szCs w:val="18"/>
    </w:rPr>
  </w:style>
  <w:style w:type="character" w:styleId="CommentReference">
    <w:name w:val="annotation reference"/>
    <w:basedOn w:val="DefaultParagraphFont"/>
    <w:uiPriority w:val="99"/>
    <w:semiHidden/>
    <w:unhideWhenUsed/>
    <w:rsid w:val="00941FDF"/>
    <w:rPr>
      <w:sz w:val="18"/>
      <w:szCs w:val="18"/>
    </w:rPr>
  </w:style>
  <w:style w:type="paragraph" w:styleId="CommentText">
    <w:name w:val="annotation text"/>
    <w:basedOn w:val="Normal"/>
    <w:link w:val="CommentTextChar"/>
    <w:uiPriority w:val="99"/>
    <w:semiHidden/>
    <w:unhideWhenUsed/>
    <w:rsid w:val="00941FDF"/>
  </w:style>
  <w:style w:type="character" w:customStyle="1" w:styleId="CommentTextChar">
    <w:name w:val="Comment Text Char"/>
    <w:basedOn w:val="DefaultParagraphFont"/>
    <w:link w:val="CommentText"/>
    <w:uiPriority w:val="99"/>
    <w:semiHidden/>
    <w:rsid w:val="00941FDF"/>
  </w:style>
  <w:style w:type="paragraph" w:styleId="CommentSubject">
    <w:name w:val="annotation subject"/>
    <w:basedOn w:val="CommentText"/>
    <w:next w:val="CommentText"/>
    <w:link w:val="CommentSubjectChar"/>
    <w:uiPriority w:val="99"/>
    <w:semiHidden/>
    <w:unhideWhenUsed/>
    <w:rsid w:val="00941FDF"/>
    <w:rPr>
      <w:b/>
      <w:bCs/>
      <w:sz w:val="20"/>
      <w:szCs w:val="20"/>
    </w:rPr>
  </w:style>
  <w:style w:type="character" w:customStyle="1" w:styleId="CommentSubjectChar">
    <w:name w:val="Comment Subject Char"/>
    <w:basedOn w:val="CommentTextChar"/>
    <w:link w:val="CommentSubject"/>
    <w:uiPriority w:val="99"/>
    <w:semiHidden/>
    <w:rsid w:val="00941FDF"/>
    <w:rPr>
      <w:b/>
      <w:bCs/>
      <w:sz w:val="20"/>
      <w:szCs w:val="20"/>
    </w:rPr>
  </w:style>
  <w:style w:type="paragraph" w:styleId="Header">
    <w:name w:val="header"/>
    <w:basedOn w:val="Normal"/>
    <w:link w:val="HeaderChar"/>
    <w:uiPriority w:val="99"/>
    <w:unhideWhenUsed/>
    <w:rsid w:val="001F1A73"/>
    <w:pPr>
      <w:tabs>
        <w:tab w:val="center" w:pos="4680"/>
        <w:tab w:val="right" w:pos="9360"/>
      </w:tabs>
    </w:pPr>
  </w:style>
  <w:style w:type="character" w:customStyle="1" w:styleId="HeaderChar">
    <w:name w:val="Header Char"/>
    <w:basedOn w:val="DefaultParagraphFont"/>
    <w:link w:val="Header"/>
    <w:uiPriority w:val="99"/>
    <w:rsid w:val="001F1A73"/>
  </w:style>
  <w:style w:type="paragraph" w:styleId="Footer">
    <w:name w:val="footer"/>
    <w:basedOn w:val="Normal"/>
    <w:link w:val="FooterChar"/>
    <w:uiPriority w:val="99"/>
    <w:unhideWhenUsed/>
    <w:rsid w:val="001F1A73"/>
    <w:pPr>
      <w:tabs>
        <w:tab w:val="center" w:pos="4680"/>
        <w:tab w:val="right" w:pos="9360"/>
      </w:tabs>
    </w:pPr>
  </w:style>
  <w:style w:type="character" w:customStyle="1" w:styleId="FooterChar">
    <w:name w:val="Footer Char"/>
    <w:basedOn w:val="DefaultParagraphFont"/>
    <w:link w:val="Footer"/>
    <w:uiPriority w:val="99"/>
    <w:rsid w:val="001F1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F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713CA9"/>
    <w:pPr>
      <w:numPr>
        <w:numId w:val="1"/>
      </w:numPr>
    </w:pPr>
  </w:style>
  <w:style w:type="paragraph" w:styleId="ListParagraph">
    <w:name w:val="List Paragraph"/>
    <w:basedOn w:val="Normal"/>
    <w:uiPriority w:val="34"/>
    <w:qFormat/>
    <w:rsid w:val="003F2F1D"/>
    <w:pPr>
      <w:ind w:left="720"/>
      <w:contextualSpacing/>
    </w:pPr>
  </w:style>
  <w:style w:type="table" w:styleId="TableGrid">
    <w:name w:val="Table Grid"/>
    <w:basedOn w:val="TableNormal"/>
    <w:uiPriority w:val="59"/>
    <w:rsid w:val="003F2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0F73"/>
    <w:rPr>
      <w:rFonts w:ascii="Lucida Grande" w:hAnsi="Lucida Grande"/>
      <w:sz w:val="18"/>
      <w:szCs w:val="18"/>
    </w:rPr>
  </w:style>
  <w:style w:type="character" w:customStyle="1" w:styleId="BalloonTextChar">
    <w:name w:val="Balloon Text Char"/>
    <w:basedOn w:val="DefaultParagraphFont"/>
    <w:link w:val="BalloonText"/>
    <w:uiPriority w:val="99"/>
    <w:semiHidden/>
    <w:rsid w:val="006C0F73"/>
    <w:rPr>
      <w:rFonts w:ascii="Lucida Grande" w:hAnsi="Lucida Grande"/>
      <w:sz w:val="18"/>
      <w:szCs w:val="18"/>
    </w:rPr>
  </w:style>
  <w:style w:type="character" w:styleId="CommentReference">
    <w:name w:val="annotation reference"/>
    <w:basedOn w:val="DefaultParagraphFont"/>
    <w:uiPriority w:val="99"/>
    <w:semiHidden/>
    <w:unhideWhenUsed/>
    <w:rsid w:val="00941FDF"/>
    <w:rPr>
      <w:sz w:val="18"/>
      <w:szCs w:val="18"/>
    </w:rPr>
  </w:style>
  <w:style w:type="paragraph" w:styleId="CommentText">
    <w:name w:val="annotation text"/>
    <w:basedOn w:val="Normal"/>
    <w:link w:val="CommentTextChar"/>
    <w:uiPriority w:val="99"/>
    <w:semiHidden/>
    <w:unhideWhenUsed/>
    <w:rsid w:val="00941FDF"/>
  </w:style>
  <w:style w:type="character" w:customStyle="1" w:styleId="CommentTextChar">
    <w:name w:val="Comment Text Char"/>
    <w:basedOn w:val="DefaultParagraphFont"/>
    <w:link w:val="CommentText"/>
    <w:uiPriority w:val="99"/>
    <w:semiHidden/>
    <w:rsid w:val="00941FDF"/>
  </w:style>
  <w:style w:type="paragraph" w:styleId="CommentSubject">
    <w:name w:val="annotation subject"/>
    <w:basedOn w:val="CommentText"/>
    <w:next w:val="CommentText"/>
    <w:link w:val="CommentSubjectChar"/>
    <w:uiPriority w:val="99"/>
    <w:semiHidden/>
    <w:unhideWhenUsed/>
    <w:rsid w:val="00941FDF"/>
    <w:rPr>
      <w:b/>
      <w:bCs/>
      <w:sz w:val="20"/>
      <w:szCs w:val="20"/>
    </w:rPr>
  </w:style>
  <w:style w:type="character" w:customStyle="1" w:styleId="CommentSubjectChar">
    <w:name w:val="Comment Subject Char"/>
    <w:basedOn w:val="CommentTextChar"/>
    <w:link w:val="CommentSubject"/>
    <w:uiPriority w:val="99"/>
    <w:semiHidden/>
    <w:rsid w:val="00941FDF"/>
    <w:rPr>
      <w:b/>
      <w:bCs/>
      <w:sz w:val="20"/>
      <w:szCs w:val="20"/>
    </w:rPr>
  </w:style>
  <w:style w:type="paragraph" w:styleId="Header">
    <w:name w:val="header"/>
    <w:basedOn w:val="Normal"/>
    <w:link w:val="HeaderChar"/>
    <w:uiPriority w:val="99"/>
    <w:unhideWhenUsed/>
    <w:rsid w:val="001F1A73"/>
    <w:pPr>
      <w:tabs>
        <w:tab w:val="center" w:pos="4680"/>
        <w:tab w:val="right" w:pos="9360"/>
      </w:tabs>
    </w:pPr>
  </w:style>
  <w:style w:type="character" w:customStyle="1" w:styleId="HeaderChar">
    <w:name w:val="Header Char"/>
    <w:basedOn w:val="DefaultParagraphFont"/>
    <w:link w:val="Header"/>
    <w:uiPriority w:val="99"/>
    <w:rsid w:val="001F1A73"/>
  </w:style>
  <w:style w:type="paragraph" w:styleId="Footer">
    <w:name w:val="footer"/>
    <w:basedOn w:val="Normal"/>
    <w:link w:val="FooterChar"/>
    <w:uiPriority w:val="99"/>
    <w:unhideWhenUsed/>
    <w:rsid w:val="001F1A73"/>
    <w:pPr>
      <w:tabs>
        <w:tab w:val="center" w:pos="4680"/>
        <w:tab w:val="right" w:pos="9360"/>
      </w:tabs>
    </w:pPr>
  </w:style>
  <w:style w:type="character" w:customStyle="1" w:styleId="FooterChar">
    <w:name w:val="Footer Char"/>
    <w:basedOn w:val="DefaultParagraphFont"/>
    <w:link w:val="Footer"/>
    <w:uiPriority w:val="99"/>
    <w:rsid w:val="001F1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055700">
      <w:bodyDiv w:val="1"/>
      <w:marLeft w:val="0"/>
      <w:marRight w:val="0"/>
      <w:marTop w:val="0"/>
      <w:marBottom w:val="0"/>
      <w:divBdr>
        <w:top w:val="none" w:sz="0" w:space="0" w:color="auto"/>
        <w:left w:val="none" w:sz="0" w:space="0" w:color="auto"/>
        <w:bottom w:val="none" w:sz="0" w:space="0" w:color="auto"/>
        <w:right w:val="none" w:sz="0" w:space="0" w:color="auto"/>
      </w:divBdr>
    </w:div>
    <w:div w:id="737942525">
      <w:bodyDiv w:val="1"/>
      <w:marLeft w:val="0"/>
      <w:marRight w:val="0"/>
      <w:marTop w:val="0"/>
      <w:marBottom w:val="0"/>
      <w:divBdr>
        <w:top w:val="none" w:sz="0" w:space="0" w:color="auto"/>
        <w:left w:val="none" w:sz="0" w:space="0" w:color="auto"/>
        <w:bottom w:val="none" w:sz="0" w:space="0" w:color="auto"/>
        <w:right w:val="none" w:sz="0" w:space="0" w:color="auto"/>
      </w:divBdr>
    </w:div>
    <w:div w:id="967854184">
      <w:bodyDiv w:val="1"/>
      <w:marLeft w:val="0"/>
      <w:marRight w:val="0"/>
      <w:marTop w:val="0"/>
      <w:marBottom w:val="0"/>
      <w:divBdr>
        <w:top w:val="none" w:sz="0" w:space="0" w:color="auto"/>
        <w:left w:val="none" w:sz="0" w:space="0" w:color="auto"/>
        <w:bottom w:val="none" w:sz="0" w:space="0" w:color="auto"/>
        <w:right w:val="none" w:sz="0" w:space="0" w:color="auto"/>
      </w:divBdr>
      <w:divsChild>
        <w:div w:id="1805614932">
          <w:marLeft w:val="0"/>
          <w:marRight w:val="0"/>
          <w:marTop w:val="0"/>
          <w:marBottom w:val="0"/>
          <w:divBdr>
            <w:top w:val="thinThickLargeGap" w:sz="6" w:space="0" w:color="auto"/>
            <w:left w:val="none" w:sz="0" w:space="0" w:color="auto"/>
            <w:bottom w:val="none" w:sz="0" w:space="0" w:color="auto"/>
            <w:right w:val="none" w:sz="0" w:space="0" w:color="auto"/>
          </w:divBdr>
        </w:div>
        <w:div w:id="1664506148">
          <w:marLeft w:val="0"/>
          <w:marRight w:val="0"/>
          <w:marTop w:val="0"/>
          <w:marBottom w:val="0"/>
          <w:divBdr>
            <w:top w:val="none" w:sz="0" w:space="0" w:color="auto"/>
            <w:left w:val="none" w:sz="0" w:space="0" w:color="auto"/>
            <w:bottom w:val="single" w:sz="4" w:space="1" w:color="auto"/>
            <w:right w:val="none" w:sz="0" w:space="0" w:color="auto"/>
          </w:divBdr>
        </w:div>
        <w:div w:id="606741368">
          <w:marLeft w:val="0"/>
          <w:marRight w:val="0"/>
          <w:marTop w:val="0"/>
          <w:marBottom w:val="0"/>
          <w:divBdr>
            <w:top w:val="none" w:sz="0" w:space="0" w:color="auto"/>
            <w:left w:val="none" w:sz="0" w:space="0" w:color="auto"/>
            <w:bottom w:val="single" w:sz="4" w:space="1" w:color="auto"/>
            <w:right w:val="none" w:sz="0" w:space="0" w:color="auto"/>
          </w:divBdr>
        </w:div>
        <w:div w:id="1204055576">
          <w:marLeft w:val="0"/>
          <w:marRight w:val="0"/>
          <w:marTop w:val="0"/>
          <w:marBottom w:val="0"/>
          <w:divBdr>
            <w:top w:val="none" w:sz="0" w:space="0" w:color="auto"/>
            <w:left w:val="none" w:sz="0" w:space="0" w:color="auto"/>
            <w:bottom w:val="single" w:sz="4" w:space="1" w:color="auto"/>
            <w:right w:val="none" w:sz="0" w:space="0" w:color="auto"/>
          </w:divBdr>
        </w:div>
        <w:div w:id="852643647">
          <w:marLeft w:val="0"/>
          <w:marRight w:val="0"/>
          <w:marTop w:val="0"/>
          <w:marBottom w:val="0"/>
          <w:divBdr>
            <w:top w:val="none" w:sz="0" w:space="0" w:color="auto"/>
            <w:left w:val="none" w:sz="0" w:space="0" w:color="auto"/>
            <w:bottom w:val="single" w:sz="4" w:space="1"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09551-6607-40FA-A3A9-71438786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Brigham Young University</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 Brand</dc:creator>
  <cp:lastModifiedBy>WileyService</cp:lastModifiedBy>
  <cp:revision>3</cp:revision>
  <dcterms:created xsi:type="dcterms:W3CDTF">2014-10-31T18:56:00Z</dcterms:created>
  <dcterms:modified xsi:type="dcterms:W3CDTF">2015-01-05T18:27:00Z</dcterms:modified>
</cp:coreProperties>
</file>