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0C" w:rsidRPr="004A6608" w:rsidRDefault="0089700C" w:rsidP="0089700C">
      <w:pPr>
        <w:pStyle w:val="ListParagraph"/>
        <w:numPr>
          <w:ilvl w:val="0"/>
          <w:numId w:val="23"/>
        </w:numPr>
        <w:spacing w:after="200" w:line="276" w:lineRule="auto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Stephen purchased a video game console five years ago for $500. In order to raise money for the “latest and greatest” console, Stephen sold his original console for $100. Because of advances in technology, Stephen can purchase the new console for $400. What is the tax treatment of Stephen’s sale of his console?</w:t>
      </w:r>
    </w:p>
    <w:p w:rsidR="0089700C" w:rsidRPr="004A6608" w:rsidRDefault="0089700C" w:rsidP="0089700C">
      <w:pPr>
        <w:pStyle w:val="ListParagraph"/>
        <w:ind w:left="360"/>
        <w:rPr>
          <w:rFonts w:ascii="Calibri" w:hAnsi="Calibri"/>
          <w:sz w:val="24"/>
          <w:szCs w:val="24"/>
        </w:rPr>
      </w:pPr>
    </w:p>
    <w:p w:rsidR="0089700C" w:rsidRPr="004A6608" w:rsidRDefault="0089700C" w:rsidP="0089700C">
      <w:pPr>
        <w:pStyle w:val="ListParagraph"/>
        <w:numPr>
          <w:ilvl w:val="0"/>
          <w:numId w:val="24"/>
        </w:numPr>
        <w:spacing w:after="200" w:line="276" w:lineRule="auto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Stephen recognizes a $400 loss.</w:t>
      </w:r>
    </w:p>
    <w:p w:rsidR="0089700C" w:rsidRPr="004A6608" w:rsidRDefault="0089700C" w:rsidP="0089700C">
      <w:pPr>
        <w:pStyle w:val="ListParagraph"/>
        <w:numPr>
          <w:ilvl w:val="0"/>
          <w:numId w:val="24"/>
        </w:numPr>
        <w:spacing w:after="200" w:line="276" w:lineRule="auto"/>
        <w:rPr>
          <w:rFonts w:ascii="Calibri" w:hAnsi="Calibri"/>
          <w:sz w:val="24"/>
          <w:szCs w:val="24"/>
        </w:rPr>
      </w:pPr>
      <w:bookmarkStart w:id="0" w:name="_GoBack"/>
      <w:r w:rsidRPr="004A6608">
        <w:rPr>
          <w:rFonts w:ascii="Calibri" w:hAnsi="Calibri"/>
          <w:sz w:val="24"/>
          <w:szCs w:val="24"/>
        </w:rPr>
        <w:t>Stephen does not report the sale.</w:t>
      </w:r>
    </w:p>
    <w:bookmarkEnd w:id="0"/>
    <w:p w:rsidR="0089700C" w:rsidRPr="004A6608" w:rsidRDefault="0089700C" w:rsidP="0089700C">
      <w:pPr>
        <w:pStyle w:val="ListParagraph"/>
        <w:numPr>
          <w:ilvl w:val="0"/>
          <w:numId w:val="24"/>
        </w:numPr>
        <w:spacing w:after="200" w:line="276" w:lineRule="auto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Stephen recognizes a $300 loss.</w:t>
      </w:r>
    </w:p>
    <w:p w:rsidR="0089700C" w:rsidRPr="004A6608" w:rsidRDefault="0089700C" w:rsidP="0089700C">
      <w:pPr>
        <w:pStyle w:val="ListParagraph"/>
        <w:numPr>
          <w:ilvl w:val="0"/>
          <w:numId w:val="24"/>
        </w:numPr>
        <w:spacing w:after="240" w:line="276" w:lineRule="auto"/>
        <w:contextualSpacing w:val="0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Stephen recognizes a $100 gain.</w:t>
      </w:r>
    </w:p>
    <w:p w:rsidR="0089700C" w:rsidRPr="004A6608" w:rsidRDefault="0089700C" w:rsidP="0089700C">
      <w:pPr>
        <w:pStyle w:val="ListParagraph"/>
        <w:numPr>
          <w:ilvl w:val="0"/>
          <w:numId w:val="25"/>
        </w:numPr>
        <w:spacing w:after="200" w:line="276" w:lineRule="auto"/>
        <w:ind w:hanging="360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Incorrect.  Gains and losses on the sale of nonbusiness personal property, such as a video game console, are calculated as the difference between the original cost and the sales price.  In general, although gains are taxable, losses are not deductible.  Stephen incurred a $400 loss, which is not deductible and, as a result, Stephen will not report the sale.</w:t>
      </w:r>
    </w:p>
    <w:p w:rsidR="0089700C" w:rsidRPr="004A6608" w:rsidRDefault="0089700C" w:rsidP="0089700C">
      <w:pPr>
        <w:pStyle w:val="ListParagraph"/>
        <w:numPr>
          <w:ilvl w:val="0"/>
          <w:numId w:val="25"/>
        </w:numPr>
        <w:spacing w:after="200" w:line="276" w:lineRule="auto"/>
        <w:ind w:hanging="360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b/>
          <w:sz w:val="24"/>
          <w:szCs w:val="24"/>
        </w:rPr>
        <w:t>Correct!</w:t>
      </w:r>
      <w:r w:rsidRPr="004A6608">
        <w:rPr>
          <w:rFonts w:ascii="Calibri" w:hAnsi="Calibri"/>
          <w:sz w:val="24"/>
          <w:szCs w:val="24"/>
        </w:rPr>
        <w:t xml:space="preserve">  Gains and losses on the sale of nonbusiness personal property, such as a video game console, are calculated as the difference between the original cost and the sales price.  In general, although gains are taxable, losses are not deductible.  Stephen incurred a $400 loss, which is not deductible and, as a result, Stephen will not report the sale.</w:t>
      </w:r>
    </w:p>
    <w:p w:rsidR="0089700C" w:rsidRPr="004A6608" w:rsidRDefault="0089700C" w:rsidP="0089700C">
      <w:pPr>
        <w:pStyle w:val="ListParagraph"/>
        <w:numPr>
          <w:ilvl w:val="0"/>
          <w:numId w:val="25"/>
        </w:numPr>
        <w:spacing w:after="200" w:line="276" w:lineRule="auto"/>
        <w:ind w:hanging="360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Incorrect.  Gains and losses on the sale of nonbusiness personal property, such as a video game console, are calculated as the difference between the original cost and the sales price.  In general, although gains are taxable, losses are not deductible.  Stephen incurred a $400 loss, which is not deductible and, as a result, Stephen will not report the sale.</w:t>
      </w:r>
    </w:p>
    <w:p w:rsidR="0089700C" w:rsidRDefault="0089700C" w:rsidP="0089700C">
      <w:pPr>
        <w:pStyle w:val="ListParagraph"/>
        <w:numPr>
          <w:ilvl w:val="0"/>
          <w:numId w:val="25"/>
        </w:numPr>
        <w:spacing w:after="200" w:line="276" w:lineRule="auto"/>
        <w:ind w:hanging="360"/>
        <w:rPr>
          <w:rFonts w:ascii="Calibri" w:hAnsi="Calibri"/>
          <w:sz w:val="24"/>
          <w:szCs w:val="24"/>
        </w:rPr>
      </w:pPr>
      <w:r w:rsidRPr="004A6608">
        <w:rPr>
          <w:rFonts w:ascii="Calibri" w:hAnsi="Calibri"/>
          <w:sz w:val="24"/>
          <w:szCs w:val="24"/>
        </w:rPr>
        <w:t>Incorrect.  Gains and losses on the sale of nonbusiness personal property, such as a video game console, are calculated as the difference between the original cost and the sales price.  In general, although gains are taxable, losses are not deductible.  Stephen incurred a $400 loss, which is not deductible and, as a result, Stephen will not report the sale.</w:t>
      </w:r>
    </w:p>
    <w:p w:rsidR="001A3F34" w:rsidRPr="00B1295E" w:rsidRDefault="001A3F34" w:rsidP="00B1295E">
      <w:pPr>
        <w:spacing w:after="0" w:line="240" w:lineRule="auto"/>
      </w:pPr>
    </w:p>
    <w:p w:rsidR="00880E63" w:rsidRPr="0089700C" w:rsidRDefault="00880E63" w:rsidP="0089700C">
      <w:pPr>
        <w:pStyle w:val="ListParagraph"/>
        <w:numPr>
          <w:ilvl w:val="0"/>
          <w:numId w:val="23"/>
        </w:numPr>
        <w:spacing w:after="0" w:line="240" w:lineRule="auto"/>
        <w:rPr>
          <w:w w:val="110"/>
        </w:rPr>
      </w:pPr>
      <w:r w:rsidRPr="0089700C">
        <w:rPr>
          <w:w w:val="110"/>
        </w:rPr>
        <w:t>Which of the following is excluded from gross income on an individual’s 2016 tax return?</w:t>
      </w:r>
    </w:p>
    <w:p w:rsidR="00660EA6" w:rsidRPr="00B1295E" w:rsidRDefault="00660EA6" w:rsidP="00B1295E">
      <w:pPr>
        <w:pStyle w:val="ListParagraph"/>
        <w:spacing w:after="0" w:line="240" w:lineRule="auto"/>
        <w:rPr>
          <w:w w:val="110"/>
        </w:rPr>
      </w:pPr>
    </w:p>
    <w:p w:rsidR="00880E63" w:rsidRPr="00B1295E" w:rsidRDefault="00880E63" w:rsidP="00B1295E">
      <w:pPr>
        <w:pStyle w:val="ListParagraph"/>
        <w:widowControl w:val="0"/>
        <w:numPr>
          <w:ilvl w:val="1"/>
          <w:numId w:val="13"/>
        </w:numPr>
        <w:tabs>
          <w:tab w:val="left" w:pos="28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80"/>
        <w:contextualSpacing w:val="0"/>
        <w:rPr>
          <w:color w:val="231F20"/>
          <w:w w:val="110"/>
        </w:rPr>
      </w:pPr>
      <w:r w:rsidRPr="00B1295E">
        <w:rPr>
          <w:color w:val="231F20"/>
          <w:w w:val="110"/>
        </w:rPr>
        <w:t xml:space="preserve">January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8</w:t>
      </w:r>
      <w:r w:rsidR="00466659" w:rsidRPr="00B1295E">
        <w:rPr>
          <w:color w:val="231F20"/>
          <w:w w:val="110"/>
        </w:rPr>
        <w:t xml:space="preserve"> </w:t>
      </w:r>
      <w:r w:rsidRPr="00B1295E">
        <w:rPr>
          <w:color w:val="231F20"/>
          <w:w w:val="110"/>
        </w:rPr>
        <w:t>rent received in December</w:t>
      </w:r>
      <w:r w:rsidRPr="00B1295E">
        <w:rPr>
          <w:color w:val="231F20"/>
          <w:spacing w:val="-38"/>
          <w:w w:val="110"/>
        </w:rPr>
        <w:t xml:space="preserve">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7</w:t>
      </w:r>
    </w:p>
    <w:p w:rsidR="00880E63" w:rsidRPr="00B1295E" w:rsidRDefault="00880E63" w:rsidP="00B1295E">
      <w:pPr>
        <w:pStyle w:val="ListParagraph"/>
        <w:widowControl w:val="0"/>
        <w:numPr>
          <w:ilvl w:val="1"/>
          <w:numId w:val="13"/>
        </w:numPr>
        <w:tabs>
          <w:tab w:val="left" w:pos="28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80"/>
        <w:contextualSpacing w:val="0"/>
        <w:rPr>
          <w:color w:val="231F20"/>
          <w:w w:val="110"/>
        </w:rPr>
      </w:pPr>
      <w:r w:rsidRPr="00B1295E">
        <w:rPr>
          <w:color w:val="231F20"/>
          <w:w w:val="110"/>
        </w:rPr>
        <w:t>Value</w:t>
      </w:r>
      <w:r w:rsidRPr="00B1295E">
        <w:rPr>
          <w:color w:val="231F20"/>
          <w:spacing w:val="-5"/>
          <w:w w:val="110"/>
        </w:rPr>
        <w:t xml:space="preserve"> </w:t>
      </w:r>
      <w:r w:rsidRPr="00B1295E">
        <w:rPr>
          <w:color w:val="231F20"/>
          <w:w w:val="110"/>
        </w:rPr>
        <w:t>arising</w:t>
      </w:r>
      <w:r w:rsidRPr="00B1295E">
        <w:rPr>
          <w:color w:val="231F20"/>
          <w:spacing w:val="-6"/>
          <w:w w:val="110"/>
        </w:rPr>
        <w:t xml:space="preserve"> </w:t>
      </w:r>
      <w:r w:rsidRPr="00B1295E">
        <w:rPr>
          <w:color w:val="231F20"/>
          <w:w w:val="110"/>
        </w:rPr>
        <w:t>from</w:t>
      </w:r>
      <w:r w:rsidRPr="00B1295E">
        <w:rPr>
          <w:color w:val="231F20"/>
          <w:spacing w:val="-5"/>
          <w:w w:val="110"/>
        </w:rPr>
        <w:t xml:space="preserve"> </w:t>
      </w:r>
      <w:r w:rsidRPr="00B1295E">
        <w:rPr>
          <w:color w:val="231F20"/>
          <w:w w:val="110"/>
        </w:rPr>
        <w:t>personal</w:t>
      </w:r>
      <w:r w:rsidRPr="00B1295E">
        <w:rPr>
          <w:color w:val="231F20"/>
          <w:spacing w:val="-4"/>
          <w:w w:val="110"/>
        </w:rPr>
        <w:t xml:space="preserve"> </w:t>
      </w:r>
      <w:r w:rsidRPr="00B1295E">
        <w:rPr>
          <w:color w:val="231F20"/>
          <w:w w:val="110"/>
        </w:rPr>
        <w:t>use</w:t>
      </w:r>
      <w:r w:rsidRPr="00B1295E">
        <w:rPr>
          <w:color w:val="231F20"/>
          <w:spacing w:val="-5"/>
          <w:w w:val="110"/>
        </w:rPr>
        <w:t xml:space="preserve"> </w:t>
      </w:r>
      <w:r w:rsidRPr="00B1295E">
        <w:rPr>
          <w:color w:val="231F20"/>
          <w:w w:val="110"/>
        </w:rPr>
        <w:t>of</w:t>
      </w:r>
      <w:r w:rsidRPr="00B1295E">
        <w:rPr>
          <w:color w:val="231F20"/>
          <w:spacing w:val="-6"/>
          <w:w w:val="110"/>
        </w:rPr>
        <w:t xml:space="preserve"> </w:t>
      </w:r>
      <w:r w:rsidRPr="00B1295E">
        <w:rPr>
          <w:color w:val="231F20"/>
          <w:w w:val="110"/>
        </w:rPr>
        <w:t>company</w:t>
      </w:r>
      <w:r w:rsidRPr="00B1295E">
        <w:rPr>
          <w:color w:val="231F20"/>
          <w:spacing w:val="-6"/>
          <w:w w:val="110"/>
        </w:rPr>
        <w:t xml:space="preserve"> </w:t>
      </w:r>
      <w:r w:rsidRPr="00B1295E">
        <w:rPr>
          <w:color w:val="231F20"/>
          <w:w w:val="110"/>
        </w:rPr>
        <w:t>vehicle</w:t>
      </w:r>
      <w:r w:rsidRPr="00B1295E">
        <w:rPr>
          <w:color w:val="231F20"/>
          <w:spacing w:val="-5"/>
          <w:w w:val="110"/>
        </w:rPr>
        <w:t xml:space="preserve"> </w:t>
      </w:r>
      <w:r w:rsidRPr="00B1295E">
        <w:rPr>
          <w:color w:val="231F20"/>
          <w:w w:val="110"/>
        </w:rPr>
        <w:t>in</w:t>
      </w:r>
      <w:r w:rsidRPr="00B1295E">
        <w:rPr>
          <w:color w:val="231F20"/>
          <w:spacing w:val="-6"/>
          <w:w w:val="110"/>
        </w:rPr>
        <w:t xml:space="preserve">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7</w:t>
      </w:r>
    </w:p>
    <w:p w:rsidR="00880E63" w:rsidRPr="00B1295E" w:rsidRDefault="00880E63" w:rsidP="00B1295E">
      <w:pPr>
        <w:pStyle w:val="ListParagraph"/>
        <w:widowControl w:val="0"/>
        <w:numPr>
          <w:ilvl w:val="1"/>
          <w:numId w:val="13"/>
        </w:numPr>
        <w:tabs>
          <w:tab w:val="left" w:pos="28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218"/>
        <w:contextualSpacing w:val="0"/>
        <w:rPr>
          <w:color w:val="231F20"/>
          <w:w w:val="110"/>
        </w:rPr>
      </w:pPr>
      <w:r w:rsidRPr="00B1295E">
        <w:rPr>
          <w:color w:val="231F20"/>
          <w:w w:val="110"/>
        </w:rPr>
        <w:t xml:space="preserve">Dividends announced by a C corporation in December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6</w:t>
      </w:r>
      <w:r w:rsidR="00466659" w:rsidRPr="00B1295E">
        <w:rPr>
          <w:color w:val="231F20"/>
          <w:w w:val="110"/>
        </w:rPr>
        <w:t xml:space="preserve"> </w:t>
      </w:r>
      <w:r w:rsidRPr="00B1295E">
        <w:rPr>
          <w:color w:val="231F20"/>
          <w:w w:val="110"/>
        </w:rPr>
        <w:t>and received in January</w:t>
      </w:r>
      <w:r w:rsidRPr="00B1295E">
        <w:rPr>
          <w:color w:val="231F20"/>
          <w:spacing w:val="-10"/>
          <w:w w:val="110"/>
        </w:rPr>
        <w:t xml:space="preserve">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7</w:t>
      </w:r>
    </w:p>
    <w:p w:rsidR="00880E63" w:rsidRPr="00B1295E" w:rsidRDefault="00880E63" w:rsidP="00B1295E">
      <w:pPr>
        <w:pStyle w:val="ListParagraph"/>
        <w:widowControl w:val="0"/>
        <w:numPr>
          <w:ilvl w:val="1"/>
          <w:numId w:val="13"/>
        </w:numPr>
        <w:tabs>
          <w:tab w:val="left" w:pos="282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218"/>
        <w:contextualSpacing w:val="0"/>
        <w:rPr>
          <w:color w:val="231F20"/>
          <w:w w:val="110"/>
        </w:rPr>
      </w:pPr>
      <w:r w:rsidRPr="00B1295E">
        <w:rPr>
          <w:color w:val="231F20"/>
          <w:w w:val="110"/>
        </w:rPr>
        <w:t xml:space="preserve">Refundable security deposit received in January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7</w:t>
      </w:r>
      <w:r w:rsidR="00466659" w:rsidRPr="00B1295E">
        <w:rPr>
          <w:color w:val="231F20"/>
          <w:w w:val="110"/>
        </w:rPr>
        <w:t xml:space="preserve"> </w:t>
      </w:r>
      <w:r w:rsidRPr="00B1295E">
        <w:rPr>
          <w:color w:val="231F20"/>
          <w:w w:val="110"/>
        </w:rPr>
        <w:t xml:space="preserve">for a lease ending in July </w:t>
      </w:r>
      <w:r w:rsidR="00466659" w:rsidRPr="00B1295E">
        <w:rPr>
          <w:color w:val="231F20"/>
          <w:w w:val="110"/>
        </w:rPr>
        <w:t>201</w:t>
      </w:r>
      <w:r w:rsidR="00466659">
        <w:rPr>
          <w:color w:val="231F20"/>
          <w:w w:val="110"/>
        </w:rPr>
        <w:t>8</w:t>
      </w:r>
    </w:p>
    <w:p w:rsidR="001A3F34" w:rsidRPr="00B1295E" w:rsidRDefault="001A3F34" w:rsidP="00B1295E">
      <w:pPr>
        <w:spacing w:after="0" w:line="240" w:lineRule="auto"/>
      </w:pPr>
    </w:p>
    <w:p w:rsidR="001A3F34" w:rsidRPr="00B1295E" w:rsidRDefault="001A3F34" w:rsidP="00B1295E">
      <w:pPr>
        <w:pStyle w:val="ListParagraph"/>
        <w:numPr>
          <w:ilvl w:val="0"/>
          <w:numId w:val="3"/>
        </w:numPr>
        <w:spacing w:after="0" w:line="240" w:lineRule="auto"/>
        <w:ind w:left="1080"/>
      </w:pPr>
      <w:r w:rsidRPr="00B1295E">
        <w:t xml:space="preserve">Incorrect.  A refundable security deposit is not deductible at the time it is paid and is not taxable when it is received at the termination of a lease.  Rent received in advance is taxable in the period received, not the period to which it applies, making the January </w:t>
      </w:r>
      <w:r w:rsidR="00466659" w:rsidRPr="00B1295E">
        <w:t>201</w:t>
      </w:r>
      <w:r w:rsidR="00466659">
        <w:t>8</w:t>
      </w:r>
      <w:r w:rsidR="00466659" w:rsidRPr="00B1295E">
        <w:t xml:space="preserve"> </w:t>
      </w:r>
      <w:r w:rsidRPr="00B1295E">
        <w:t xml:space="preserve">rent taxable in </w:t>
      </w:r>
      <w:r w:rsidR="00466659" w:rsidRPr="00B1295E">
        <w:t>201</w:t>
      </w:r>
      <w:r w:rsidR="00466659">
        <w:t>7</w:t>
      </w:r>
      <w:r w:rsidRPr="00B1295E">
        <w:t>.</w:t>
      </w:r>
    </w:p>
    <w:p w:rsidR="001A3F34" w:rsidRPr="00B1295E" w:rsidRDefault="001A3F34" w:rsidP="00B1295E">
      <w:pPr>
        <w:pStyle w:val="ListParagraph"/>
        <w:numPr>
          <w:ilvl w:val="0"/>
          <w:numId w:val="3"/>
        </w:numPr>
        <w:spacing w:after="0" w:line="240" w:lineRule="auto"/>
        <w:ind w:left="1080"/>
      </w:pPr>
      <w:r w:rsidRPr="00B1295E">
        <w:t xml:space="preserve">Incorrect.  A refundable security deposit is not deductible at the time it is paid and is not taxable when it is received at the termination of a lease.  Noncash compensation received </w:t>
      </w:r>
      <w:r w:rsidRPr="00B1295E">
        <w:lastRenderedPageBreak/>
        <w:t>from an employer, other than normal employee discounts are taxable to an employee, including the value arising from the use of a company vehicle or other company assets.</w:t>
      </w:r>
    </w:p>
    <w:p w:rsidR="001A3F34" w:rsidRPr="00B1295E" w:rsidRDefault="001A3F34" w:rsidP="00B1295E">
      <w:pPr>
        <w:pStyle w:val="ListParagraph"/>
        <w:numPr>
          <w:ilvl w:val="0"/>
          <w:numId w:val="3"/>
        </w:numPr>
        <w:spacing w:after="0" w:line="240" w:lineRule="auto"/>
        <w:ind w:left="1080"/>
      </w:pPr>
      <w:r w:rsidRPr="00B1295E">
        <w:t xml:space="preserve">Incorrect.  A refundable security deposit is not deductible at the time it is paid and is not taxable when it is received at the termination of a lease.  Dividends are taxable in the period received, </w:t>
      </w:r>
      <w:r w:rsidR="00466659" w:rsidRPr="00B1295E">
        <w:t>201</w:t>
      </w:r>
      <w:r w:rsidR="00466659">
        <w:t>7</w:t>
      </w:r>
      <w:r w:rsidRPr="00B1295E">
        <w:t>, not the period in which they are declared.</w:t>
      </w:r>
    </w:p>
    <w:p w:rsidR="001A3F34" w:rsidRPr="0089700C" w:rsidRDefault="001A3F34" w:rsidP="00B1295E">
      <w:pPr>
        <w:pStyle w:val="ListParagraph"/>
        <w:numPr>
          <w:ilvl w:val="0"/>
          <w:numId w:val="3"/>
        </w:numPr>
        <w:spacing w:after="0" w:line="240" w:lineRule="auto"/>
        <w:ind w:left="1080"/>
        <w:rPr>
          <w:b/>
        </w:rPr>
      </w:pPr>
      <w:r w:rsidRPr="00B1295E">
        <w:rPr>
          <w:b/>
        </w:rPr>
        <w:t>Correct!</w:t>
      </w:r>
      <w:r w:rsidRPr="00B1295E">
        <w:t xml:space="preserve"> A refundable security deposit is not deductible at the time it is paid and is not taxable when it is received at the termination of a lease.  Rent received in advance is taxable in the period received, not the period to which it applies, making the January </w:t>
      </w:r>
      <w:r w:rsidR="00466659" w:rsidRPr="00B1295E">
        <w:t>201</w:t>
      </w:r>
      <w:r w:rsidR="00466659">
        <w:t>8</w:t>
      </w:r>
      <w:r w:rsidR="00466659" w:rsidRPr="00B1295E">
        <w:t xml:space="preserve"> </w:t>
      </w:r>
      <w:r w:rsidRPr="00B1295E">
        <w:t xml:space="preserve">rent taxable in </w:t>
      </w:r>
      <w:r w:rsidR="00466659" w:rsidRPr="00B1295E">
        <w:t>201</w:t>
      </w:r>
      <w:r w:rsidR="00466659">
        <w:t>7</w:t>
      </w:r>
      <w:r w:rsidRPr="00B1295E">
        <w:t xml:space="preserve">.  Noncash compensation received from an employer, other than normal employee discounts are taxable to an employee, including the value arising from the use of a company vehicle or other company assets.  Dividends are taxable in the period received, </w:t>
      </w:r>
      <w:r w:rsidR="00466659" w:rsidRPr="00B1295E">
        <w:t>201</w:t>
      </w:r>
      <w:r w:rsidR="00466659">
        <w:t>7</w:t>
      </w:r>
      <w:r w:rsidRPr="00B1295E">
        <w:t>, not the period in which they are declared.</w:t>
      </w:r>
    </w:p>
    <w:sectPr w:rsidR="001A3F34" w:rsidRPr="0089700C" w:rsidSect="00B1295E">
      <w:headerReference w:type="default" r:id="rId7"/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A71" w:rsidRDefault="00754A71" w:rsidP="00D52CFC">
      <w:pPr>
        <w:spacing w:after="0" w:line="240" w:lineRule="auto"/>
      </w:pPr>
      <w:r>
        <w:separator/>
      </w:r>
    </w:p>
  </w:endnote>
  <w:endnote w:type="continuationSeparator" w:id="0">
    <w:p w:rsidR="00754A71" w:rsidRDefault="00754A71" w:rsidP="00D5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CFC" w:rsidRDefault="00D52CFC">
    <w:pPr>
      <w:pStyle w:val="Footer"/>
    </w:pPr>
    <w:r w:rsidRPr="00CB0BDB">
      <w:rPr>
        <w:rFonts w:cs="Tahoma"/>
        <w:sz w:val="14"/>
        <w:szCs w:val="14"/>
      </w:rPr>
      <w:t>© 201</w:t>
    </w:r>
    <w:r w:rsidR="00880E63">
      <w:rPr>
        <w:rFonts w:cs="Tahoma"/>
        <w:sz w:val="14"/>
        <w:szCs w:val="14"/>
      </w:rPr>
      <w:t>7</w:t>
    </w:r>
    <w:r w:rsidRPr="00CB0BDB">
      <w:rPr>
        <w:rFonts w:cs="Tahoma"/>
        <w:sz w:val="14"/>
        <w:szCs w:val="14"/>
      </w:rPr>
      <w:t xml:space="preserve"> Cengage Learning. All Rights Reserved. May not be copied, scanned, or duplicated, in whole or in part, except for use as permitted in a license distributed with a certain product or service or otherwise on a password-protected website for classroom use</w:t>
    </w:r>
    <w:r w:rsidRPr="00435571">
      <w:rPr>
        <w:rFonts w:cs="Tahoma"/>
        <w:b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A71" w:rsidRDefault="00754A71" w:rsidP="00D52CFC">
      <w:pPr>
        <w:spacing w:after="0" w:line="240" w:lineRule="auto"/>
      </w:pPr>
      <w:r>
        <w:separator/>
      </w:r>
    </w:p>
  </w:footnote>
  <w:footnote w:type="continuationSeparator" w:id="0">
    <w:p w:rsidR="00754A71" w:rsidRDefault="00754A71" w:rsidP="00D5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08A" w:rsidRDefault="0030108A">
    <w:pPr>
      <w:pStyle w:val="Header"/>
    </w:pPr>
    <w:r>
      <w:t xml:space="preserve">SWFT </w:t>
    </w:r>
    <w:r w:rsidR="0089700C">
      <w:rPr>
        <w:i/>
      </w:rPr>
      <w:t>Essentials of Taxation</w:t>
    </w:r>
    <w:r w:rsidRPr="007E47E0">
      <w:rPr>
        <w:i/>
      </w:rPr>
      <w:t xml:space="preserve"> 201</w:t>
    </w:r>
    <w:r w:rsidR="008D7DBD">
      <w:rPr>
        <w:i/>
      </w:rPr>
      <w:t>8</w:t>
    </w:r>
    <w:r>
      <w:t xml:space="preserve"> – Roger CPA Review Question Answers and Feedback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2455" w:hanging="317"/>
      </w:pPr>
      <w:rPr>
        <w:rFonts w:ascii="Garamond" w:hAnsi="Garamond" w:cs="Garamond"/>
        <w:b w:val="0"/>
        <w:bCs w:val="0"/>
        <w:color w:val="231F20"/>
        <w:w w:val="109"/>
        <w:sz w:val="20"/>
        <w:szCs w:val="20"/>
      </w:rPr>
    </w:lvl>
    <w:lvl w:ilvl="1">
      <w:start w:val="1"/>
      <w:numFmt w:val="lowerLetter"/>
      <w:lvlText w:val="%2."/>
      <w:lvlJc w:val="left"/>
      <w:pPr>
        <w:ind w:left="2827" w:hanging="367"/>
      </w:pPr>
      <w:rPr>
        <w:rFonts w:ascii="Garamond" w:hAnsi="Garamond" w:cs="Garamond"/>
        <w:b w:val="0"/>
        <w:bCs w:val="0"/>
        <w:color w:val="231F20"/>
        <w:w w:val="116"/>
        <w:sz w:val="20"/>
        <w:szCs w:val="20"/>
      </w:rPr>
    </w:lvl>
    <w:lvl w:ilvl="2">
      <w:numFmt w:val="bullet"/>
      <w:lvlText w:val="•"/>
      <w:lvlJc w:val="left"/>
      <w:pPr>
        <w:ind w:left="2865" w:hanging="367"/>
      </w:pPr>
    </w:lvl>
    <w:lvl w:ilvl="3">
      <w:numFmt w:val="bullet"/>
      <w:lvlText w:val="•"/>
      <w:lvlJc w:val="left"/>
      <w:pPr>
        <w:ind w:left="2910" w:hanging="367"/>
      </w:pPr>
    </w:lvl>
    <w:lvl w:ilvl="4">
      <w:numFmt w:val="bullet"/>
      <w:lvlText w:val="•"/>
      <w:lvlJc w:val="left"/>
      <w:pPr>
        <w:ind w:left="2955" w:hanging="367"/>
      </w:pPr>
    </w:lvl>
    <w:lvl w:ilvl="5">
      <w:numFmt w:val="bullet"/>
      <w:lvlText w:val="•"/>
      <w:lvlJc w:val="left"/>
      <w:pPr>
        <w:ind w:left="3001" w:hanging="367"/>
      </w:pPr>
    </w:lvl>
    <w:lvl w:ilvl="6">
      <w:numFmt w:val="bullet"/>
      <w:lvlText w:val="•"/>
      <w:lvlJc w:val="left"/>
      <w:pPr>
        <w:ind w:left="3046" w:hanging="367"/>
      </w:pPr>
    </w:lvl>
    <w:lvl w:ilvl="7">
      <w:numFmt w:val="bullet"/>
      <w:lvlText w:val="•"/>
      <w:lvlJc w:val="left"/>
      <w:pPr>
        <w:ind w:left="3091" w:hanging="367"/>
      </w:pPr>
    </w:lvl>
    <w:lvl w:ilvl="8">
      <w:numFmt w:val="bullet"/>
      <w:lvlText w:val="•"/>
      <w:lvlJc w:val="left"/>
      <w:pPr>
        <w:ind w:left="3137" w:hanging="367"/>
      </w:pPr>
    </w:lvl>
  </w:abstractNum>
  <w:abstractNum w:abstractNumId="1" w15:restartNumberingAfterBreak="0">
    <w:nsid w:val="014A2C94"/>
    <w:multiLevelType w:val="hybridMultilevel"/>
    <w:tmpl w:val="B72820C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B7AC3"/>
    <w:multiLevelType w:val="hybridMultilevel"/>
    <w:tmpl w:val="500062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B73"/>
    <w:multiLevelType w:val="hybridMultilevel"/>
    <w:tmpl w:val="2CFC168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705067"/>
    <w:multiLevelType w:val="hybridMultilevel"/>
    <w:tmpl w:val="889649C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BEAC4518">
      <w:start w:val="1"/>
      <w:numFmt w:val="lowerLetter"/>
      <w:lvlText w:val="%2)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667F57"/>
    <w:multiLevelType w:val="hybridMultilevel"/>
    <w:tmpl w:val="E9D64A6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1B079E"/>
    <w:multiLevelType w:val="hybridMultilevel"/>
    <w:tmpl w:val="DAAA3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A0289"/>
    <w:multiLevelType w:val="hybridMultilevel"/>
    <w:tmpl w:val="6FE4EC9A"/>
    <w:lvl w:ilvl="0" w:tplc="C804E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9172C5"/>
    <w:multiLevelType w:val="hybridMultilevel"/>
    <w:tmpl w:val="05E2F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C1671"/>
    <w:multiLevelType w:val="hybridMultilevel"/>
    <w:tmpl w:val="885815CC"/>
    <w:lvl w:ilvl="0" w:tplc="0409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371213"/>
    <w:multiLevelType w:val="hybridMultilevel"/>
    <w:tmpl w:val="60B69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CA0969"/>
    <w:multiLevelType w:val="hybridMultilevel"/>
    <w:tmpl w:val="5E1E224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63FD1"/>
    <w:multiLevelType w:val="hybridMultilevel"/>
    <w:tmpl w:val="BD46C8CE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10713"/>
    <w:multiLevelType w:val="hybridMultilevel"/>
    <w:tmpl w:val="552AB9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5277EA"/>
    <w:multiLevelType w:val="hybridMultilevel"/>
    <w:tmpl w:val="4D04E4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73B14"/>
    <w:multiLevelType w:val="hybridMultilevel"/>
    <w:tmpl w:val="4B8A67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91227E"/>
    <w:multiLevelType w:val="hybridMultilevel"/>
    <w:tmpl w:val="1C16D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80224"/>
    <w:multiLevelType w:val="hybridMultilevel"/>
    <w:tmpl w:val="79A8B57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6236450"/>
    <w:multiLevelType w:val="hybridMultilevel"/>
    <w:tmpl w:val="EE665770"/>
    <w:lvl w:ilvl="0" w:tplc="D6260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D22E01"/>
    <w:multiLevelType w:val="hybridMultilevel"/>
    <w:tmpl w:val="14A699C6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10433A"/>
    <w:multiLevelType w:val="hybridMultilevel"/>
    <w:tmpl w:val="A066DB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A777C9"/>
    <w:multiLevelType w:val="multilevel"/>
    <w:tmpl w:val="00000885"/>
    <w:lvl w:ilvl="0">
      <w:start w:val="1"/>
      <w:numFmt w:val="decimal"/>
      <w:lvlText w:val="%1."/>
      <w:lvlJc w:val="left"/>
      <w:pPr>
        <w:ind w:left="2455" w:hanging="317"/>
      </w:pPr>
      <w:rPr>
        <w:rFonts w:ascii="Garamond" w:hAnsi="Garamond" w:cs="Garamond"/>
        <w:b w:val="0"/>
        <w:bCs w:val="0"/>
        <w:color w:val="231F20"/>
        <w:w w:val="109"/>
        <w:sz w:val="20"/>
        <w:szCs w:val="20"/>
      </w:rPr>
    </w:lvl>
    <w:lvl w:ilvl="1">
      <w:start w:val="1"/>
      <w:numFmt w:val="lowerLetter"/>
      <w:lvlText w:val="%2."/>
      <w:lvlJc w:val="left"/>
      <w:pPr>
        <w:ind w:left="2827" w:hanging="367"/>
      </w:pPr>
      <w:rPr>
        <w:rFonts w:ascii="Garamond" w:hAnsi="Garamond" w:cs="Garamond"/>
        <w:b w:val="0"/>
        <w:bCs w:val="0"/>
        <w:color w:val="231F20"/>
        <w:w w:val="116"/>
        <w:sz w:val="20"/>
        <w:szCs w:val="20"/>
      </w:rPr>
    </w:lvl>
    <w:lvl w:ilvl="2">
      <w:numFmt w:val="bullet"/>
      <w:lvlText w:val="•"/>
      <w:lvlJc w:val="left"/>
      <w:pPr>
        <w:ind w:left="2865" w:hanging="367"/>
      </w:pPr>
    </w:lvl>
    <w:lvl w:ilvl="3">
      <w:numFmt w:val="bullet"/>
      <w:lvlText w:val="•"/>
      <w:lvlJc w:val="left"/>
      <w:pPr>
        <w:ind w:left="2910" w:hanging="367"/>
      </w:pPr>
    </w:lvl>
    <w:lvl w:ilvl="4">
      <w:numFmt w:val="bullet"/>
      <w:lvlText w:val="•"/>
      <w:lvlJc w:val="left"/>
      <w:pPr>
        <w:ind w:left="2955" w:hanging="367"/>
      </w:pPr>
    </w:lvl>
    <w:lvl w:ilvl="5">
      <w:numFmt w:val="bullet"/>
      <w:lvlText w:val="•"/>
      <w:lvlJc w:val="left"/>
      <w:pPr>
        <w:ind w:left="3001" w:hanging="367"/>
      </w:pPr>
    </w:lvl>
    <w:lvl w:ilvl="6">
      <w:numFmt w:val="bullet"/>
      <w:lvlText w:val="•"/>
      <w:lvlJc w:val="left"/>
      <w:pPr>
        <w:ind w:left="3046" w:hanging="367"/>
      </w:pPr>
    </w:lvl>
    <w:lvl w:ilvl="7">
      <w:numFmt w:val="bullet"/>
      <w:lvlText w:val="•"/>
      <w:lvlJc w:val="left"/>
      <w:pPr>
        <w:ind w:left="3091" w:hanging="367"/>
      </w:pPr>
    </w:lvl>
    <w:lvl w:ilvl="8">
      <w:numFmt w:val="bullet"/>
      <w:lvlText w:val="•"/>
      <w:lvlJc w:val="left"/>
      <w:pPr>
        <w:ind w:left="3137" w:hanging="367"/>
      </w:pPr>
    </w:lvl>
  </w:abstractNum>
  <w:abstractNum w:abstractNumId="22" w15:restartNumberingAfterBreak="0">
    <w:nsid w:val="791D183F"/>
    <w:multiLevelType w:val="multilevel"/>
    <w:tmpl w:val="00000885"/>
    <w:lvl w:ilvl="0">
      <w:start w:val="1"/>
      <w:numFmt w:val="decimal"/>
      <w:lvlText w:val="%1."/>
      <w:lvlJc w:val="left"/>
      <w:pPr>
        <w:ind w:left="2455" w:hanging="317"/>
      </w:pPr>
      <w:rPr>
        <w:rFonts w:ascii="Garamond" w:hAnsi="Garamond" w:cs="Garamond"/>
        <w:b w:val="0"/>
        <w:bCs w:val="0"/>
        <w:color w:val="231F20"/>
        <w:w w:val="109"/>
        <w:sz w:val="20"/>
        <w:szCs w:val="20"/>
      </w:rPr>
    </w:lvl>
    <w:lvl w:ilvl="1">
      <w:start w:val="1"/>
      <w:numFmt w:val="lowerLetter"/>
      <w:lvlText w:val="%2."/>
      <w:lvlJc w:val="left"/>
      <w:pPr>
        <w:ind w:left="2827" w:hanging="367"/>
      </w:pPr>
      <w:rPr>
        <w:rFonts w:ascii="Garamond" w:hAnsi="Garamond" w:cs="Garamond"/>
        <w:b w:val="0"/>
        <w:bCs w:val="0"/>
        <w:color w:val="231F20"/>
        <w:w w:val="116"/>
        <w:sz w:val="20"/>
        <w:szCs w:val="20"/>
      </w:rPr>
    </w:lvl>
    <w:lvl w:ilvl="2">
      <w:numFmt w:val="bullet"/>
      <w:lvlText w:val="•"/>
      <w:lvlJc w:val="left"/>
      <w:pPr>
        <w:ind w:left="2865" w:hanging="367"/>
      </w:pPr>
    </w:lvl>
    <w:lvl w:ilvl="3">
      <w:numFmt w:val="bullet"/>
      <w:lvlText w:val="•"/>
      <w:lvlJc w:val="left"/>
      <w:pPr>
        <w:ind w:left="2910" w:hanging="367"/>
      </w:pPr>
    </w:lvl>
    <w:lvl w:ilvl="4">
      <w:numFmt w:val="bullet"/>
      <w:lvlText w:val="•"/>
      <w:lvlJc w:val="left"/>
      <w:pPr>
        <w:ind w:left="2955" w:hanging="367"/>
      </w:pPr>
    </w:lvl>
    <w:lvl w:ilvl="5">
      <w:numFmt w:val="bullet"/>
      <w:lvlText w:val="•"/>
      <w:lvlJc w:val="left"/>
      <w:pPr>
        <w:ind w:left="3001" w:hanging="367"/>
      </w:pPr>
    </w:lvl>
    <w:lvl w:ilvl="6">
      <w:numFmt w:val="bullet"/>
      <w:lvlText w:val="•"/>
      <w:lvlJc w:val="left"/>
      <w:pPr>
        <w:ind w:left="3046" w:hanging="367"/>
      </w:pPr>
    </w:lvl>
    <w:lvl w:ilvl="7">
      <w:numFmt w:val="bullet"/>
      <w:lvlText w:val="•"/>
      <w:lvlJc w:val="left"/>
      <w:pPr>
        <w:ind w:left="3091" w:hanging="367"/>
      </w:pPr>
    </w:lvl>
    <w:lvl w:ilvl="8">
      <w:numFmt w:val="bullet"/>
      <w:lvlText w:val="•"/>
      <w:lvlJc w:val="left"/>
      <w:pPr>
        <w:ind w:left="3137" w:hanging="367"/>
      </w:pPr>
    </w:lvl>
  </w:abstractNum>
  <w:abstractNum w:abstractNumId="23" w15:restartNumberingAfterBreak="0">
    <w:nsid w:val="7B2924FE"/>
    <w:multiLevelType w:val="hybridMultilevel"/>
    <w:tmpl w:val="C52E213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3A3EC2"/>
    <w:multiLevelType w:val="hybridMultilevel"/>
    <w:tmpl w:val="B5AABB0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1"/>
  </w:num>
  <w:num w:numId="3">
    <w:abstractNumId w:val="12"/>
  </w:num>
  <w:num w:numId="4">
    <w:abstractNumId w:val="10"/>
  </w:num>
  <w:num w:numId="5">
    <w:abstractNumId w:val="20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24"/>
  </w:num>
  <w:num w:numId="11">
    <w:abstractNumId w:val="1"/>
  </w:num>
  <w:num w:numId="12">
    <w:abstractNumId w:val="7"/>
  </w:num>
  <w:num w:numId="13">
    <w:abstractNumId w:val="16"/>
  </w:num>
  <w:num w:numId="14">
    <w:abstractNumId w:val="0"/>
  </w:num>
  <w:num w:numId="15">
    <w:abstractNumId w:val="22"/>
  </w:num>
  <w:num w:numId="16">
    <w:abstractNumId w:val="21"/>
  </w:num>
  <w:num w:numId="17">
    <w:abstractNumId w:val="8"/>
  </w:num>
  <w:num w:numId="18">
    <w:abstractNumId w:val="17"/>
  </w:num>
  <w:num w:numId="19">
    <w:abstractNumId w:val="5"/>
  </w:num>
  <w:num w:numId="20">
    <w:abstractNumId w:val="15"/>
  </w:num>
  <w:num w:numId="21">
    <w:abstractNumId w:val="14"/>
  </w:num>
  <w:num w:numId="22">
    <w:abstractNumId w:val="6"/>
  </w:num>
  <w:num w:numId="23">
    <w:abstractNumId w:val="18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34"/>
    <w:rsid w:val="001A3F34"/>
    <w:rsid w:val="001E716F"/>
    <w:rsid w:val="0030108A"/>
    <w:rsid w:val="003E6DD0"/>
    <w:rsid w:val="00425620"/>
    <w:rsid w:val="00466659"/>
    <w:rsid w:val="005B4CB3"/>
    <w:rsid w:val="00635ADE"/>
    <w:rsid w:val="00660EA6"/>
    <w:rsid w:val="00754A71"/>
    <w:rsid w:val="00880E63"/>
    <w:rsid w:val="0089700C"/>
    <w:rsid w:val="008D7DBD"/>
    <w:rsid w:val="008E088D"/>
    <w:rsid w:val="009F539B"/>
    <w:rsid w:val="00A8428A"/>
    <w:rsid w:val="00B07B20"/>
    <w:rsid w:val="00B1295E"/>
    <w:rsid w:val="00D52CFC"/>
    <w:rsid w:val="00D61F56"/>
    <w:rsid w:val="00DF4A99"/>
    <w:rsid w:val="00E12D0A"/>
    <w:rsid w:val="00EC2C0D"/>
    <w:rsid w:val="00F9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B05D3"/>
  <w15:chartTrackingRefBased/>
  <w15:docId w15:val="{40D31487-AA41-4A8E-9F94-0D93F471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A3F34"/>
    <w:pPr>
      <w:ind w:left="720"/>
      <w:contextualSpacing/>
    </w:pPr>
  </w:style>
  <w:style w:type="table" w:styleId="TableGrid">
    <w:name w:val="Table Grid"/>
    <w:basedOn w:val="TableNormal"/>
    <w:uiPriority w:val="39"/>
    <w:rsid w:val="001A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2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CFC"/>
  </w:style>
  <w:style w:type="paragraph" w:styleId="Footer">
    <w:name w:val="footer"/>
    <w:basedOn w:val="Normal"/>
    <w:link w:val="FooterChar"/>
    <w:uiPriority w:val="99"/>
    <w:unhideWhenUsed/>
    <w:rsid w:val="00D52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CFC"/>
  </w:style>
  <w:style w:type="paragraph" w:styleId="BodyText">
    <w:name w:val="Body Text"/>
    <w:basedOn w:val="Normal"/>
    <w:link w:val="BodyTextChar"/>
    <w:uiPriority w:val="1"/>
    <w:qFormat/>
    <w:rsid w:val="00880E63"/>
    <w:pPr>
      <w:widowControl w:val="0"/>
      <w:autoSpaceDE w:val="0"/>
      <w:autoSpaceDN w:val="0"/>
      <w:adjustRightInd w:val="0"/>
      <w:spacing w:before="55" w:after="0" w:line="240" w:lineRule="auto"/>
    </w:pPr>
    <w:rPr>
      <w:rFonts w:ascii="Garamond" w:eastAsiaTheme="minorEastAsia" w:hAnsi="Garamond" w:cs="Garamond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80E63"/>
    <w:rPr>
      <w:rFonts w:ascii="Garamond" w:eastAsiaTheme="minorEastAsia" w:hAnsi="Garamond" w:cs="Garamond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80E63"/>
    <w:pPr>
      <w:widowControl w:val="0"/>
      <w:autoSpaceDE w:val="0"/>
      <w:autoSpaceDN w:val="0"/>
      <w:adjustRightInd w:val="0"/>
      <w:spacing w:before="5" w:after="0" w:line="240" w:lineRule="auto"/>
    </w:pPr>
    <w:rPr>
      <w:rFonts w:ascii="Calibri" w:eastAsiaTheme="minorEastAsia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Redko</dc:creator>
  <cp:keywords/>
  <dc:description/>
  <cp:lastModifiedBy>Gross, Jonathan A</cp:lastModifiedBy>
  <cp:revision>2</cp:revision>
  <dcterms:created xsi:type="dcterms:W3CDTF">2017-06-29T16:00:00Z</dcterms:created>
  <dcterms:modified xsi:type="dcterms:W3CDTF">2017-06-29T16:00:00Z</dcterms:modified>
</cp:coreProperties>
</file>