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E66" w:rsidRPr="00AE2A5B" w:rsidRDefault="006F2E66">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w:hAnsi="Times"/>
          <w:b/>
          <w:sz w:val="32"/>
          <w:szCs w:val="32"/>
        </w:rPr>
      </w:pPr>
      <w:bookmarkStart w:id="0" w:name="_GoBack"/>
      <w:bookmarkEnd w:id="0"/>
      <w:r w:rsidRPr="00AE2A5B">
        <w:rPr>
          <w:rFonts w:ascii="Times" w:hAnsi="Times"/>
          <w:b/>
          <w:sz w:val="32"/>
          <w:szCs w:val="32"/>
        </w:rPr>
        <w:t>Chapter 2</w:t>
      </w:r>
    </w:p>
    <w:p w:rsidR="006F2E66" w:rsidRDefault="006F2E66">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w:hAnsi="Times"/>
          <w:b/>
          <w:sz w:val="48"/>
        </w:rPr>
      </w:pPr>
      <w:r w:rsidRPr="00AE2A5B">
        <w:rPr>
          <w:rFonts w:ascii="Times" w:hAnsi="Times"/>
          <w:b/>
          <w:sz w:val="32"/>
          <w:szCs w:val="32"/>
        </w:rPr>
        <w:t>Introduction to Probability</w:t>
      </w:r>
    </w:p>
    <w:p w:rsidR="006F2E66" w:rsidRDefault="00D67D31">
      <w:pPr>
        <w:tabs>
          <w:tab w:val="left" w:pos="-936"/>
          <w:tab w:val="left" w:pos="-216"/>
          <w:tab w:val="left" w:pos="504"/>
          <w:tab w:val="left" w:pos="904"/>
          <w:tab w:val="left" w:pos="1164"/>
          <w:tab w:val="left" w:pos="1264"/>
          <w:tab w:val="left" w:pos="1704"/>
          <w:tab w:val="left" w:pos="2324"/>
          <w:tab w:val="left" w:pos="268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rPr>
          <w:rFonts w:ascii="Times" w:hAnsi="Times"/>
          <w:b/>
          <w:sz w:val="24"/>
        </w:rPr>
      </w:pPr>
      <w:r>
        <w:rPr>
          <w:rFonts w:ascii="Times" w:hAnsi="Times"/>
          <w:b/>
          <w:noProof/>
          <w:sz w:val="24"/>
        </w:rPr>
        <mc:AlternateContent>
          <mc:Choice Requires="wps">
            <w:drawing>
              <wp:anchor distT="0" distB="0" distL="114300" distR="114300" simplePos="0" relativeHeight="251657728" behindDoc="0" locked="0" layoutInCell="0" allowOverlap="1">
                <wp:simplePos x="0" y="0"/>
                <wp:positionH relativeFrom="column">
                  <wp:posOffset>-4445</wp:posOffset>
                </wp:positionH>
                <wp:positionV relativeFrom="paragraph">
                  <wp:posOffset>81280</wp:posOffset>
                </wp:positionV>
                <wp:extent cx="5436870" cy="0"/>
                <wp:effectExtent l="0" t="0" r="0" b="0"/>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87B14"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6.4pt" to="427.7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phR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NQmd64woIqNTWhtroSb2aZ02/O6R01RK155Hh29lAWhYykncpYeMM4O/6L5pBDDl4Hdt0&#10;amwXIKEB6BTVON/U4CePKBxO84fZ/BFEo4MvIcWQaKzzn7nuUDBKLIFzBCbHZ+cDEVIMIeEepTdC&#10;yii2VKgv8WI6mcYEp6VgwRnCnN3vKmnRkYRxiV+sCjz3YVYfFItgLSdsfbU9EfJiw+VSBTwoBehc&#10;rcs8/Fiki/V8Pc9H+WS2HuVpXY8+bap8NNtkj9P6oa6qOvsZqGV50QrGuArshtnM8r/T/vpKLlN1&#10;m85bG5L36LFfQHb4R9JRyyDfZRB2mp23dtAYxjEGX59OmPf7Pdj3D3z1CwAA//8DAFBLAwQUAAYA&#10;CAAAACEA26hEo9sAAAAHAQAADwAAAGRycy9kb3ducmV2LnhtbEyPwU7DMBBE70j8g7VIXKrWISi0&#10;CnEqBOTGhULFdRsvSUS8TmO3DXw9izjAcWdGs2+K9eR6daQxdJ4NXC0SUMS1tx03Bl5fqvkKVIjI&#10;FnvPZOCTAqzL87MCc+tP/EzHTWyUlHDI0UAb45BrHeqWHIaFH4jFe/ejwyjn2Gg74knKXa/TJLnR&#10;DjuWDy0OdN9S/bE5OAOh2tK++prVs+TtuvGU7h+eHtGYy4vp7hZUpCn+heEHX9ChFKadP7ANqjcw&#10;X0pQ5FQGiL3KsgzU7lfQZaH/85ffAAAA//8DAFBLAQItABQABgAIAAAAIQC2gziS/gAAAOEBAAAT&#10;AAAAAAAAAAAAAAAAAAAAAABbQ29udGVudF9UeXBlc10ueG1sUEsBAi0AFAAGAAgAAAAhADj9If/W&#10;AAAAlAEAAAsAAAAAAAAAAAAAAAAALwEAAF9yZWxzLy5yZWxzUEsBAi0AFAAGAAgAAAAhAA0OmFES&#10;AgAAKAQAAA4AAAAAAAAAAAAAAAAALgIAAGRycy9lMm9Eb2MueG1sUEsBAi0AFAAGAAgAAAAhANuo&#10;RKPbAAAABwEAAA8AAAAAAAAAAAAAAAAAbAQAAGRycy9kb3ducmV2LnhtbFBLBQYAAAAABAAEAPMA&#10;AAB0BQAAAAA=&#10;" o:allowincell="f">
                <w10:wrap type="topAndBottom"/>
              </v:line>
            </w:pict>
          </mc:Fallback>
        </mc:AlternateContent>
      </w: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t xml:space="preserve">Case Problem:  </w:t>
      </w:r>
      <w:smartTag w:uri="urn:schemas-microsoft-com:office:smarttags" w:element="City">
        <w:r>
          <w:rPr>
            <w:rFonts w:ascii="Times" w:hAnsi="Times"/>
            <w:b/>
            <w:color w:val="000000"/>
            <w:sz w:val="24"/>
          </w:rPr>
          <w:t>Hamilton</w:t>
        </w:r>
      </w:smartTag>
      <w:r>
        <w:rPr>
          <w:rFonts w:ascii="Times" w:hAnsi="Times"/>
          <w:b/>
          <w:color w:val="000000"/>
          <w:sz w:val="24"/>
        </w:rPr>
        <w:t xml:space="preserve"> </w:t>
      </w:r>
      <w:smartTag w:uri="urn:schemas-microsoft-com:office:smarttags" w:element="place">
        <w:smartTag w:uri="urn:schemas-microsoft-com:office:smarttags" w:element="PlaceType">
          <w:r>
            <w:rPr>
              <w:rFonts w:ascii="Times" w:hAnsi="Times"/>
              <w:b/>
              <w:color w:val="000000"/>
              <w:sz w:val="24"/>
            </w:rPr>
            <w:t>County</w:t>
          </w:r>
        </w:smartTag>
        <w:r>
          <w:rPr>
            <w:rFonts w:ascii="Times" w:hAnsi="Times"/>
            <w:b/>
            <w:color w:val="000000"/>
            <w:sz w:val="24"/>
          </w:rPr>
          <w:t xml:space="preserve"> </w:t>
        </w:r>
        <w:smartTag w:uri="urn:schemas-microsoft-com:office:smarttags" w:element="PlaceName">
          <w:r>
            <w:rPr>
              <w:rFonts w:ascii="Times" w:hAnsi="Times"/>
              <w:b/>
              <w:color w:val="000000"/>
              <w:sz w:val="24"/>
            </w:rPr>
            <w:t>Judges</w:t>
          </w:r>
        </w:smartTag>
      </w:smartTag>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sz w:val="28"/>
        </w:rPr>
      </w:pP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r>
        <w:rPr>
          <w:rFonts w:ascii="Times" w:hAnsi="Times"/>
          <w:color w:val="000000"/>
        </w:rPr>
        <w:t>The data in the table provides the basis for the analysis.  We provide notes as a guide to answering questions 1 through 5.</w:t>
      </w: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 xml:space="preserve">1.  </w:t>
      </w:r>
      <w:r>
        <w:rPr>
          <w:rFonts w:ascii="Times" w:hAnsi="Times"/>
          <w:color w:val="000000"/>
        </w:rPr>
        <w:tab/>
        <w:t xml:space="preserve">The conditional probabilities of cases being appealed in the three courts are given in the 3 Total rows in the table.  For </w:t>
      </w:r>
      <w:smartTag w:uri="urn:schemas-microsoft-com:office:smarttags" w:element="Street">
        <w:smartTag w:uri="urn:schemas-microsoft-com:office:smarttags" w:element="address">
          <w:r>
            <w:rPr>
              <w:rFonts w:ascii="Times" w:hAnsi="Times"/>
              <w:color w:val="000000"/>
            </w:rPr>
            <w:t>Common Pleas Court</w:t>
          </w:r>
        </w:smartTag>
      </w:smartTag>
      <w:r>
        <w:rPr>
          <w:rFonts w:ascii="Times" w:hAnsi="Times"/>
          <w:color w:val="000000"/>
        </w:rPr>
        <w:t>, the probability of an appeal is .0401; for Domestic Relations Court, the probability of an appeal is .00348; and for Municipal Court, the probability of an appeal is .00461.  Appeals are much more likely in Common Pleas Court.  But, even there, only 1 in 25 cases are appealed.  The unconditional probability of an appeal across all 3 courts is</w:t>
      </w: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r>
        <w:rPr>
          <w:rFonts w:ascii="Times" w:hAnsi="Times"/>
          <w:color w:val="000000"/>
        </w:rPr>
        <w:tab/>
        <w:t>(1762 + 106 + 500)</w:t>
      </w:r>
      <w:proofErr w:type="gramStart"/>
      <w:r>
        <w:rPr>
          <w:rFonts w:ascii="Times" w:hAnsi="Times"/>
          <w:color w:val="000000"/>
        </w:rPr>
        <w:t>/(</w:t>
      </w:r>
      <w:proofErr w:type="gramEnd"/>
      <w:r>
        <w:rPr>
          <w:rFonts w:ascii="Times" w:hAnsi="Times"/>
          <w:color w:val="000000"/>
        </w:rPr>
        <w:t>43,945 + 30,499 + 108,464) = .0129.</w:t>
      </w: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 xml:space="preserve">2.  </w:t>
      </w:r>
      <w:r>
        <w:rPr>
          <w:rFonts w:ascii="Times" w:hAnsi="Times"/>
          <w:color w:val="000000"/>
        </w:rPr>
        <w:tab/>
        <w:t>The probability of a case being appealed for each judge is given in column 5 of the table.  Judges Winkler, Panioto and Grady have the lowest probability of appeal for Common Pleas, Domestic Relations and Municipal Courts respectively.</w:t>
      </w: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 xml:space="preserve">3.  </w:t>
      </w:r>
      <w:r>
        <w:rPr>
          <w:rFonts w:ascii="Times" w:hAnsi="Times"/>
          <w:color w:val="000000"/>
        </w:rPr>
        <w:tab/>
        <w:t>The probability of a case being reversed for each judge is given in column 7 of the table.  Judges Winkler, Panioto and Grady/Hair have the lowest probability of reversal for Common Pleas, Domestic Relations and Municipal Courts respectively.  These are the probabilities for reversal for all cases disposed of, not just the ones appealed.</w:t>
      </w: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 xml:space="preserve">4.  </w:t>
      </w:r>
      <w:r>
        <w:rPr>
          <w:rFonts w:ascii="Times" w:hAnsi="Times"/>
          <w:color w:val="000000"/>
        </w:rPr>
        <w:tab/>
        <w:t>The probability of a reversal given an appeal for each judge is given in column 9 of the table.  Judges Nurre, Panioto and Grady/Hair have the lowest probability of reversal for Common Pleas, Domestic Relations and Municipal Courts respectively.</w:t>
      </w: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 xml:space="preserve">5.  </w:t>
      </w:r>
      <w:r>
        <w:rPr>
          <w:rFonts w:ascii="Times" w:hAnsi="Times"/>
          <w:color w:val="000000"/>
        </w:rPr>
        <w:tab/>
        <w:t xml:space="preserve">We describe here how </w:t>
      </w:r>
      <w:r>
        <w:rPr>
          <w:rFonts w:ascii="Times" w:hAnsi="Times"/>
          <w:i/>
          <w:color w:val="000000"/>
        </w:rPr>
        <w:t>The Cincinnati Enquirer</w:t>
      </w:r>
      <w:r>
        <w:rPr>
          <w:rFonts w:ascii="Times" w:hAnsi="Times"/>
          <w:color w:val="000000"/>
        </w:rPr>
        <w:t xml:space="preserve"> used this data to rank the judges.  Other approaches may also be valid, but a rationale should be provided.  The newspaper provided ranking for each judge within each of the courts on percentage of cases appealed, percentage of cases reversed and percentage of appealed cases reversed.  Those rankings were the same as the ones we have computed based on probabilities in columns 6, 8 and 10 of the table.  Then they summed the 3 rankings to come up with a total ranking for each judge.  We provide those total ranks in column 11 of the table.  Judge Winkler is the highest ranked judge in Common Pleas Court, Judge Panioto is the highest ranked judge in Domestic Relations Court and Judge Grady is the highest ranked judge in Municipal Court.</w:t>
      </w: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r>
        <w:rPr>
          <w:rFonts w:ascii="Times" w:hAnsi="Times"/>
          <w:color w:val="000000"/>
        </w:rPr>
        <w:br w:type="page"/>
      </w:r>
      <w:smartTag w:uri="urn:schemas-microsoft-com:office:smarttags" w:element="Street">
        <w:smartTag w:uri="urn:schemas-microsoft-com:office:smarttags" w:element="address">
          <w:r>
            <w:rPr>
              <w:rFonts w:ascii="Times" w:hAnsi="Times"/>
              <w:color w:val="000000"/>
            </w:rPr>
            <w:lastRenderedPageBreak/>
            <w:t>Common Pleas Court</w:t>
          </w:r>
        </w:smartTag>
      </w:smartTag>
    </w:p>
    <w:p w:rsidR="006F2E66" w:rsidRDefault="00D67D31">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r>
        <w:rPr>
          <w:noProof/>
        </w:rPr>
        <w:drawing>
          <wp:inline distT="0" distB="0" distL="0" distR="0">
            <wp:extent cx="5705475" cy="3705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05475" cy="3705225"/>
                    </a:xfrm>
                    <a:prstGeom prst="rect">
                      <a:avLst/>
                    </a:prstGeom>
                    <a:noFill/>
                    <a:ln>
                      <a:noFill/>
                    </a:ln>
                  </pic:spPr>
                </pic:pic>
              </a:graphicData>
            </a:graphic>
          </wp:inline>
        </w:drawing>
      </w: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r>
        <w:rPr>
          <w:rFonts w:ascii="Times" w:hAnsi="Times"/>
          <w:color w:val="000000"/>
        </w:rPr>
        <w:t>Domestic Relations Court</w:t>
      </w:r>
    </w:p>
    <w:p w:rsidR="006F2E66" w:rsidRDefault="00D67D31">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rFonts w:ascii="Times" w:hAnsi="Times"/>
          <w:color w:val="000000"/>
        </w:rPr>
      </w:pPr>
      <w:r>
        <w:rPr>
          <w:noProof/>
        </w:rPr>
        <w:drawing>
          <wp:inline distT="0" distB="0" distL="0" distR="0">
            <wp:extent cx="5629275" cy="2028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29275" cy="2028825"/>
                    </a:xfrm>
                    <a:prstGeom prst="rect">
                      <a:avLst/>
                    </a:prstGeom>
                    <a:noFill/>
                    <a:ln>
                      <a:noFill/>
                    </a:ln>
                  </pic:spPr>
                </pic:pic>
              </a:graphicData>
            </a:graphic>
          </wp:inline>
        </w:drawing>
      </w: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p>
    <w:p w:rsidR="006F2E66" w:rsidRDefault="006F2E66">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r>
        <w:rPr>
          <w:rFonts w:ascii="Times" w:hAnsi="Times"/>
          <w:color w:val="000000"/>
        </w:rPr>
        <w:br w:type="page"/>
      </w:r>
      <w:r>
        <w:rPr>
          <w:rFonts w:ascii="Times" w:hAnsi="Times"/>
          <w:color w:val="000000"/>
        </w:rPr>
        <w:lastRenderedPageBreak/>
        <w:t>Municipal Court</w:t>
      </w:r>
    </w:p>
    <w:p w:rsidR="006F2E66" w:rsidRDefault="00D67D31">
      <w:pPr>
        <w:tabs>
          <w:tab w:val="left" w:pos="-936"/>
          <w:tab w:val="left" w:pos="-216"/>
          <w:tab w:val="left" w:pos="504"/>
          <w:tab w:val="left" w:pos="904"/>
          <w:tab w:val="left" w:pos="1164"/>
          <w:tab w:val="left" w:pos="1264"/>
          <w:tab w:val="left" w:pos="1704"/>
          <w:tab w:val="left" w:pos="2324"/>
          <w:tab w:val="left" w:pos="268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pPr>
      <w:r>
        <w:rPr>
          <w:noProof/>
        </w:rPr>
        <w:drawing>
          <wp:inline distT="0" distB="0" distL="0" distR="0">
            <wp:extent cx="5705475" cy="4267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5475" cy="4267200"/>
                    </a:xfrm>
                    <a:prstGeom prst="rect">
                      <a:avLst/>
                    </a:prstGeom>
                    <a:noFill/>
                    <a:ln>
                      <a:noFill/>
                    </a:ln>
                  </pic:spPr>
                </pic:pic>
              </a:graphicData>
            </a:graphic>
          </wp:inline>
        </w:drawing>
      </w:r>
    </w:p>
    <w:p w:rsidR="006B247D" w:rsidRPr="006B247D" w:rsidRDefault="006B247D" w:rsidP="006B247D">
      <w:pPr>
        <w:tabs>
          <w:tab w:val="left" w:pos="720"/>
        </w:tabs>
        <w:spacing w:before="100" w:after="100"/>
        <w:rPr>
          <w:rFonts w:ascii="Times" w:hAnsi="Times"/>
          <w:b/>
          <w:color w:val="000000"/>
          <w:sz w:val="24"/>
        </w:rPr>
      </w:pPr>
      <w:r>
        <w:br w:type="page"/>
      </w:r>
      <w:r w:rsidRPr="006B247D">
        <w:rPr>
          <w:rFonts w:ascii="Times" w:hAnsi="Times"/>
          <w:b/>
          <w:color w:val="000000"/>
          <w:sz w:val="24"/>
        </w:rPr>
        <w:lastRenderedPageBreak/>
        <w:t>Case Problem</w:t>
      </w:r>
      <w:r>
        <w:rPr>
          <w:rFonts w:ascii="Times" w:hAnsi="Times"/>
          <w:b/>
          <w:color w:val="000000"/>
          <w:sz w:val="24"/>
        </w:rPr>
        <w:t xml:space="preserve">:  </w:t>
      </w:r>
      <w:r w:rsidRPr="006B247D">
        <w:rPr>
          <w:rFonts w:ascii="Times" w:hAnsi="Times"/>
          <w:b/>
          <w:color w:val="000000"/>
          <w:sz w:val="24"/>
        </w:rPr>
        <w:t>College Softball Recruiting</w:t>
      </w: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sz w:val="28"/>
        </w:rPr>
      </w:pP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r>
        <w:rPr>
          <w:rFonts w:ascii="Times" w:hAnsi="Times"/>
          <w:color w:val="000000"/>
        </w:rPr>
        <w:t>The data in the table provides the basis for the analysis.  We provide notes as a guide to answering questions 1 through 4.</w:t>
      </w: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350"/>
        <w:gridCol w:w="1204"/>
        <w:gridCol w:w="1226"/>
        <w:gridCol w:w="1170"/>
      </w:tblGrid>
      <w:tr w:rsidR="006B247D" w:rsidRPr="006B247D" w:rsidTr="000105B3">
        <w:tc>
          <w:tcPr>
            <w:tcW w:w="1548" w:type="dxa"/>
            <w:tcBorders>
              <w:top w:val="nil"/>
              <w:left w:val="nil"/>
              <w:bottom w:val="nil"/>
            </w:tcBorders>
            <w:shd w:val="clear" w:color="auto" w:fill="auto"/>
          </w:tcPr>
          <w:p w:rsidR="006B247D" w:rsidRPr="006B247D" w:rsidRDefault="006B247D" w:rsidP="000105B3">
            <w:pPr>
              <w:spacing w:before="100" w:after="100"/>
            </w:pPr>
          </w:p>
        </w:tc>
        <w:tc>
          <w:tcPr>
            <w:tcW w:w="2554" w:type="dxa"/>
            <w:gridSpan w:val="2"/>
            <w:shd w:val="clear" w:color="auto" w:fill="auto"/>
          </w:tcPr>
          <w:p w:rsidR="006B247D" w:rsidRPr="006B247D" w:rsidRDefault="006B247D" w:rsidP="000105B3">
            <w:pPr>
              <w:spacing w:before="100" w:after="100"/>
              <w:jc w:val="center"/>
            </w:pPr>
            <w:r w:rsidRPr="006B247D">
              <w:t>Junior Year</w:t>
            </w:r>
          </w:p>
        </w:tc>
        <w:tc>
          <w:tcPr>
            <w:tcW w:w="2396" w:type="dxa"/>
            <w:gridSpan w:val="2"/>
            <w:shd w:val="clear" w:color="auto" w:fill="auto"/>
          </w:tcPr>
          <w:p w:rsidR="006B247D" w:rsidRPr="006B247D" w:rsidRDefault="006B247D" w:rsidP="000105B3">
            <w:pPr>
              <w:spacing w:before="100" w:after="100"/>
              <w:jc w:val="center"/>
            </w:pPr>
            <w:r w:rsidRPr="006B247D">
              <w:t>Senior Year</w:t>
            </w:r>
          </w:p>
        </w:tc>
      </w:tr>
      <w:tr w:rsidR="006B247D" w:rsidRPr="006B247D" w:rsidTr="000105B3">
        <w:tc>
          <w:tcPr>
            <w:tcW w:w="1548" w:type="dxa"/>
            <w:tcBorders>
              <w:top w:val="nil"/>
              <w:left w:val="nil"/>
            </w:tcBorders>
            <w:shd w:val="clear" w:color="auto" w:fill="auto"/>
          </w:tcPr>
          <w:p w:rsidR="006B247D" w:rsidRPr="006B247D" w:rsidRDefault="006B247D" w:rsidP="000105B3">
            <w:pPr>
              <w:spacing w:before="100" w:after="100"/>
            </w:pPr>
          </w:p>
        </w:tc>
        <w:tc>
          <w:tcPr>
            <w:tcW w:w="1350" w:type="dxa"/>
            <w:shd w:val="clear" w:color="auto" w:fill="auto"/>
          </w:tcPr>
          <w:p w:rsidR="006B247D" w:rsidRPr="006B247D" w:rsidRDefault="006B247D" w:rsidP="000105B3">
            <w:pPr>
              <w:spacing w:before="100" w:after="100"/>
              <w:jc w:val="center"/>
            </w:pPr>
            <w:r w:rsidRPr="006B247D">
              <w:t>At Bats</w:t>
            </w:r>
          </w:p>
        </w:tc>
        <w:tc>
          <w:tcPr>
            <w:tcW w:w="1204" w:type="dxa"/>
            <w:shd w:val="clear" w:color="auto" w:fill="auto"/>
          </w:tcPr>
          <w:p w:rsidR="006B247D" w:rsidRPr="006B247D" w:rsidRDefault="006B247D" w:rsidP="000105B3">
            <w:pPr>
              <w:spacing w:before="100" w:after="100"/>
              <w:jc w:val="center"/>
            </w:pPr>
            <w:r w:rsidRPr="006B247D">
              <w:t>Hits</w:t>
            </w:r>
          </w:p>
        </w:tc>
        <w:tc>
          <w:tcPr>
            <w:tcW w:w="1226" w:type="dxa"/>
            <w:shd w:val="clear" w:color="auto" w:fill="auto"/>
          </w:tcPr>
          <w:p w:rsidR="006B247D" w:rsidRPr="006B247D" w:rsidRDefault="006B247D" w:rsidP="000105B3">
            <w:pPr>
              <w:spacing w:before="100" w:after="100"/>
              <w:jc w:val="center"/>
            </w:pPr>
            <w:r w:rsidRPr="006B247D">
              <w:t>At Bats</w:t>
            </w:r>
          </w:p>
        </w:tc>
        <w:tc>
          <w:tcPr>
            <w:tcW w:w="1170" w:type="dxa"/>
            <w:shd w:val="clear" w:color="auto" w:fill="auto"/>
          </w:tcPr>
          <w:p w:rsidR="006B247D" w:rsidRPr="006B247D" w:rsidRDefault="006B247D" w:rsidP="000105B3">
            <w:pPr>
              <w:spacing w:before="100" w:after="100"/>
              <w:jc w:val="center"/>
            </w:pPr>
            <w:r w:rsidRPr="006B247D">
              <w:t>Hits</w:t>
            </w:r>
          </w:p>
        </w:tc>
      </w:tr>
      <w:tr w:rsidR="006B247D" w:rsidRPr="006B247D" w:rsidTr="000105B3">
        <w:tc>
          <w:tcPr>
            <w:tcW w:w="1548" w:type="dxa"/>
            <w:shd w:val="clear" w:color="auto" w:fill="auto"/>
          </w:tcPr>
          <w:p w:rsidR="006B247D" w:rsidRPr="006B247D" w:rsidRDefault="006B247D" w:rsidP="000105B3">
            <w:pPr>
              <w:spacing w:before="100" w:after="100"/>
            </w:pPr>
            <w:r w:rsidRPr="006B247D">
              <w:t>Fran Hayes</w:t>
            </w:r>
          </w:p>
        </w:tc>
        <w:tc>
          <w:tcPr>
            <w:tcW w:w="1350" w:type="dxa"/>
            <w:shd w:val="clear" w:color="auto" w:fill="auto"/>
          </w:tcPr>
          <w:p w:rsidR="006B247D" w:rsidRPr="006B247D" w:rsidRDefault="006B247D" w:rsidP="000105B3">
            <w:pPr>
              <w:spacing w:before="100" w:after="100"/>
              <w:jc w:val="center"/>
            </w:pPr>
            <w:r w:rsidRPr="006B247D">
              <w:t>200</w:t>
            </w:r>
          </w:p>
        </w:tc>
        <w:tc>
          <w:tcPr>
            <w:tcW w:w="1204" w:type="dxa"/>
            <w:shd w:val="clear" w:color="auto" w:fill="auto"/>
          </w:tcPr>
          <w:p w:rsidR="006B247D" w:rsidRPr="006B247D" w:rsidRDefault="006B247D" w:rsidP="000105B3">
            <w:pPr>
              <w:spacing w:before="100" w:after="100"/>
              <w:jc w:val="center"/>
            </w:pPr>
            <w:r w:rsidRPr="006B247D">
              <w:t>70</w:t>
            </w:r>
          </w:p>
        </w:tc>
        <w:tc>
          <w:tcPr>
            <w:tcW w:w="1226" w:type="dxa"/>
            <w:shd w:val="clear" w:color="auto" w:fill="auto"/>
          </w:tcPr>
          <w:p w:rsidR="006B247D" w:rsidRPr="006B247D" w:rsidRDefault="006B247D" w:rsidP="000105B3">
            <w:pPr>
              <w:spacing w:before="100" w:after="100"/>
              <w:jc w:val="center"/>
            </w:pPr>
            <w:r w:rsidRPr="006B247D">
              <w:t>40</w:t>
            </w:r>
          </w:p>
        </w:tc>
        <w:tc>
          <w:tcPr>
            <w:tcW w:w="1170" w:type="dxa"/>
            <w:shd w:val="clear" w:color="auto" w:fill="auto"/>
          </w:tcPr>
          <w:p w:rsidR="006B247D" w:rsidRPr="006B247D" w:rsidRDefault="006B247D" w:rsidP="000105B3">
            <w:pPr>
              <w:spacing w:before="100" w:after="100"/>
              <w:jc w:val="center"/>
            </w:pPr>
            <w:r w:rsidRPr="006B247D">
              <w:t>15</w:t>
            </w:r>
          </w:p>
        </w:tc>
      </w:tr>
      <w:tr w:rsidR="006B247D" w:rsidRPr="006B247D" w:rsidTr="000105B3">
        <w:tc>
          <w:tcPr>
            <w:tcW w:w="1548" w:type="dxa"/>
            <w:shd w:val="clear" w:color="auto" w:fill="auto"/>
          </w:tcPr>
          <w:p w:rsidR="006B247D" w:rsidRPr="006B247D" w:rsidRDefault="006B247D" w:rsidP="000105B3">
            <w:pPr>
              <w:spacing w:before="100" w:after="100"/>
            </w:pPr>
            <w:r w:rsidRPr="006B247D">
              <w:t>Millie Marshall</w:t>
            </w:r>
          </w:p>
        </w:tc>
        <w:tc>
          <w:tcPr>
            <w:tcW w:w="1350" w:type="dxa"/>
            <w:shd w:val="clear" w:color="auto" w:fill="auto"/>
          </w:tcPr>
          <w:p w:rsidR="006B247D" w:rsidRPr="006B247D" w:rsidRDefault="006B247D" w:rsidP="000105B3">
            <w:pPr>
              <w:spacing w:before="100" w:after="100"/>
              <w:jc w:val="center"/>
            </w:pPr>
            <w:r w:rsidRPr="006B247D">
              <w:t>196</w:t>
            </w:r>
          </w:p>
        </w:tc>
        <w:tc>
          <w:tcPr>
            <w:tcW w:w="1204" w:type="dxa"/>
            <w:shd w:val="clear" w:color="auto" w:fill="auto"/>
          </w:tcPr>
          <w:p w:rsidR="006B247D" w:rsidRPr="006B247D" w:rsidRDefault="006B247D" w:rsidP="000105B3">
            <w:pPr>
              <w:spacing w:before="100" w:after="100"/>
              <w:jc w:val="center"/>
            </w:pPr>
            <w:r w:rsidRPr="006B247D">
              <w:t>67</w:t>
            </w:r>
          </w:p>
        </w:tc>
        <w:tc>
          <w:tcPr>
            <w:tcW w:w="1226" w:type="dxa"/>
            <w:shd w:val="clear" w:color="auto" w:fill="auto"/>
          </w:tcPr>
          <w:p w:rsidR="006B247D" w:rsidRPr="006B247D" w:rsidRDefault="006B247D" w:rsidP="000105B3">
            <w:pPr>
              <w:spacing w:before="100" w:after="100"/>
              <w:jc w:val="center"/>
            </w:pPr>
            <w:r w:rsidRPr="006B247D">
              <w:t>205</w:t>
            </w:r>
          </w:p>
        </w:tc>
        <w:tc>
          <w:tcPr>
            <w:tcW w:w="1170" w:type="dxa"/>
            <w:shd w:val="clear" w:color="auto" w:fill="auto"/>
          </w:tcPr>
          <w:p w:rsidR="006B247D" w:rsidRPr="006B247D" w:rsidRDefault="006B247D" w:rsidP="000105B3">
            <w:pPr>
              <w:spacing w:before="100" w:after="100"/>
              <w:jc w:val="center"/>
            </w:pPr>
            <w:r w:rsidRPr="006B247D">
              <w:t>76</w:t>
            </w:r>
          </w:p>
        </w:tc>
      </w:tr>
    </w:tbl>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51506A" w:rsidRDefault="0051506A"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6B247D" w:rsidRPr="003B3B80"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pPr>
      <w:r w:rsidRPr="006B247D">
        <w:t>1</w:t>
      </w:r>
      <w:r w:rsidRPr="003B3B80">
        <w:rPr>
          <w:b/>
        </w:rPr>
        <w:t>.</w:t>
      </w:r>
      <w:r w:rsidRPr="003B3B80">
        <w:tab/>
      </w:r>
      <w:r>
        <w:tab/>
      </w:r>
      <w:r w:rsidRPr="003B3B80">
        <w:t>Calculate the batting average of each player for her junior year, then also calculate the batting average of each player for her senior year. Which player would this analysis lead you to choose?</w:t>
      </w:r>
    </w:p>
    <w:p w:rsidR="006B247D" w:rsidRPr="00B16775" w:rsidRDefault="006B247D" w:rsidP="006B247D">
      <w:pPr>
        <w:tabs>
          <w:tab w:val="left" w:pos="720"/>
        </w:tabs>
        <w:spacing w:before="100" w:after="100"/>
        <w:ind w:left="27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20"/>
        <w:gridCol w:w="630"/>
        <w:gridCol w:w="1170"/>
        <w:gridCol w:w="720"/>
        <w:gridCol w:w="630"/>
        <w:gridCol w:w="1080"/>
      </w:tblGrid>
      <w:tr w:rsidR="006B247D" w:rsidRPr="003B3B80" w:rsidTr="000105B3">
        <w:tc>
          <w:tcPr>
            <w:tcW w:w="1548" w:type="dxa"/>
            <w:tcBorders>
              <w:top w:val="nil"/>
              <w:left w:val="nil"/>
              <w:bottom w:val="nil"/>
            </w:tcBorders>
            <w:shd w:val="clear" w:color="auto" w:fill="auto"/>
          </w:tcPr>
          <w:p w:rsidR="006B247D" w:rsidRPr="003B3B80" w:rsidRDefault="006B247D" w:rsidP="000105B3">
            <w:pPr>
              <w:spacing w:before="100" w:after="100"/>
            </w:pPr>
          </w:p>
        </w:tc>
        <w:tc>
          <w:tcPr>
            <w:tcW w:w="2520" w:type="dxa"/>
            <w:gridSpan w:val="3"/>
            <w:shd w:val="clear" w:color="auto" w:fill="auto"/>
            <w:vAlign w:val="center"/>
          </w:tcPr>
          <w:p w:rsidR="006B247D" w:rsidRPr="003B3B80" w:rsidRDefault="006B247D" w:rsidP="000105B3">
            <w:pPr>
              <w:jc w:val="center"/>
            </w:pPr>
            <w:r w:rsidRPr="003B3B80">
              <w:t>Junior Year</w:t>
            </w:r>
          </w:p>
        </w:tc>
        <w:tc>
          <w:tcPr>
            <w:tcW w:w="2430" w:type="dxa"/>
            <w:gridSpan w:val="3"/>
            <w:shd w:val="clear" w:color="auto" w:fill="auto"/>
            <w:vAlign w:val="center"/>
          </w:tcPr>
          <w:p w:rsidR="006B247D" w:rsidRPr="003B3B80" w:rsidRDefault="006B247D" w:rsidP="000105B3">
            <w:pPr>
              <w:jc w:val="center"/>
            </w:pPr>
            <w:r w:rsidRPr="003B3B80">
              <w:t>Senior Year</w:t>
            </w:r>
          </w:p>
        </w:tc>
      </w:tr>
      <w:tr w:rsidR="006B247D" w:rsidRPr="003B3B80" w:rsidTr="000105B3">
        <w:tc>
          <w:tcPr>
            <w:tcW w:w="1548" w:type="dxa"/>
            <w:tcBorders>
              <w:top w:val="nil"/>
              <w:left w:val="nil"/>
            </w:tcBorders>
            <w:shd w:val="clear" w:color="auto" w:fill="auto"/>
          </w:tcPr>
          <w:p w:rsidR="006B247D" w:rsidRPr="003B3B80" w:rsidRDefault="006B247D" w:rsidP="000105B3">
            <w:pPr>
              <w:spacing w:before="100" w:after="100"/>
            </w:pPr>
          </w:p>
        </w:tc>
        <w:tc>
          <w:tcPr>
            <w:tcW w:w="720" w:type="dxa"/>
            <w:shd w:val="clear" w:color="auto" w:fill="auto"/>
            <w:vAlign w:val="center"/>
          </w:tcPr>
          <w:p w:rsidR="006B247D" w:rsidRPr="003B3B80" w:rsidRDefault="006B247D" w:rsidP="000105B3">
            <w:pPr>
              <w:spacing w:before="100" w:after="100"/>
              <w:jc w:val="center"/>
            </w:pPr>
            <w:r w:rsidRPr="003B3B80">
              <w:t>At Bats</w:t>
            </w:r>
          </w:p>
        </w:tc>
        <w:tc>
          <w:tcPr>
            <w:tcW w:w="630" w:type="dxa"/>
            <w:shd w:val="clear" w:color="auto" w:fill="auto"/>
            <w:vAlign w:val="center"/>
          </w:tcPr>
          <w:p w:rsidR="006B247D" w:rsidRPr="003B3B80" w:rsidRDefault="006B247D" w:rsidP="000105B3">
            <w:pPr>
              <w:spacing w:before="100" w:after="100"/>
              <w:jc w:val="center"/>
            </w:pPr>
            <w:r w:rsidRPr="003B3B80">
              <w:t>Hits</w:t>
            </w:r>
          </w:p>
        </w:tc>
        <w:tc>
          <w:tcPr>
            <w:tcW w:w="1170" w:type="dxa"/>
            <w:shd w:val="clear" w:color="auto" w:fill="auto"/>
            <w:vAlign w:val="center"/>
          </w:tcPr>
          <w:p w:rsidR="006B247D" w:rsidRPr="003B3B80" w:rsidRDefault="006B247D" w:rsidP="000105B3">
            <w:pPr>
              <w:spacing w:before="100" w:after="100"/>
              <w:jc w:val="center"/>
            </w:pPr>
            <w:r w:rsidRPr="003B3B80">
              <w:t>Batting Average</w:t>
            </w:r>
          </w:p>
        </w:tc>
        <w:tc>
          <w:tcPr>
            <w:tcW w:w="720" w:type="dxa"/>
            <w:shd w:val="clear" w:color="auto" w:fill="auto"/>
            <w:vAlign w:val="center"/>
          </w:tcPr>
          <w:p w:rsidR="006B247D" w:rsidRPr="003B3B80" w:rsidRDefault="006B247D" w:rsidP="000105B3">
            <w:pPr>
              <w:spacing w:before="100" w:after="100"/>
              <w:jc w:val="center"/>
            </w:pPr>
            <w:r w:rsidRPr="003B3B80">
              <w:t>At Bats</w:t>
            </w:r>
          </w:p>
        </w:tc>
        <w:tc>
          <w:tcPr>
            <w:tcW w:w="630" w:type="dxa"/>
            <w:shd w:val="clear" w:color="auto" w:fill="auto"/>
            <w:vAlign w:val="center"/>
          </w:tcPr>
          <w:p w:rsidR="006B247D" w:rsidRPr="003B3B80" w:rsidRDefault="006B247D" w:rsidP="000105B3">
            <w:pPr>
              <w:spacing w:before="100" w:after="100"/>
              <w:jc w:val="center"/>
            </w:pPr>
            <w:r w:rsidRPr="003B3B80">
              <w:t>Hits</w:t>
            </w:r>
          </w:p>
        </w:tc>
        <w:tc>
          <w:tcPr>
            <w:tcW w:w="1080" w:type="dxa"/>
            <w:shd w:val="clear" w:color="auto" w:fill="auto"/>
            <w:vAlign w:val="center"/>
          </w:tcPr>
          <w:p w:rsidR="006B247D" w:rsidRPr="003B3B80" w:rsidRDefault="006B247D" w:rsidP="000105B3">
            <w:pPr>
              <w:spacing w:before="100" w:after="100"/>
              <w:jc w:val="center"/>
            </w:pPr>
            <w:r w:rsidRPr="003B3B80">
              <w:t>Batting Average</w:t>
            </w:r>
          </w:p>
        </w:tc>
      </w:tr>
      <w:tr w:rsidR="006B247D" w:rsidRPr="003B3B80" w:rsidTr="000105B3">
        <w:tc>
          <w:tcPr>
            <w:tcW w:w="1548" w:type="dxa"/>
            <w:shd w:val="clear" w:color="auto" w:fill="auto"/>
          </w:tcPr>
          <w:p w:rsidR="006B247D" w:rsidRPr="003B3B80" w:rsidRDefault="006B247D" w:rsidP="000105B3">
            <w:pPr>
              <w:spacing w:before="100" w:after="100"/>
            </w:pPr>
            <w:r w:rsidRPr="003B3B80">
              <w:t>Fran Hayes</w:t>
            </w:r>
          </w:p>
        </w:tc>
        <w:tc>
          <w:tcPr>
            <w:tcW w:w="720" w:type="dxa"/>
            <w:shd w:val="clear" w:color="auto" w:fill="auto"/>
            <w:vAlign w:val="center"/>
          </w:tcPr>
          <w:p w:rsidR="006B247D" w:rsidRPr="003B3B80" w:rsidRDefault="006B247D" w:rsidP="000105B3">
            <w:pPr>
              <w:jc w:val="center"/>
            </w:pPr>
            <w:r w:rsidRPr="003B3B80">
              <w:t>200</w:t>
            </w:r>
          </w:p>
        </w:tc>
        <w:tc>
          <w:tcPr>
            <w:tcW w:w="630" w:type="dxa"/>
            <w:shd w:val="clear" w:color="auto" w:fill="auto"/>
            <w:vAlign w:val="center"/>
          </w:tcPr>
          <w:p w:rsidR="006B247D" w:rsidRPr="003B3B80" w:rsidRDefault="006B247D" w:rsidP="000105B3">
            <w:pPr>
              <w:jc w:val="center"/>
            </w:pPr>
            <w:r w:rsidRPr="003B3B80">
              <w:t>70</w:t>
            </w:r>
          </w:p>
        </w:tc>
        <w:tc>
          <w:tcPr>
            <w:tcW w:w="1170" w:type="dxa"/>
            <w:shd w:val="clear" w:color="auto" w:fill="auto"/>
            <w:vAlign w:val="center"/>
          </w:tcPr>
          <w:p w:rsidR="006B247D" w:rsidRPr="003B3B80" w:rsidRDefault="006B247D" w:rsidP="000105B3">
            <w:pPr>
              <w:jc w:val="center"/>
            </w:pPr>
            <w:r w:rsidRPr="003B3B80">
              <w:t>0.350</w:t>
            </w:r>
          </w:p>
        </w:tc>
        <w:tc>
          <w:tcPr>
            <w:tcW w:w="720" w:type="dxa"/>
            <w:shd w:val="clear" w:color="auto" w:fill="auto"/>
            <w:vAlign w:val="center"/>
          </w:tcPr>
          <w:p w:rsidR="006B247D" w:rsidRPr="003B3B80" w:rsidRDefault="006B247D" w:rsidP="000105B3">
            <w:pPr>
              <w:jc w:val="center"/>
            </w:pPr>
            <w:r w:rsidRPr="003B3B80">
              <w:t>40</w:t>
            </w:r>
          </w:p>
        </w:tc>
        <w:tc>
          <w:tcPr>
            <w:tcW w:w="630" w:type="dxa"/>
            <w:shd w:val="clear" w:color="auto" w:fill="auto"/>
            <w:vAlign w:val="center"/>
          </w:tcPr>
          <w:p w:rsidR="006B247D" w:rsidRPr="003B3B80" w:rsidRDefault="006B247D" w:rsidP="000105B3">
            <w:pPr>
              <w:jc w:val="center"/>
            </w:pPr>
            <w:r w:rsidRPr="003B3B80">
              <w:t>15</w:t>
            </w:r>
          </w:p>
        </w:tc>
        <w:tc>
          <w:tcPr>
            <w:tcW w:w="1080" w:type="dxa"/>
            <w:shd w:val="clear" w:color="auto" w:fill="auto"/>
            <w:vAlign w:val="center"/>
          </w:tcPr>
          <w:p w:rsidR="006B247D" w:rsidRPr="003B3B80" w:rsidRDefault="006B247D" w:rsidP="000105B3">
            <w:pPr>
              <w:jc w:val="center"/>
            </w:pPr>
            <w:r w:rsidRPr="003B3B80">
              <w:t>0.375</w:t>
            </w:r>
          </w:p>
        </w:tc>
      </w:tr>
      <w:tr w:rsidR="006B247D" w:rsidRPr="003B3B80" w:rsidTr="000105B3">
        <w:tc>
          <w:tcPr>
            <w:tcW w:w="1548" w:type="dxa"/>
            <w:shd w:val="clear" w:color="auto" w:fill="auto"/>
          </w:tcPr>
          <w:p w:rsidR="006B247D" w:rsidRPr="003B3B80" w:rsidRDefault="006B247D" w:rsidP="000105B3">
            <w:pPr>
              <w:spacing w:before="100" w:after="100"/>
            </w:pPr>
            <w:r w:rsidRPr="003B3B80">
              <w:t>Millie Marshall</w:t>
            </w:r>
          </w:p>
        </w:tc>
        <w:tc>
          <w:tcPr>
            <w:tcW w:w="720" w:type="dxa"/>
            <w:shd w:val="clear" w:color="auto" w:fill="auto"/>
            <w:vAlign w:val="center"/>
          </w:tcPr>
          <w:p w:rsidR="006B247D" w:rsidRPr="003B3B80" w:rsidRDefault="006B247D" w:rsidP="000105B3">
            <w:pPr>
              <w:jc w:val="center"/>
            </w:pPr>
            <w:r w:rsidRPr="003B3B80">
              <w:t>196</w:t>
            </w:r>
          </w:p>
        </w:tc>
        <w:tc>
          <w:tcPr>
            <w:tcW w:w="630" w:type="dxa"/>
            <w:shd w:val="clear" w:color="auto" w:fill="auto"/>
            <w:vAlign w:val="center"/>
          </w:tcPr>
          <w:p w:rsidR="006B247D" w:rsidRPr="003B3B80" w:rsidRDefault="006B247D" w:rsidP="000105B3">
            <w:pPr>
              <w:jc w:val="center"/>
            </w:pPr>
            <w:r w:rsidRPr="003B3B80">
              <w:t>67</w:t>
            </w:r>
          </w:p>
        </w:tc>
        <w:tc>
          <w:tcPr>
            <w:tcW w:w="1170" w:type="dxa"/>
            <w:shd w:val="clear" w:color="auto" w:fill="auto"/>
            <w:vAlign w:val="center"/>
          </w:tcPr>
          <w:p w:rsidR="006B247D" w:rsidRPr="003B3B80" w:rsidRDefault="006B247D" w:rsidP="000105B3">
            <w:pPr>
              <w:jc w:val="center"/>
            </w:pPr>
            <w:r w:rsidRPr="003B3B80">
              <w:t>0.342</w:t>
            </w:r>
          </w:p>
        </w:tc>
        <w:tc>
          <w:tcPr>
            <w:tcW w:w="720" w:type="dxa"/>
            <w:shd w:val="clear" w:color="auto" w:fill="auto"/>
            <w:vAlign w:val="center"/>
          </w:tcPr>
          <w:p w:rsidR="006B247D" w:rsidRPr="003B3B80" w:rsidRDefault="006B247D" w:rsidP="000105B3">
            <w:pPr>
              <w:jc w:val="center"/>
            </w:pPr>
            <w:r w:rsidRPr="003B3B80">
              <w:t>205</w:t>
            </w:r>
          </w:p>
        </w:tc>
        <w:tc>
          <w:tcPr>
            <w:tcW w:w="630" w:type="dxa"/>
            <w:shd w:val="clear" w:color="auto" w:fill="auto"/>
            <w:vAlign w:val="center"/>
          </w:tcPr>
          <w:p w:rsidR="006B247D" w:rsidRPr="003B3B80" w:rsidRDefault="006B247D" w:rsidP="000105B3">
            <w:pPr>
              <w:jc w:val="center"/>
            </w:pPr>
            <w:r w:rsidRPr="003B3B80">
              <w:t>76</w:t>
            </w:r>
          </w:p>
        </w:tc>
        <w:tc>
          <w:tcPr>
            <w:tcW w:w="1080" w:type="dxa"/>
            <w:shd w:val="clear" w:color="auto" w:fill="auto"/>
            <w:vAlign w:val="center"/>
          </w:tcPr>
          <w:p w:rsidR="006B247D" w:rsidRPr="003B3B80" w:rsidRDefault="006B247D" w:rsidP="000105B3">
            <w:pPr>
              <w:jc w:val="center"/>
            </w:pPr>
            <w:r w:rsidRPr="003B3B80">
              <w:t>0.371</w:t>
            </w:r>
          </w:p>
        </w:tc>
      </w:tr>
    </w:tbl>
    <w:p w:rsidR="006B247D" w:rsidRPr="003B3B80" w:rsidRDefault="006B247D" w:rsidP="006B247D">
      <w:pPr>
        <w:tabs>
          <w:tab w:val="left" w:pos="720"/>
        </w:tabs>
        <w:spacing w:before="100" w:after="100"/>
        <w:ind w:left="270"/>
      </w:pP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pPr>
      <w:r>
        <w:rPr>
          <w:rFonts w:ascii="Times" w:hAnsi="Times"/>
          <w:color w:val="000000"/>
        </w:rPr>
        <w:tab/>
      </w:r>
      <w:r>
        <w:rPr>
          <w:rFonts w:ascii="Times" w:hAnsi="Times"/>
          <w:color w:val="000000"/>
        </w:rPr>
        <w:tab/>
      </w:r>
      <w:r w:rsidRPr="003B3B80">
        <w:t xml:space="preserve">Fran Hayes had a higher batting average than Millie Marshall during their junior year and during their senior year. This analysis suggests </w:t>
      </w:r>
      <w:r>
        <w:t xml:space="preserve">the university should offer </w:t>
      </w:r>
      <w:r w:rsidRPr="003B3B80">
        <w:t>Fran the scholarship.</w:t>
      </w: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pP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Style w:val="NL1"/>
        </w:rPr>
      </w:pPr>
      <w:r>
        <w:t>2</w:t>
      </w:r>
      <w:r w:rsidRPr="003B3B80">
        <w:rPr>
          <w:rStyle w:val="NL1"/>
          <w:b/>
          <w:bCs/>
        </w:rPr>
        <w:t>.</w:t>
      </w:r>
      <w:r w:rsidRPr="003B3B80">
        <w:rPr>
          <w:rStyle w:val="NL1"/>
        </w:rPr>
        <w:tab/>
      </w:r>
      <w:r>
        <w:rPr>
          <w:rStyle w:val="NL1"/>
        </w:rPr>
        <w:tab/>
      </w:r>
      <w:r w:rsidRPr="003B3B80">
        <w:rPr>
          <w:rStyle w:val="NL1"/>
        </w:rPr>
        <w:t>Calculate the batting average of each player for her combined junior and senior years. Which player would this analysis lead you to choose?</w:t>
      </w:r>
    </w:p>
    <w:p w:rsidR="006B247D" w:rsidRPr="003B3B80" w:rsidRDefault="006B247D" w:rsidP="006B247D">
      <w:pPr>
        <w:tabs>
          <w:tab w:val="left" w:pos="0"/>
        </w:tabs>
        <w:spacing w:before="100" w:after="100"/>
        <w:ind w:left="270" w:hanging="270"/>
        <w:rPr>
          <w:rStyle w:val="N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20"/>
        <w:gridCol w:w="720"/>
        <w:gridCol w:w="1170"/>
      </w:tblGrid>
      <w:tr w:rsidR="006B247D" w:rsidRPr="003B3B80" w:rsidTr="000105B3">
        <w:tc>
          <w:tcPr>
            <w:tcW w:w="1548" w:type="dxa"/>
            <w:tcBorders>
              <w:top w:val="nil"/>
              <w:left w:val="nil"/>
              <w:bottom w:val="nil"/>
            </w:tcBorders>
            <w:shd w:val="clear" w:color="auto" w:fill="auto"/>
          </w:tcPr>
          <w:p w:rsidR="006B247D" w:rsidRPr="003B3B80" w:rsidRDefault="006B247D" w:rsidP="000105B3">
            <w:pPr>
              <w:spacing w:before="100" w:after="100"/>
            </w:pPr>
          </w:p>
        </w:tc>
        <w:tc>
          <w:tcPr>
            <w:tcW w:w="2610" w:type="dxa"/>
            <w:gridSpan w:val="3"/>
            <w:shd w:val="clear" w:color="auto" w:fill="auto"/>
            <w:vAlign w:val="center"/>
          </w:tcPr>
          <w:p w:rsidR="006B247D" w:rsidRPr="003B3B80" w:rsidRDefault="006B247D" w:rsidP="000105B3">
            <w:pPr>
              <w:jc w:val="center"/>
            </w:pPr>
            <w:r w:rsidRPr="003B3B80">
              <w:t xml:space="preserve">Combined Junior </w:t>
            </w:r>
          </w:p>
          <w:p w:rsidR="006B247D" w:rsidRPr="003B3B80" w:rsidRDefault="006B247D" w:rsidP="000105B3">
            <w:pPr>
              <w:jc w:val="center"/>
            </w:pPr>
            <w:r w:rsidRPr="003B3B80">
              <w:t>&amp; Senior Years</w:t>
            </w:r>
          </w:p>
        </w:tc>
      </w:tr>
      <w:tr w:rsidR="006B247D" w:rsidRPr="003B3B80" w:rsidTr="000105B3">
        <w:tc>
          <w:tcPr>
            <w:tcW w:w="1548" w:type="dxa"/>
            <w:tcBorders>
              <w:top w:val="nil"/>
              <w:left w:val="nil"/>
            </w:tcBorders>
            <w:shd w:val="clear" w:color="auto" w:fill="auto"/>
          </w:tcPr>
          <w:p w:rsidR="006B247D" w:rsidRPr="003B3B80" w:rsidRDefault="006B247D" w:rsidP="000105B3">
            <w:pPr>
              <w:spacing w:before="100" w:after="100"/>
            </w:pPr>
          </w:p>
        </w:tc>
        <w:tc>
          <w:tcPr>
            <w:tcW w:w="720" w:type="dxa"/>
            <w:shd w:val="clear" w:color="auto" w:fill="auto"/>
            <w:vAlign w:val="center"/>
          </w:tcPr>
          <w:p w:rsidR="006B247D" w:rsidRPr="003B3B80" w:rsidRDefault="006B247D" w:rsidP="000105B3">
            <w:pPr>
              <w:spacing w:before="100" w:after="100"/>
              <w:jc w:val="center"/>
            </w:pPr>
            <w:r w:rsidRPr="003B3B80">
              <w:t>At Bats</w:t>
            </w:r>
          </w:p>
        </w:tc>
        <w:tc>
          <w:tcPr>
            <w:tcW w:w="720" w:type="dxa"/>
            <w:shd w:val="clear" w:color="auto" w:fill="auto"/>
            <w:vAlign w:val="center"/>
          </w:tcPr>
          <w:p w:rsidR="006B247D" w:rsidRPr="003B3B80" w:rsidRDefault="006B247D" w:rsidP="000105B3">
            <w:pPr>
              <w:spacing w:before="100" w:after="100"/>
              <w:jc w:val="center"/>
            </w:pPr>
            <w:r w:rsidRPr="003B3B80">
              <w:t>Hits</w:t>
            </w:r>
          </w:p>
        </w:tc>
        <w:tc>
          <w:tcPr>
            <w:tcW w:w="1170" w:type="dxa"/>
            <w:shd w:val="clear" w:color="auto" w:fill="auto"/>
            <w:vAlign w:val="center"/>
          </w:tcPr>
          <w:p w:rsidR="006B247D" w:rsidRPr="003B3B80" w:rsidRDefault="006B247D" w:rsidP="000105B3">
            <w:pPr>
              <w:spacing w:before="100" w:after="100"/>
              <w:jc w:val="center"/>
            </w:pPr>
            <w:r w:rsidRPr="003B3B80">
              <w:t>Batting Average</w:t>
            </w:r>
          </w:p>
        </w:tc>
      </w:tr>
      <w:tr w:rsidR="006B247D" w:rsidRPr="003B3B80" w:rsidTr="000105B3">
        <w:tc>
          <w:tcPr>
            <w:tcW w:w="1548" w:type="dxa"/>
            <w:shd w:val="clear" w:color="auto" w:fill="auto"/>
          </w:tcPr>
          <w:p w:rsidR="006B247D" w:rsidRPr="003B3B80" w:rsidRDefault="006B247D" w:rsidP="000105B3">
            <w:pPr>
              <w:spacing w:before="100" w:after="100"/>
            </w:pPr>
            <w:r w:rsidRPr="003B3B80">
              <w:t>Fran Hayes</w:t>
            </w:r>
          </w:p>
        </w:tc>
        <w:tc>
          <w:tcPr>
            <w:tcW w:w="720" w:type="dxa"/>
            <w:shd w:val="clear" w:color="auto" w:fill="auto"/>
            <w:vAlign w:val="center"/>
          </w:tcPr>
          <w:p w:rsidR="006B247D" w:rsidRPr="003B3B80" w:rsidRDefault="006B247D" w:rsidP="000105B3">
            <w:pPr>
              <w:jc w:val="center"/>
            </w:pPr>
            <w:r w:rsidRPr="003B3B80">
              <w:t>240</w:t>
            </w:r>
          </w:p>
        </w:tc>
        <w:tc>
          <w:tcPr>
            <w:tcW w:w="720" w:type="dxa"/>
            <w:shd w:val="clear" w:color="auto" w:fill="auto"/>
            <w:vAlign w:val="center"/>
          </w:tcPr>
          <w:p w:rsidR="006B247D" w:rsidRPr="003B3B80" w:rsidRDefault="006B247D" w:rsidP="000105B3">
            <w:pPr>
              <w:jc w:val="center"/>
            </w:pPr>
            <w:r w:rsidRPr="003B3B80">
              <w:t>85</w:t>
            </w:r>
          </w:p>
        </w:tc>
        <w:tc>
          <w:tcPr>
            <w:tcW w:w="1170" w:type="dxa"/>
            <w:shd w:val="clear" w:color="auto" w:fill="auto"/>
            <w:vAlign w:val="center"/>
          </w:tcPr>
          <w:p w:rsidR="006B247D" w:rsidRPr="003B3B80" w:rsidRDefault="006B247D" w:rsidP="000105B3">
            <w:pPr>
              <w:jc w:val="center"/>
            </w:pPr>
            <w:r w:rsidRPr="003B3B80">
              <w:t>0.354</w:t>
            </w:r>
          </w:p>
        </w:tc>
      </w:tr>
      <w:tr w:rsidR="006B247D" w:rsidRPr="003B3B80" w:rsidTr="000105B3">
        <w:tc>
          <w:tcPr>
            <w:tcW w:w="1548" w:type="dxa"/>
            <w:shd w:val="clear" w:color="auto" w:fill="auto"/>
          </w:tcPr>
          <w:p w:rsidR="006B247D" w:rsidRPr="003B3B80" w:rsidRDefault="006B247D" w:rsidP="000105B3">
            <w:pPr>
              <w:spacing w:before="100" w:after="100"/>
            </w:pPr>
            <w:r w:rsidRPr="003B3B80">
              <w:t>Millie Marshall</w:t>
            </w:r>
          </w:p>
        </w:tc>
        <w:tc>
          <w:tcPr>
            <w:tcW w:w="720" w:type="dxa"/>
            <w:shd w:val="clear" w:color="auto" w:fill="auto"/>
            <w:vAlign w:val="center"/>
          </w:tcPr>
          <w:p w:rsidR="006B247D" w:rsidRPr="003B3B80" w:rsidRDefault="006B247D" w:rsidP="000105B3">
            <w:pPr>
              <w:jc w:val="center"/>
            </w:pPr>
            <w:r w:rsidRPr="003B3B80">
              <w:t>404</w:t>
            </w:r>
          </w:p>
        </w:tc>
        <w:tc>
          <w:tcPr>
            <w:tcW w:w="720" w:type="dxa"/>
            <w:shd w:val="clear" w:color="auto" w:fill="auto"/>
            <w:vAlign w:val="center"/>
          </w:tcPr>
          <w:p w:rsidR="006B247D" w:rsidRPr="003B3B80" w:rsidRDefault="006B247D" w:rsidP="000105B3">
            <w:pPr>
              <w:jc w:val="center"/>
            </w:pPr>
            <w:r w:rsidRPr="003B3B80">
              <w:t>143</w:t>
            </w:r>
          </w:p>
        </w:tc>
        <w:tc>
          <w:tcPr>
            <w:tcW w:w="1170" w:type="dxa"/>
            <w:shd w:val="clear" w:color="auto" w:fill="auto"/>
            <w:vAlign w:val="center"/>
          </w:tcPr>
          <w:p w:rsidR="006B247D" w:rsidRPr="003B3B80" w:rsidRDefault="006B247D" w:rsidP="000105B3">
            <w:pPr>
              <w:jc w:val="center"/>
            </w:pPr>
            <w:r w:rsidRPr="003B3B80">
              <w:t>0.357</w:t>
            </w:r>
          </w:p>
        </w:tc>
      </w:tr>
    </w:tbl>
    <w:p w:rsidR="006B247D" w:rsidRPr="003B3B80" w:rsidRDefault="006B247D" w:rsidP="006B247D">
      <w:pPr>
        <w:tabs>
          <w:tab w:val="left" w:pos="0"/>
        </w:tabs>
        <w:spacing w:before="100" w:after="100"/>
        <w:ind w:left="270"/>
        <w:rPr>
          <w:rStyle w:val="NL1"/>
        </w:rPr>
      </w:pP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Style w:val="NL1"/>
        </w:rPr>
      </w:pPr>
      <w:r>
        <w:rPr>
          <w:rFonts w:ascii="Times" w:hAnsi="Times"/>
          <w:color w:val="000000"/>
        </w:rPr>
        <w:tab/>
      </w:r>
      <w:r>
        <w:rPr>
          <w:rFonts w:ascii="Times" w:hAnsi="Times"/>
          <w:color w:val="000000"/>
        </w:rPr>
        <w:tab/>
      </w:r>
      <w:r w:rsidRPr="003B3B80">
        <w:rPr>
          <w:rStyle w:val="NL1"/>
        </w:rPr>
        <w:t xml:space="preserve">When each player’s junior and senior years are combined, Millie Marshall has a higher batting average than Fran Hayes. This analysis suggests </w:t>
      </w:r>
      <w:r>
        <w:rPr>
          <w:rStyle w:val="NL1"/>
        </w:rPr>
        <w:t xml:space="preserve">the university should offer </w:t>
      </w:r>
      <w:r w:rsidRPr="003B3B80">
        <w:rPr>
          <w:rStyle w:val="NL1"/>
        </w:rPr>
        <w:t>Millie the scholarship.</w:t>
      </w: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Style w:val="NL1"/>
        </w:rPr>
      </w:pP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Style w:val="NL1"/>
        </w:rPr>
      </w:pPr>
      <w:r>
        <w:rPr>
          <w:rStyle w:val="NL1"/>
        </w:rPr>
        <w:t>3</w:t>
      </w:r>
      <w:r w:rsidRPr="003B3B80">
        <w:rPr>
          <w:rStyle w:val="NL1"/>
        </w:rPr>
        <w:t>.</w:t>
      </w:r>
      <w:r w:rsidRPr="003B3B80">
        <w:rPr>
          <w:rStyle w:val="NL1"/>
        </w:rPr>
        <w:tab/>
      </w:r>
      <w:r>
        <w:rPr>
          <w:rStyle w:val="NL1"/>
        </w:rPr>
        <w:tab/>
      </w:r>
      <w:r w:rsidRPr="003B3B80">
        <w:rPr>
          <w:rStyle w:val="NL1"/>
        </w:rPr>
        <w:t>After considering both of your analyses, which player would you choose? Why?</w:t>
      </w: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Style w:val="NL1"/>
        </w:rPr>
      </w:pP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Style w:val="NL1"/>
        </w:rPr>
      </w:pPr>
      <w:r>
        <w:rPr>
          <w:rStyle w:val="NL1"/>
        </w:rPr>
        <w:tab/>
      </w:r>
      <w:r>
        <w:rPr>
          <w:rStyle w:val="NL1"/>
        </w:rPr>
        <w:tab/>
      </w:r>
      <w:r w:rsidRPr="003B3B80">
        <w:rPr>
          <w:rStyle w:val="NL1"/>
        </w:rPr>
        <w:t xml:space="preserve">Although Fran Hayes' batting average exceeds Millie Marshall’s batting average during both their junior and their senior years, Fran achieved her advantage during their senior year over substantially </w:t>
      </w:r>
      <w:r w:rsidRPr="003B3B80">
        <w:rPr>
          <w:rStyle w:val="NL1"/>
        </w:rPr>
        <w:lastRenderedPageBreak/>
        <w:t>fewer at bats (40 for Fran and 205 for Millie). Millie has actually proven herself over two full seasons and should be selected over Fran.</w:t>
      </w: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Style w:val="NL1"/>
        </w:rPr>
      </w:pP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Style w:val="NL1"/>
        </w:rPr>
      </w:pPr>
      <w:r w:rsidRPr="003B3B80">
        <w:rPr>
          <w:rStyle w:val="NL1"/>
        </w:rPr>
        <w:t>4.</w:t>
      </w:r>
      <w:r w:rsidRPr="003B3B80">
        <w:rPr>
          <w:rStyle w:val="NL1"/>
        </w:rPr>
        <w:tab/>
      </w:r>
      <w:r>
        <w:rPr>
          <w:rStyle w:val="NL1"/>
        </w:rPr>
        <w:tab/>
      </w:r>
      <w:r w:rsidRPr="003B3B80">
        <w:rPr>
          <w:rStyle w:val="NL1"/>
        </w:rPr>
        <w:t>Prepare a report on your findings for the athletic director and coach of the college program. Focus on clearly explaining the discrepancy in your two analyses.</w:t>
      </w: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Style w:val="NL1"/>
        </w:rPr>
      </w:pP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Style w:val="NL1"/>
        </w:rPr>
      </w:pPr>
      <w:r>
        <w:rPr>
          <w:rStyle w:val="NL1"/>
        </w:rPr>
        <w:tab/>
      </w:r>
      <w:r>
        <w:rPr>
          <w:rStyle w:val="NL1"/>
        </w:rPr>
        <w:tab/>
      </w:r>
      <w:r w:rsidRPr="003B3B80">
        <w:rPr>
          <w:rStyle w:val="NL1"/>
        </w:rPr>
        <w:t>In addition to explaining your responses to the previous questions, your report should explain how this seemingly paradoxical result has occurred. You could start by explaining that during their junior year, Millie Marshall had a slightly lower batting average than Fran Hayes over a similar number of at bats (196 for Millie and 200 for Fran). While both Fran and Millie imp</w:t>
      </w:r>
      <w:r>
        <w:rPr>
          <w:rStyle w:val="NL1"/>
        </w:rPr>
        <w:t>r</w:t>
      </w:r>
      <w:r w:rsidRPr="003B3B80">
        <w:rPr>
          <w:rStyle w:val="NL1"/>
        </w:rPr>
        <w:t>oved their batting averages during their senior years, Millie's improvement occurred over a far greater number of at bats (205 for Millie and 40 for Fran). Thus, even though Millie's batting average was again slightly lower than Fran's batting average during their senior year, Millie's senior year performance resulted in a greater overall improvement when combined with her junior year statistics.</w:t>
      </w:r>
    </w:p>
    <w:p w:rsidR="006B247D" w:rsidRDefault="006B247D" w:rsidP="006B247D">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Style w:val="NL1"/>
        </w:rPr>
      </w:pPr>
    </w:p>
    <w:sectPr w:rsidR="006B247D" w:rsidSect="00AE2A5B">
      <w:headerReference w:type="even" r:id="rId9"/>
      <w:headerReference w:type="default" r:id="rId10"/>
      <w:footerReference w:type="even" r:id="rId11"/>
      <w:footerReference w:type="default" r:id="rId12"/>
      <w:footerReference w:type="first" r:id="rId13"/>
      <w:pgSz w:w="12240" w:h="15840"/>
      <w:pgMar w:top="1440" w:right="1800" w:bottom="1440" w:left="1800" w:header="720" w:footer="720"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FFD" w:rsidRDefault="00DF2FFD">
      <w:r>
        <w:separator/>
      </w:r>
    </w:p>
  </w:endnote>
  <w:endnote w:type="continuationSeparator" w:id="0">
    <w:p w:rsidR="00DF2FFD" w:rsidRDefault="00DF2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659" w:rsidRDefault="00067659">
    <w:pPr>
      <w:pStyle w:val="Footer"/>
      <w:jc w:val="center"/>
    </w:pPr>
    <w:r>
      <w:t xml:space="preserve">CP - </w:t>
    </w:r>
    <w:r>
      <w:rPr>
        <w:rStyle w:val="PageNumber"/>
      </w:rPr>
      <w:fldChar w:fldCharType="begin"/>
    </w:r>
    <w:r>
      <w:rPr>
        <w:rStyle w:val="PageNumber"/>
      </w:rPr>
      <w:instrText xml:space="preserve"> PAGE </w:instrText>
    </w:r>
    <w:r>
      <w:rPr>
        <w:rStyle w:val="PageNumber"/>
      </w:rPr>
      <w:fldChar w:fldCharType="separate"/>
    </w:r>
    <w:r w:rsidR="008C28CE">
      <w:rPr>
        <w:rStyle w:val="PageNumber"/>
        <w:noProof/>
      </w:rPr>
      <w:t>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659" w:rsidRDefault="00067659">
    <w:pPr>
      <w:pStyle w:val="Footer"/>
      <w:jc w:val="center"/>
    </w:pPr>
    <w:r>
      <w:t xml:space="preserve">CP - </w:t>
    </w:r>
    <w:r>
      <w:rPr>
        <w:rStyle w:val="PageNumber"/>
      </w:rPr>
      <w:fldChar w:fldCharType="begin"/>
    </w:r>
    <w:r>
      <w:rPr>
        <w:rStyle w:val="PageNumber"/>
      </w:rPr>
      <w:instrText xml:space="preserve"> PAGE </w:instrText>
    </w:r>
    <w:r>
      <w:rPr>
        <w:rStyle w:val="PageNumber"/>
      </w:rPr>
      <w:fldChar w:fldCharType="separate"/>
    </w:r>
    <w:r w:rsidR="008C28CE">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659" w:rsidRDefault="00067659">
    <w:pPr>
      <w:pStyle w:val="Footer"/>
      <w:jc w:val="center"/>
    </w:pPr>
    <w:r>
      <w:t xml:space="preserve">CP - </w:t>
    </w:r>
    <w:r>
      <w:rPr>
        <w:rStyle w:val="PageNumber"/>
      </w:rPr>
      <w:fldChar w:fldCharType="begin"/>
    </w:r>
    <w:r>
      <w:rPr>
        <w:rStyle w:val="PageNumber"/>
      </w:rPr>
      <w:instrText xml:space="preserve"> PAGE </w:instrText>
    </w:r>
    <w:r>
      <w:rPr>
        <w:rStyle w:val="PageNumber"/>
      </w:rPr>
      <w:fldChar w:fldCharType="separate"/>
    </w:r>
    <w:r w:rsidR="008C28CE">
      <w:rPr>
        <w:rStyle w:val="PageNumber"/>
        <w:noProof/>
      </w:rPr>
      <w:t>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FFD" w:rsidRDefault="00DF2FFD">
      <w:r>
        <w:separator/>
      </w:r>
    </w:p>
  </w:footnote>
  <w:footnote w:type="continuationSeparator" w:id="0">
    <w:p w:rsidR="00DF2FFD" w:rsidRDefault="00DF2F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659" w:rsidRDefault="00067659">
    <w:pPr>
      <w:pStyle w:val="Header"/>
    </w:pPr>
    <w:r>
      <w:t>Chapter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659" w:rsidRDefault="008C28CE" w:rsidP="008C28CE">
    <w:pPr>
      <w:pStyle w:val="Header"/>
      <w:tabs>
        <w:tab w:val="clear" w:pos="4320"/>
      </w:tabs>
      <w:jc w:val="right"/>
    </w:pPr>
    <w:r w:rsidRPr="008C28CE">
      <w:t>Introduction to</w:t>
    </w:r>
    <w:r>
      <w:t xml:space="preserve"> </w:t>
    </w:r>
    <w:r w:rsidRPr="008C28CE">
      <w:t>Probability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527"/>
    <w:rsid w:val="000105B3"/>
    <w:rsid w:val="00067659"/>
    <w:rsid w:val="00366527"/>
    <w:rsid w:val="0051506A"/>
    <w:rsid w:val="006B247D"/>
    <w:rsid w:val="006F2E66"/>
    <w:rsid w:val="00761EA3"/>
    <w:rsid w:val="008C28CE"/>
    <w:rsid w:val="00936070"/>
    <w:rsid w:val="00AE2A5B"/>
    <w:rsid w:val="00D67D31"/>
    <w:rsid w:val="00DF2FFD"/>
    <w:rsid w:val="00E21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A6E63E39-5BBD-4CA2-ABA9-FE156C50E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6B24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L1">
    <w:name w:val="NL1"/>
    <w:rsid w:val="006B247D"/>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766</Words>
  <Characters>4368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Chapter 2</vt:lpstr>
    </vt:vector>
  </TitlesOfParts>
  <Company>Brown Dog</Company>
  <LinksUpToDate>false</LinksUpToDate>
  <CharactersWithSpaces>5124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Preferred Customer</dc:creator>
  <cp:keywords/>
  <cp:lastModifiedBy>reviewer</cp:lastModifiedBy>
  <cp:revision>2</cp:revision>
  <cp:lastPrinted>2005-08-21T21:20:00Z</cp:lastPrinted>
  <dcterms:created xsi:type="dcterms:W3CDTF">2014-06-03T20:00:00Z</dcterms:created>
  <dcterms:modified xsi:type="dcterms:W3CDTF">2014-06-03T20:00:00Z</dcterms:modified>
</cp:coreProperties>
</file>