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EC2" w:rsidRDefault="005E1EC2" w:rsidP="00052E34">
      <w:pPr>
        <w:jc w:val="center"/>
      </w:pPr>
      <w:r>
        <w:t>REEBY SPORTS</w:t>
      </w:r>
    </w:p>
    <w:p w:rsidR="003A62DB" w:rsidRDefault="000A670A" w:rsidP="00052E34">
      <w:pPr>
        <w:jc w:val="center"/>
      </w:pPr>
      <w:r>
        <w:t>Minicase solution, Chapter 4</w:t>
      </w:r>
    </w:p>
    <w:p w:rsidR="005E1EC2" w:rsidRDefault="005E1EC2" w:rsidP="00052E34"/>
    <w:p w:rsidR="005E1EC2" w:rsidRDefault="005E1EC2" w:rsidP="00052E34">
      <w:pPr>
        <w:jc w:val="center"/>
      </w:pPr>
      <w:r w:rsidRPr="000A670A">
        <w:rPr>
          <w:u w:val="single"/>
        </w:rPr>
        <w:t>Principles of Corporate Finance</w:t>
      </w:r>
      <w:r w:rsidR="0099039E">
        <w:t>, 1</w:t>
      </w:r>
      <w:r w:rsidR="00372155">
        <w:t>2</w:t>
      </w:r>
      <w:r>
        <w:rPr>
          <w:vertAlign w:val="superscript"/>
        </w:rPr>
        <w:t>th</w:t>
      </w:r>
      <w:r>
        <w:t xml:space="preserve"> Edition</w:t>
      </w:r>
    </w:p>
    <w:p w:rsidR="005E1EC2" w:rsidRDefault="005E1EC2" w:rsidP="00052E34">
      <w:pPr>
        <w:jc w:val="center"/>
      </w:pPr>
      <w:r>
        <w:t>R</w:t>
      </w:r>
      <w:r w:rsidR="003A62DB">
        <w:t>.</w:t>
      </w:r>
      <w:r>
        <w:t xml:space="preserve"> A. Brealey</w:t>
      </w:r>
      <w:r w:rsidR="003A62DB">
        <w:t xml:space="preserve">, </w:t>
      </w:r>
      <w:r>
        <w:t>S</w:t>
      </w:r>
      <w:r w:rsidR="003A62DB">
        <w:t>.</w:t>
      </w:r>
      <w:r>
        <w:t xml:space="preserve"> C. Myers</w:t>
      </w:r>
      <w:r w:rsidR="003A62DB">
        <w:t xml:space="preserve"> and F. Allen</w:t>
      </w:r>
    </w:p>
    <w:p w:rsidR="005E1EC2" w:rsidRDefault="005E1EC2" w:rsidP="00052E34"/>
    <w:p w:rsidR="005E1EC2" w:rsidRDefault="005E1EC2" w:rsidP="00052E34">
      <w:r>
        <w:tab/>
      </w:r>
      <w:r w:rsidR="003A62DB">
        <w:t>What is Reeby Sports</w:t>
      </w:r>
      <w:r>
        <w:t xml:space="preserve"> worth</w:t>
      </w:r>
      <w:r w:rsidR="003A62DB">
        <w:t xml:space="preserve"> per share</w:t>
      </w:r>
      <w:r w:rsidR="0067394E">
        <w:t xml:space="preserve">?  </w:t>
      </w:r>
      <w:r>
        <w:t xml:space="preserve">We </w:t>
      </w:r>
      <w:r w:rsidR="0010357B">
        <w:t>will</w:t>
      </w:r>
      <w:r>
        <w:t xml:space="preserve"> value the company using George</w:t>
      </w:r>
      <w:r w:rsidR="006A5E11">
        <w:t xml:space="preserve"> Reeby</w:t>
      </w:r>
      <w:r>
        <w:t>'s forecasts.</w:t>
      </w:r>
    </w:p>
    <w:p w:rsidR="005E1EC2" w:rsidRDefault="005E1EC2" w:rsidP="00052E34"/>
    <w:p w:rsidR="003A62DB" w:rsidRDefault="005E1EC2" w:rsidP="00052E34">
      <w:r>
        <w:tab/>
        <w:t>The</w:t>
      </w:r>
      <w:r w:rsidR="003A62DB">
        <w:t xml:space="preserve"> spreadsheet accompanying this solution </w:t>
      </w:r>
      <w:r w:rsidR="00870BBF">
        <w:t>sets out</w:t>
      </w:r>
      <w:r w:rsidR="003A62DB">
        <w:t xml:space="preserve"> a </w:t>
      </w:r>
      <w:r>
        <w:t>f</w:t>
      </w:r>
      <w:r w:rsidR="003A62DB">
        <w:t xml:space="preserve">orecast in the same general format as </w:t>
      </w:r>
      <w:r w:rsidR="000A670A">
        <w:t>T</w:t>
      </w:r>
      <w:r w:rsidR="009D53CF">
        <w:t xml:space="preserve">able </w:t>
      </w:r>
      <w:r w:rsidR="000A670A">
        <w:t>4.5</w:t>
      </w:r>
      <w:r w:rsidR="003A62DB">
        <w:t xml:space="preserve">. </w:t>
      </w:r>
      <w:r w:rsidR="0067394E">
        <w:t xml:space="preserve"> </w:t>
      </w:r>
      <w:r w:rsidR="000A670A">
        <w:t>His</w:t>
      </w:r>
      <w:r w:rsidR="00A835CD">
        <w:t>torical results from 2011</w:t>
      </w:r>
      <w:r w:rsidR="0067394E">
        <w:t xml:space="preserve"> to 20</w:t>
      </w:r>
      <w:r w:rsidR="00A835CD">
        <w:t>16</w:t>
      </w:r>
      <w:r w:rsidR="006C22BC">
        <w:t xml:space="preserve"> are also shown.</w:t>
      </w:r>
      <w:r w:rsidR="0067394E">
        <w:t xml:space="preserve"> </w:t>
      </w:r>
      <w:r w:rsidR="003A62DB">
        <w:t>Earnings per share (EPS)</w:t>
      </w:r>
      <w:r>
        <w:t xml:space="preserve"> </w:t>
      </w:r>
      <w:r w:rsidR="003A62DB">
        <w:t>equals return on equity (ROE) times starting book value per share (BVPS).</w:t>
      </w:r>
      <w:r w:rsidR="0067394E">
        <w:t xml:space="preserve"> </w:t>
      </w:r>
      <w:r w:rsidR="003A62DB">
        <w:t xml:space="preserve"> EPS is divided between dividends and retained earnings, depending on the dividend payout ratio.</w:t>
      </w:r>
      <w:r w:rsidR="0067394E">
        <w:t xml:space="preserve"> </w:t>
      </w:r>
      <w:r w:rsidR="003A62DB">
        <w:t xml:space="preserve">BVPS grows </w:t>
      </w:r>
      <w:r w:rsidR="006C22BC">
        <w:t>as retained earnings are reinvested</w:t>
      </w:r>
      <w:r w:rsidR="003A62DB">
        <w:t>.</w:t>
      </w:r>
    </w:p>
    <w:p w:rsidR="003A62DB" w:rsidRDefault="003A62DB" w:rsidP="00052E34"/>
    <w:p w:rsidR="006C22BC" w:rsidRDefault="003A62DB" w:rsidP="00052E34">
      <w:pPr>
        <w:ind w:firstLine="720"/>
      </w:pPr>
      <w:r>
        <w:t xml:space="preserve">The keys to Reeby Sports’ future value and growth are profitability (ROE) and </w:t>
      </w:r>
      <w:r w:rsidR="006A5E11">
        <w:t xml:space="preserve">the reinvestment of retained earnings. </w:t>
      </w:r>
      <w:r w:rsidR="0067394E">
        <w:t xml:space="preserve"> </w:t>
      </w:r>
      <w:r w:rsidR="006A5E11">
        <w:t xml:space="preserve">Retained earnings are determined by dividend </w:t>
      </w:r>
      <w:r>
        <w:t xml:space="preserve">payout. </w:t>
      </w:r>
      <w:r w:rsidR="0067394E">
        <w:t xml:space="preserve"> </w:t>
      </w:r>
      <w:r>
        <w:t xml:space="preserve">The spreadsheet sets ROE at 15% for the </w:t>
      </w:r>
      <w:r w:rsidR="00DC3858">
        <w:t>six</w:t>
      </w:r>
      <w:r w:rsidR="000A670A">
        <w:t xml:space="preserve"> years from 201</w:t>
      </w:r>
      <w:r w:rsidR="00114673">
        <w:t>8</w:t>
      </w:r>
      <w:r w:rsidR="00A835CD">
        <w:t xml:space="preserve"> to 2022</w:t>
      </w:r>
      <w:r w:rsidR="00C94DA5">
        <w:t xml:space="preserve">. </w:t>
      </w:r>
      <w:r w:rsidR="0067394E">
        <w:t xml:space="preserve"> </w:t>
      </w:r>
      <w:r w:rsidR="0010357B">
        <w:t xml:space="preserve">If </w:t>
      </w:r>
      <w:r w:rsidR="00C94DA5">
        <w:t>Reeby Sports will l</w:t>
      </w:r>
      <w:r w:rsidR="00A835CD">
        <w:t>ose its competitive edge by 2022</w:t>
      </w:r>
      <w:r w:rsidR="00C94DA5">
        <w:t xml:space="preserve">, </w:t>
      </w:r>
      <w:r>
        <w:t xml:space="preserve">then </w:t>
      </w:r>
      <w:r w:rsidR="00C94DA5">
        <w:t>it cannot continue earning more than its</w:t>
      </w:r>
      <w:r w:rsidR="00141A2B">
        <w:t xml:space="preserve"> </w:t>
      </w:r>
      <w:r>
        <w:t>10% cost of capital</w:t>
      </w:r>
      <w:r w:rsidR="00C94DA5">
        <w:t>.</w:t>
      </w:r>
      <w:r w:rsidR="0067394E">
        <w:t xml:space="preserve"> </w:t>
      </w:r>
      <w:r w:rsidR="00C94DA5">
        <w:t xml:space="preserve"> Therefore ROE is reduced to 10%</w:t>
      </w:r>
      <w:r>
        <w:t xml:space="preserve"> </w:t>
      </w:r>
      <w:r w:rsidR="00B30F64">
        <w:t>starting</w:t>
      </w:r>
      <w:r>
        <w:t xml:space="preserve"> </w:t>
      </w:r>
      <w:r w:rsidR="006A5E11">
        <w:t xml:space="preserve">in </w:t>
      </w:r>
      <w:r w:rsidR="000A670A">
        <w:t>20</w:t>
      </w:r>
      <w:r w:rsidR="00A835CD">
        <w:t>23</w:t>
      </w:r>
      <w:r>
        <w:t>.</w:t>
      </w:r>
      <w:r w:rsidR="001213A8">
        <w:rPr>
          <w:rStyle w:val="FootnoteReference"/>
        </w:rPr>
        <w:footnoteReference w:id="1"/>
      </w:r>
      <w:r>
        <w:t xml:space="preserve"> </w:t>
      </w:r>
    </w:p>
    <w:p w:rsidR="006C22BC" w:rsidRDefault="006C22BC" w:rsidP="00052E34">
      <w:pPr>
        <w:ind w:firstLine="720"/>
      </w:pPr>
    </w:p>
    <w:p w:rsidR="00B30F64" w:rsidRDefault="006A5E11" w:rsidP="00052E34">
      <w:pPr>
        <w:ind w:firstLine="720"/>
      </w:pPr>
      <w:r>
        <w:t>The payout ratio is set at .30</w:t>
      </w:r>
      <w:r w:rsidR="00B30F64">
        <w:t xml:space="preserve"> f</w:t>
      </w:r>
      <w:r w:rsidR="006C22BC">
        <w:t>rom</w:t>
      </w:r>
      <w:r w:rsidR="0067394E">
        <w:t xml:space="preserve"> 201</w:t>
      </w:r>
      <w:r w:rsidR="00114673">
        <w:t>8</w:t>
      </w:r>
      <w:r w:rsidR="006C22BC">
        <w:t xml:space="preserve"> onwards</w:t>
      </w:r>
      <w:r w:rsidR="00B30F64">
        <w:t xml:space="preserve">. </w:t>
      </w:r>
      <w:r w:rsidR="0067394E">
        <w:t xml:space="preserve"> </w:t>
      </w:r>
      <w:r w:rsidR="006C22BC">
        <w:t xml:space="preserve">Notice that the long-term growth rate, which </w:t>
      </w:r>
      <w:r>
        <w:t>settles in</w:t>
      </w:r>
      <w:r w:rsidR="000A670A">
        <w:t xml:space="preserve"> </w:t>
      </w:r>
      <w:r w:rsidR="00DC3858">
        <w:t xml:space="preserve">after </w:t>
      </w:r>
      <w:r w:rsidR="000A670A">
        <w:t>20</w:t>
      </w:r>
      <w:r w:rsidR="00F971B3">
        <w:t>23</w:t>
      </w:r>
      <w:r w:rsidR="006C22BC">
        <w:t>, is RO</w:t>
      </w:r>
      <w:r w:rsidR="009D53CF">
        <w:t xml:space="preserve">E × </w:t>
      </w:r>
      <w:proofErr w:type="gramStart"/>
      <w:r w:rsidR="009D53CF">
        <w:t>( 1</w:t>
      </w:r>
      <w:proofErr w:type="gramEnd"/>
      <w:r w:rsidR="009D53CF">
        <w:t xml:space="preserve"> – dividend payout ratio</w:t>
      </w:r>
      <w:r w:rsidR="006C22BC">
        <w:t>) = .10 × (1 - .30) = .07.</w:t>
      </w:r>
    </w:p>
    <w:p w:rsidR="00B30F64" w:rsidRDefault="00B30F64" w:rsidP="00052E34">
      <w:pPr>
        <w:ind w:firstLine="720"/>
      </w:pPr>
    </w:p>
    <w:p w:rsidR="005E1EC2" w:rsidRDefault="0010357B" w:rsidP="00141A2B">
      <w:pPr>
        <w:ind w:firstLine="720"/>
      </w:pPr>
      <w:r>
        <w:t xml:space="preserve">The spreadsheet allows you </w:t>
      </w:r>
      <w:r w:rsidR="00DC3858">
        <w:t xml:space="preserve">to </w:t>
      </w:r>
      <w:r>
        <w:t xml:space="preserve">vary ROE and the dividend </w:t>
      </w:r>
      <w:r w:rsidR="000A670A">
        <w:t>payout ratio separately for 201</w:t>
      </w:r>
      <w:r w:rsidR="00F971B3">
        <w:t>8-2022</w:t>
      </w:r>
      <w:r w:rsidR="000A670A">
        <w:t xml:space="preserve"> and f</w:t>
      </w:r>
      <w:r w:rsidR="00C0279C">
        <w:t>or</w:t>
      </w:r>
      <w:r w:rsidR="000A670A">
        <w:t xml:space="preserve"> 20</w:t>
      </w:r>
      <w:r w:rsidR="00F971B3">
        <w:t>23</w:t>
      </w:r>
      <w:r w:rsidR="00C0279C">
        <w:t>-2024</w:t>
      </w:r>
      <w:r>
        <w:t>.</w:t>
      </w:r>
      <w:r>
        <w:rPr>
          <w:rStyle w:val="FootnoteReference"/>
        </w:rPr>
        <w:footnoteReference w:id="2"/>
      </w:r>
      <w:r>
        <w:t xml:space="preserve"> </w:t>
      </w:r>
      <w:r w:rsidR="0067394E">
        <w:t xml:space="preserve"> </w:t>
      </w:r>
      <w:r>
        <w:t xml:space="preserve">But let’s </w:t>
      </w:r>
      <w:r w:rsidR="00870BBF">
        <w:t>start with</w:t>
      </w:r>
      <w:r w:rsidR="00141A2B">
        <w:t xml:space="preserve"> the initial input values</w:t>
      </w:r>
      <w:r w:rsidR="00B30F64">
        <w:t xml:space="preserve">. </w:t>
      </w:r>
      <w:r w:rsidR="0067394E">
        <w:t xml:space="preserve"> </w:t>
      </w:r>
      <w:r w:rsidR="006C22BC">
        <w:t xml:space="preserve">To </w:t>
      </w:r>
      <w:r w:rsidR="00C94DA5">
        <w:t xml:space="preserve">calculate share value, we have to </w:t>
      </w:r>
      <w:r w:rsidR="00DC3858">
        <w:t>esti</w:t>
      </w:r>
      <w:r w:rsidR="00F971B3">
        <w:t>mate a horizon value at H = 2022</w:t>
      </w:r>
      <w:r w:rsidR="00C94DA5">
        <w:t xml:space="preserve"> and add its PV to the PV of dividends</w:t>
      </w:r>
      <w:r w:rsidR="003A632E">
        <w:t xml:space="preserve"> from 201</w:t>
      </w:r>
      <w:r w:rsidR="00F971B3">
        <w:t>7 to 2022</w:t>
      </w:r>
      <w:r w:rsidR="00C94DA5">
        <w:t xml:space="preserve">. </w:t>
      </w:r>
      <w:r w:rsidR="0067394E">
        <w:t xml:space="preserve"> </w:t>
      </w:r>
      <w:r w:rsidR="006C22BC">
        <w:t>Using t</w:t>
      </w:r>
      <w:r w:rsidR="005E1EC2">
        <w:t>he constant-growth DCF formula</w:t>
      </w:r>
      <w:r w:rsidR="006C22BC">
        <w:t>,</w:t>
      </w:r>
    </w:p>
    <w:p w:rsidR="005E1EC2" w:rsidRDefault="005E1EC2" w:rsidP="00052E34"/>
    <w:bookmarkStart w:id="0" w:name="_GoBack"/>
    <w:p w:rsidR="005E1EC2" w:rsidRDefault="00870BBF" w:rsidP="00052E34">
      <w:pPr>
        <w:ind w:firstLine="720"/>
      </w:pPr>
      <w:r w:rsidRPr="00870BBF">
        <w:rPr>
          <w:position w:val="-24"/>
        </w:rPr>
        <w:object w:dxaOrig="2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30.75pt" o:ole="" fillcolor="window">
            <v:imagedata r:id="rId8" o:title=""/>
          </v:shape>
          <o:OLEObject Type="Embed" ProgID="Equation.DSMT4" ShapeID="_x0000_i1025" DrawAspect="Content" ObjectID="_1515821163" r:id="rId9"/>
        </w:object>
      </w:r>
      <w:bookmarkEnd w:id="0"/>
      <w:r w:rsidR="005E1EC2">
        <w:t xml:space="preserve"> </w:t>
      </w:r>
    </w:p>
    <w:p w:rsidR="005E1EC2" w:rsidRDefault="005E1EC2" w:rsidP="00052E34"/>
    <w:p w:rsidR="005E1EC2" w:rsidRDefault="003A632E" w:rsidP="00052E34">
      <w:r>
        <w:t>The PV of dividends from 201</w:t>
      </w:r>
      <w:r w:rsidR="00F971B3">
        <w:t>7 to 2022</w:t>
      </w:r>
      <w:r w:rsidR="009D53CF">
        <w:t xml:space="preserve"> is $3.43 </w:t>
      </w:r>
      <w:r>
        <w:t>at the start of 201</w:t>
      </w:r>
      <w:r w:rsidR="00F971B3">
        <w:t>7</w:t>
      </w:r>
      <w:r w:rsidR="006A5E11">
        <w:t>, so share value is</w:t>
      </w:r>
      <w:r w:rsidR="005E1EC2">
        <w:t>:</w:t>
      </w:r>
      <w:r w:rsidR="000A0A9D">
        <w:rPr>
          <w:rStyle w:val="FootnoteReference"/>
        </w:rPr>
        <w:footnoteReference w:id="3"/>
      </w:r>
    </w:p>
    <w:p w:rsidR="005E1EC2" w:rsidRDefault="005E1EC2" w:rsidP="00052E34"/>
    <w:p w:rsidR="005E1EC2" w:rsidRDefault="005E1EC2" w:rsidP="00052E34">
      <w:r>
        <w:lastRenderedPageBreak/>
        <w:tab/>
      </w:r>
      <w:r w:rsidR="00656A20" w:rsidRPr="00870BBF">
        <w:rPr>
          <w:position w:val="-28"/>
        </w:rPr>
        <w:object w:dxaOrig="2760" w:dyaOrig="660">
          <v:shape id="_x0000_i1026" type="#_x0000_t75" style="width:138pt;height:33pt" o:ole="" fillcolor="window">
            <v:imagedata r:id="rId10" o:title=""/>
          </v:shape>
          <o:OLEObject Type="Embed" ProgID="Equation.DSMT4" ShapeID="_x0000_i1026" DrawAspect="Content" ObjectID="_1515821164" r:id="rId11"/>
        </w:object>
      </w:r>
    </w:p>
    <w:p w:rsidR="00612203" w:rsidRDefault="00612203" w:rsidP="00612203"/>
    <w:p w:rsidR="00612203" w:rsidRDefault="00612203" w:rsidP="00A921BF">
      <w:r>
        <w:tab/>
        <w:t xml:space="preserve">The spreadsheet also calculates the PV of dividends </w:t>
      </w:r>
      <w:r w:rsidR="003A632E">
        <w:t>through 20</w:t>
      </w:r>
      <w:r w:rsidR="00F971B3">
        <w:t>24</w:t>
      </w:r>
      <w:r w:rsidR="003A632E">
        <w:t xml:space="preserve"> and the horizon value at 20</w:t>
      </w:r>
      <w:r w:rsidR="00F971B3">
        <w:t>24</w:t>
      </w:r>
      <w:r w:rsidR="003A632E">
        <w:t xml:space="preserve">. </w:t>
      </w:r>
      <w:r w:rsidR="0067394E">
        <w:t xml:space="preserve"> </w:t>
      </w:r>
      <w:r w:rsidR="003A632E">
        <w:t xml:space="preserve">Notice that the PV </w:t>
      </w:r>
      <w:r w:rsidR="00F971B3">
        <w:t>at the start of</w:t>
      </w:r>
      <w:r w:rsidR="003A632E">
        <w:t xml:space="preserve"> 201</w:t>
      </w:r>
      <w:r w:rsidR="00F971B3">
        <w:t>7</w:t>
      </w:r>
      <w:r>
        <w:t xml:space="preserve"> remains at $16.82. </w:t>
      </w:r>
      <w:r w:rsidR="0067394E">
        <w:t xml:space="preserve"> </w:t>
      </w:r>
      <w:r>
        <w:t>This makes sense, since the value of a firm should not depend on the investment horizon</w:t>
      </w:r>
      <w:r w:rsidR="00870BBF">
        <w:t xml:space="preserve"> chosen </w:t>
      </w:r>
      <w:r w:rsidR="009D53CF">
        <w:t>to calculate PV</w:t>
      </w:r>
      <w:r>
        <w:t>.</w:t>
      </w:r>
      <w:r w:rsidR="0067394E">
        <w:t xml:space="preserve">  (If you calculate a value that does depend on the horizon, you have made a mistake.)</w:t>
      </w:r>
    </w:p>
    <w:p w:rsidR="006C22BC" w:rsidRDefault="006C22BC" w:rsidP="00052E34"/>
    <w:p w:rsidR="005E1EC2" w:rsidRDefault="005E1EC2" w:rsidP="00052E34">
      <w:r>
        <w:tab/>
      </w:r>
      <w:r w:rsidR="001A30E2">
        <w:t xml:space="preserve">We have </w:t>
      </w:r>
      <w:r w:rsidR="00656A20">
        <w:t xml:space="preserve">reduced ROE </w:t>
      </w:r>
      <w:r w:rsidR="001A30E2">
        <w:t xml:space="preserve">to the </w:t>
      </w:r>
      <w:r w:rsidR="00656A20">
        <w:t xml:space="preserve">10% </w:t>
      </w:r>
      <w:r w:rsidR="001A30E2">
        <w:t>cost of capital after 2</w:t>
      </w:r>
      <w:r w:rsidR="00F971B3">
        <w:t>022</w:t>
      </w:r>
      <w:r w:rsidR="001A30E2">
        <w:t xml:space="preserve">, assuming that </w:t>
      </w:r>
      <w:proofErr w:type="spellStart"/>
      <w:r w:rsidR="001A30E2">
        <w:t>Reeby</w:t>
      </w:r>
      <w:proofErr w:type="spellEnd"/>
      <w:r w:rsidR="001A30E2">
        <w:t xml:space="preserve"> Sports will have exhausted valuable growth opportunit</w:t>
      </w:r>
      <w:r w:rsidR="0010357B">
        <w:t>i</w:t>
      </w:r>
      <w:r w:rsidR="001A30E2">
        <w:t>es</w:t>
      </w:r>
      <w:r w:rsidR="0010357B">
        <w:t xml:space="preserve"> by that date</w:t>
      </w:r>
      <w:r w:rsidR="00870BBF">
        <w:t xml:space="preserve">. </w:t>
      </w:r>
      <w:r w:rsidR="0067394E">
        <w:t xml:space="preserve"> </w:t>
      </w:r>
      <w:r w:rsidR="00870BBF">
        <w:t>With PVGO = 0, PV = EPS/r.</w:t>
      </w:r>
      <w:r w:rsidR="001A30E2">
        <w:t xml:space="preserve"> </w:t>
      </w:r>
      <w:r w:rsidR="00870BBF">
        <w:rPr>
          <w:rStyle w:val="FootnoteReference"/>
        </w:rPr>
        <w:footnoteReference w:id="4"/>
      </w:r>
      <w:r w:rsidR="0067394E">
        <w:t xml:space="preserve">  </w:t>
      </w:r>
      <w:proofErr w:type="gramStart"/>
      <w:r w:rsidR="001A30E2">
        <w:t>So</w:t>
      </w:r>
      <w:proofErr w:type="gramEnd"/>
      <w:r w:rsidR="001A30E2">
        <w:t xml:space="preserve"> we </w:t>
      </w:r>
      <w:r w:rsidR="00656A20">
        <w:t>could</w:t>
      </w:r>
      <w:r w:rsidR="0010357B">
        <w:t xml:space="preserve"> discard the constant-growth DCF formula and </w:t>
      </w:r>
      <w:r w:rsidR="006C22BC">
        <w:t>just divide EPS</w:t>
      </w:r>
      <w:r w:rsidR="0010357B">
        <w:t xml:space="preserve"> in 20</w:t>
      </w:r>
      <w:r w:rsidR="00F971B3">
        <w:t>23</w:t>
      </w:r>
      <w:r w:rsidR="0010357B">
        <w:t xml:space="preserve"> by the cost of capital:</w:t>
      </w:r>
      <w:r w:rsidR="006C22BC">
        <w:t xml:space="preserve"> </w:t>
      </w:r>
    </w:p>
    <w:p w:rsidR="005E1EC2" w:rsidRDefault="005E1EC2" w:rsidP="00052E34"/>
    <w:p w:rsidR="005E1EC2" w:rsidRDefault="005E1EC2" w:rsidP="00052E34">
      <w:r>
        <w:tab/>
      </w:r>
      <w:r w:rsidR="00870BBF" w:rsidRPr="00870BBF">
        <w:rPr>
          <w:position w:val="-24"/>
        </w:rPr>
        <w:object w:dxaOrig="2180" w:dyaOrig="620">
          <v:shape id="_x0000_i1027" type="#_x0000_t75" style="width:108.75pt;height:30.75pt" o:ole="" fillcolor="window">
            <v:imagedata r:id="rId12" o:title=""/>
          </v:shape>
          <o:OLEObject Type="Embed" ProgID="Equation.DSMT4" ShapeID="_x0000_i1027" DrawAspect="Content" ObjectID="_1515821165" r:id="rId13"/>
        </w:object>
      </w:r>
    </w:p>
    <w:p w:rsidR="005E1EC2" w:rsidRDefault="005E1EC2" w:rsidP="00052E34"/>
    <w:p w:rsidR="00052E34" w:rsidRDefault="00106324" w:rsidP="00052E34">
      <w:r>
        <w:t>This PV</w:t>
      </w:r>
      <w:r w:rsidR="00052E34">
        <w:t xml:space="preserve"> </w:t>
      </w:r>
      <w:r>
        <w:t>is</w:t>
      </w:r>
      <w:r w:rsidR="00052E34">
        <w:t xml:space="preserve"> identical to </w:t>
      </w:r>
      <w:r>
        <w:t>the PV</w:t>
      </w:r>
      <w:r w:rsidR="00052E34">
        <w:t xml:space="preserve"> from the constant-growth DCF formula. </w:t>
      </w:r>
      <w:r w:rsidR="0067394E">
        <w:t xml:space="preserve"> </w:t>
      </w:r>
      <w:r w:rsidR="006A5E11">
        <w:t>It</w:t>
      </w:r>
      <w:r w:rsidR="00052E34">
        <w:t xml:space="preserve"> doesn’t matter how fast </w:t>
      </w:r>
      <w:r w:rsidR="006A5E11">
        <w:t>a company</w:t>
      </w:r>
      <w:r w:rsidR="00052E34">
        <w:t xml:space="preserve"> grows</w:t>
      </w:r>
      <w:r w:rsidR="006A5E11">
        <w:t xml:space="preserve"> after the horizon date H if it only earns its cost of capital</w:t>
      </w:r>
      <w:r w:rsidR="00052E34">
        <w:t xml:space="preserve">. </w:t>
      </w:r>
    </w:p>
    <w:p w:rsidR="00612203" w:rsidRDefault="00612203" w:rsidP="00052E34"/>
    <w:p w:rsidR="009D53CF" w:rsidRDefault="00612203" w:rsidP="00052E34">
      <w:r>
        <w:tab/>
        <w:t>How much of Reeby Sp</w:t>
      </w:r>
      <w:r w:rsidR="0045781A">
        <w:t>orts’</w:t>
      </w:r>
      <w:r w:rsidR="00141A2B">
        <w:t xml:space="preserve"> value is due to PVGO?</w:t>
      </w:r>
      <w:r>
        <w:t xml:space="preserve"> </w:t>
      </w:r>
      <w:r w:rsidR="0067394E">
        <w:t xml:space="preserve"> </w:t>
      </w:r>
      <w:r>
        <w:t>You can che</w:t>
      </w:r>
      <w:r w:rsidR="003A632E">
        <w:t>ck by setting ROE = .</w:t>
      </w:r>
      <w:r w:rsidR="003A632E" w:rsidRPr="0045781A">
        <w:t>10 for 20</w:t>
      </w:r>
      <w:r w:rsidR="00C0279C">
        <w:t>18</w:t>
      </w:r>
      <w:r w:rsidR="00F971B3">
        <w:t xml:space="preserve"> and a</w:t>
      </w:r>
      <w:r w:rsidR="00C0279C">
        <w:t>ll later years</w:t>
      </w:r>
      <w:r w:rsidR="0067394E" w:rsidRPr="0045781A">
        <w:t>.</w:t>
      </w:r>
      <w:r w:rsidR="0067394E">
        <w:t xml:space="preserve">  </w:t>
      </w:r>
      <w:r>
        <w:t xml:space="preserve">You should get PV = $13.82. </w:t>
      </w:r>
      <w:r w:rsidR="0067394E">
        <w:t xml:space="preserve"> </w:t>
      </w:r>
      <w:r>
        <w:t>Thus PVGO = 16.82 – 13.8</w:t>
      </w:r>
      <w:r w:rsidR="002A41D1">
        <w:t>2 = $3.00 per share for investments made in 20</w:t>
      </w:r>
      <w:r w:rsidR="003A632E">
        <w:t>1</w:t>
      </w:r>
      <w:r w:rsidR="00F971B3">
        <w:t>7</w:t>
      </w:r>
      <w:r w:rsidR="002A41D1">
        <w:t xml:space="preserve"> </w:t>
      </w:r>
      <w:r w:rsidR="00F971B3">
        <w:t>onward</w:t>
      </w:r>
      <w:r w:rsidR="002A41D1">
        <w:t>.</w:t>
      </w:r>
    </w:p>
    <w:p w:rsidR="00052E34" w:rsidRDefault="00052E34" w:rsidP="00052E34"/>
    <w:p w:rsidR="005E1EC2" w:rsidRDefault="005E1EC2" w:rsidP="00052E34">
      <w:pPr>
        <w:ind w:firstLine="720"/>
      </w:pPr>
      <w:r>
        <w:t xml:space="preserve">George </w:t>
      </w:r>
      <w:r w:rsidR="002A41D1">
        <w:t xml:space="preserve">Reeby has </w:t>
      </w:r>
      <w:r>
        <w:t xml:space="preserve">also </w:t>
      </w:r>
      <w:r w:rsidR="00141A2B">
        <w:t>iden</w:t>
      </w:r>
      <w:r w:rsidR="002A41D1">
        <w:t>tified</w:t>
      </w:r>
      <w:r>
        <w:t xml:space="preserve"> a "comparable," Molly Sports. </w:t>
      </w:r>
      <w:r w:rsidR="0067394E">
        <w:t xml:space="preserve"> </w:t>
      </w:r>
      <w:r w:rsidR="00052E34">
        <w:t>We could use its P/E ratio of 13.1 to</w:t>
      </w:r>
      <w:r w:rsidR="00F971B3">
        <w:t xml:space="preserve"> calculate horizon value in 2022</w:t>
      </w:r>
      <w:r w:rsidR="003A632E">
        <w:t xml:space="preserve"> and PV </w:t>
      </w:r>
      <w:r w:rsidR="00E23C58">
        <w:t>at the start of</w:t>
      </w:r>
      <w:r w:rsidR="003A632E">
        <w:t xml:space="preserve"> 201</w:t>
      </w:r>
      <w:r w:rsidR="00F971B3">
        <w:t>7</w:t>
      </w:r>
      <w:r w:rsidR="00114673">
        <w:t>.  Using the original inputs for ROE, EPS in 2023 is 2.37.</w:t>
      </w:r>
      <w:r w:rsidR="00E23C58">
        <w:rPr>
          <w:rStyle w:val="FootnoteReference"/>
        </w:rPr>
        <w:footnoteReference w:id="5"/>
      </w:r>
      <w:r w:rsidR="00052E34">
        <w:t xml:space="preserve"> </w:t>
      </w:r>
    </w:p>
    <w:p w:rsidR="007A467C" w:rsidRDefault="007A467C" w:rsidP="00052E34">
      <w:pPr>
        <w:ind w:firstLine="720"/>
      </w:pPr>
    </w:p>
    <w:p w:rsidR="007A467C" w:rsidRDefault="007A467C" w:rsidP="00052E34">
      <w:pPr>
        <w:ind w:firstLine="720"/>
      </w:pPr>
    </w:p>
    <w:p w:rsidR="007A467C" w:rsidRDefault="00D17C39" w:rsidP="00052E34">
      <w:pPr>
        <w:ind w:firstLine="720"/>
      </w:pPr>
      <w:r w:rsidRPr="00A27A63">
        <w:rPr>
          <w:position w:val="-80"/>
        </w:rPr>
        <w:object w:dxaOrig="2920" w:dyaOrig="1400">
          <v:shape id="_x0000_i1028" type="#_x0000_t75" style="width:146.25pt;height:69.75pt" o:ole="">
            <v:imagedata r:id="rId14" o:title=""/>
          </v:shape>
          <o:OLEObject Type="Embed" ProgID="Equation.DSMT4" ShapeID="_x0000_i1028" DrawAspect="Content" ObjectID="_1515821166" r:id="rId15"/>
        </w:object>
      </w:r>
    </w:p>
    <w:p w:rsidR="005E1EC2" w:rsidRDefault="005E1EC2" w:rsidP="00052E34"/>
    <w:p w:rsidR="007A467C" w:rsidRDefault="007A467C" w:rsidP="00052E34"/>
    <w:p w:rsidR="007A467C" w:rsidRDefault="00141A2B" w:rsidP="00052E34">
      <w:r>
        <w:t>We could</w:t>
      </w:r>
      <w:r w:rsidR="007A467C">
        <w:t xml:space="preserve"> </w:t>
      </w:r>
      <w:r>
        <w:t xml:space="preserve">also </w:t>
      </w:r>
      <w:r w:rsidR="007A467C">
        <w:t>use Molly’s P/E ratio</w:t>
      </w:r>
      <w:r w:rsidR="00197D63">
        <w:t xml:space="preserve"> to calculate Reeby Sports’ </w:t>
      </w:r>
      <w:r w:rsidR="00F971B3">
        <w:t>PV at the start of 2017</w:t>
      </w:r>
      <w:r w:rsidR="007A467C">
        <w:t xml:space="preserve"> directly</w:t>
      </w:r>
      <w:r w:rsidR="003A632E">
        <w:t xml:space="preserve"> from 201</w:t>
      </w:r>
      <w:r w:rsidR="00F971B3">
        <w:t>7</w:t>
      </w:r>
      <w:r w:rsidR="00106324">
        <w:t xml:space="preserve"> EPS</w:t>
      </w:r>
      <w:r w:rsidR="007A467C">
        <w:t>:</w:t>
      </w:r>
    </w:p>
    <w:p w:rsidR="007A467C" w:rsidRDefault="007A467C" w:rsidP="00052E34"/>
    <w:p w:rsidR="007A467C" w:rsidRDefault="00A27A63" w:rsidP="00052E34">
      <w:r>
        <w:tab/>
        <w:t xml:space="preserve">PV = 13.1 </w:t>
      </w:r>
      <w:r>
        <w:sym w:font="Symbol" w:char="F0B4"/>
      </w:r>
      <w:r w:rsidR="00F479B3">
        <w:t xml:space="preserve"> 2.03 </w:t>
      </w:r>
      <w:r>
        <w:t>= $26.59</w:t>
      </w:r>
    </w:p>
    <w:p w:rsidR="007A467C" w:rsidRDefault="007A467C" w:rsidP="00052E34"/>
    <w:p w:rsidR="00656A20" w:rsidRDefault="0010357B" w:rsidP="00656A20">
      <w:pPr>
        <w:ind w:firstLine="720"/>
      </w:pPr>
      <w:r>
        <w:lastRenderedPageBreak/>
        <w:t xml:space="preserve">Both values based on </w:t>
      </w:r>
      <w:r w:rsidR="00141A2B">
        <w:t xml:space="preserve">Molly’s </w:t>
      </w:r>
      <w:r>
        <w:t>P/E are</w:t>
      </w:r>
      <w:r w:rsidR="007A467C">
        <w:t xml:space="preserve"> higher than our DCF calculations. </w:t>
      </w:r>
      <w:r w:rsidR="0067394E">
        <w:t xml:space="preserve"> </w:t>
      </w:r>
      <w:r w:rsidR="007A467C">
        <w:t xml:space="preserve">Is Molly </w:t>
      </w:r>
      <w:r w:rsidR="00656A20">
        <w:t xml:space="preserve">significantly </w:t>
      </w:r>
      <w:r w:rsidR="007A467C">
        <w:t xml:space="preserve">more profitable than Reeby Sports, or does our spreadsheet understate Reeby Sports’ prospects? </w:t>
      </w:r>
    </w:p>
    <w:p w:rsidR="00656A20" w:rsidRDefault="00656A20" w:rsidP="00656A20">
      <w:pPr>
        <w:ind w:firstLine="720"/>
      </w:pPr>
    </w:p>
    <w:p w:rsidR="007A467C" w:rsidRDefault="007A467C" w:rsidP="00656A20">
      <w:pPr>
        <w:ind w:firstLine="720"/>
      </w:pPr>
      <w:r>
        <w:t xml:space="preserve">What if Reeby Sports could continue to earn ROE = .15 </w:t>
      </w:r>
      <w:r w:rsidR="00197D63">
        <w:t>for two extra years, until 2</w:t>
      </w:r>
      <w:r w:rsidR="003A632E">
        <w:t>0</w:t>
      </w:r>
      <w:r w:rsidR="00F971B3">
        <w:t>24</w:t>
      </w:r>
      <w:r w:rsidR="00612203">
        <w:t>?</w:t>
      </w:r>
      <w:r w:rsidR="0067394E">
        <w:t xml:space="preserve"> </w:t>
      </w:r>
      <w:r w:rsidR="00612203">
        <w:t>You can c</w:t>
      </w:r>
      <w:r w:rsidR="00114673">
        <w:t>heck by changing ROE for 2023</w:t>
      </w:r>
      <w:r w:rsidR="00F971B3">
        <w:t xml:space="preserve">-2024 </w:t>
      </w:r>
      <w:r w:rsidR="00612203">
        <w:t xml:space="preserve">from </w:t>
      </w:r>
      <w:r w:rsidR="00A27A63">
        <w:t>.10 to .15</w:t>
      </w:r>
      <w:r w:rsidR="00656A20">
        <w:t>.</w:t>
      </w:r>
      <w:r w:rsidR="00C0279C">
        <w:t xml:space="preserve">  (The ROE for 2025 and 2026 is hard-wired at .10.)</w:t>
      </w:r>
      <w:r w:rsidR="0067394E">
        <w:t xml:space="preserve">  </w:t>
      </w:r>
      <w:r w:rsidR="00612203">
        <w:t xml:space="preserve">You should </w:t>
      </w:r>
      <w:r w:rsidR="00DC3858">
        <w:t>get NPV of $18.04</w:t>
      </w:r>
      <w:r w:rsidR="00612203">
        <w:t>, somewhat higher than our original DCF calculations</w:t>
      </w:r>
      <w:r w:rsidR="00141A2B">
        <w:t>, but not enough for Reeby Sports to match Molly’s P/E.</w:t>
      </w:r>
      <w:r w:rsidR="00612203">
        <w:t xml:space="preserve"> </w:t>
      </w:r>
      <w:r w:rsidR="0067394E">
        <w:t xml:space="preserve"> </w:t>
      </w:r>
      <w:r w:rsidR="00612203">
        <w:t>You may wish to experim</w:t>
      </w:r>
      <w:r w:rsidR="00141A2B">
        <w:t>ent to find inputs that generate</w:t>
      </w:r>
      <w:r w:rsidR="00612203">
        <w:t xml:space="preserve"> P/E </w:t>
      </w:r>
      <w:r w:rsidR="00141A2B">
        <w:t>=</w:t>
      </w:r>
      <w:r w:rsidR="00F971B3">
        <w:t xml:space="preserve"> 13 for </w:t>
      </w:r>
      <w:proofErr w:type="spellStart"/>
      <w:r w:rsidR="00F971B3">
        <w:t>Reeby</w:t>
      </w:r>
      <w:proofErr w:type="spellEnd"/>
      <w:r w:rsidR="00F971B3">
        <w:t xml:space="preserve"> Sports at the start of 2017</w:t>
      </w:r>
      <w:r w:rsidR="00612203">
        <w:t xml:space="preserve">. </w:t>
      </w:r>
      <w:r w:rsidR="0067394E">
        <w:t xml:space="preserve"> </w:t>
      </w:r>
      <w:r w:rsidR="00141A2B">
        <w:t xml:space="preserve">Do you think these inputs are reasonable? </w:t>
      </w:r>
    </w:p>
    <w:p w:rsidR="005E1EC2" w:rsidRDefault="005E1EC2" w:rsidP="00052E34"/>
    <w:sectPr w:rsidR="005E1EC2" w:rsidSect="00656A20">
      <w:footerReference w:type="default" r:id="rId1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E3E" w:rsidRDefault="00DA1E3E">
      <w:r>
        <w:separator/>
      </w:r>
    </w:p>
  </w:endnote>
  <w:endnote w:type="continuationSeparator" w:id="0">
    <w:p w:rsidR="00DA1E3E" w:rsidRDefault="00DA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1B3" w:rsidRPr="002017CF" w:rsidRDefault="002017CF" w:rsidP="002017CF">
    <w:pPr>
      <w:pStyle w:val="Footer"/>
      <w:jc w:val="center"/>
      <w:rPr>
        <w:sz w:val="16"/>
      </w:rPr>
    </w:pPr>
    <w:r w:rsidRPr="00372155">
      <w:rPr>
        <w:sz w:val="16"/>
      </w:rPr>
      <w:t>Copyright © 2017 McGraw-Hill Education. All rights reserved. No reproduction or distribution without the prior written consent of McGraw-Hill Education.</w:t>
    </w:r>
  </w:p>
  <w:p w:rsidR="00372155" w:rsidRPr="00372155" w:rsidRDefault="00372155" w:rsidP="00372155">
    <w:pPr>
      <w:pStyle w:val="Footer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E3E" w:rsidRDefault="00DA1E3E">
      <w:r>
        <w:separator/>
      </w:r>
    </w:p>
  </w:footnote>
  <w:footnote w:type="continuationSeparator" w:id="0">
    <w:p w:rsidR="00DA1E3E" w:rsidRDefault="00DA1E3E">
      <w:r>
        <w:continuationSeparator/>
      </w:r>
    </w:p>
  </w:footnote>
  <w:footnote w:id="1">
    <w:p w:rsidR="001213A8" w:rsidRDefault="001213A8">
      <w:pPr>
        <w:pStyle w:val="FootnoteText"/>
      </w:pPr>
      <w:r>
        <w:rPr>
          <w:rStyle w:val="FootnoteReference"/>
        </w:rPr>
        <w:footnoteRef/>
      </w:r>
      <w:r>
        <w:t xml:space="preserve">  A more sophisticated spreadsheet could distinguish ROE on existing assets from ROE on new capital investment.  For example, ROE on new investment could drop all the way to 10% in 2020, but ROE for existing assets could decline gradually.</w:t>
      </w:r>
    </w:p>
  </w:footnote>
  <w:footnote w:id="2">
    <w:p w:rsidR="00C33A30" w:rsidRDefault="00C33A30">
      <w:pPr>
        <w:pStyle w:val="FootnoteText"/>
      </w:pPr>
      <w:r>
        <w:rPr>
          <w:rStyle w:val="FootnoteReference"/>
        </w:rPr>
        <w:footnoteRef/>
      </w:r>
      <w:r>
        <w:t xml:space="preserve"> You can vary these inputs, but be careful not to enter ROEs and dividend payout ratios that generate long-term growth rates close to or above the cost of capital. </w:t>
      </w:r>
      <w:r w:rsidR="0067394E">
        <w:t xml:space="preserve"> </w:t>
      </w:r>
      <w:r>
        <w:t xml:space="preserve">As the growth rate approaches the cost of capital, the DCF formula explodes. </w:t>
      </w:r>
      <w:r w:rsidR="0067394E">
        <w:t xml:space="preserve"> </w:t>
      </w:r>
      <w:r>
        <w:t xml:space="preserve">If the growth rate exceeds the cost of capital, the DCF formula says stock price is negative, which is impossible. </w:t>
      </w:r>
      <w:r w:rsidR="0067394E">
        <w:t xml:space="preserve"> </w:t>
      </w:r>
      <w:r>
        <w:t xml:space="preserve">The spreadsheet reports “Formula not applicable” in this case. </w:t>
      </w:r>
    </w:p>
  </w:footnote>
  <w:footnote w:id="3">
    <w:p w:rsidR="000A0A9D" w:rsidRDefault="000A0A9D">
      <w:pPr>
        <w:pStyle w:val="FootnoteText"/>
      </w:pPr>
      <w:r>
        <w:rPr>
          <w:rStyle w:val="FootnoteReference"/>
        </w:rPr>
        <w:footnoteRef/>
      </w:r>
      <w:r>
        <w:t xml:space="preserve">  This DCF calculation assumes that the first dividend will be received after one year, at the end of 2</w:t>
      </w:r>
      <w:r w:rsidR="00A835CD">
        <w:t>017</w:t>
      </w:r>
      <w:r>
        <w:t xml:space="preserve">. Normally dividends are paid quarterly, so it would be more realistic to assume receipt at the middle of the year.  This “mid-year convention” </w:t>
      </w:r>
      <w:r w:rsidR="00DC3858">
        <w:t>would move</w:t>
      </w:r>
      <w:r>
        <w:t xml:space="preserve"> all cash flows 6 months closer and </w:t>
      </w:r>
      <w:r w:rsidR="00DC3858">
        <w:t>therefore</w:t>
      </w:r>
      <w:r>
        <w:t xml:space="preserve"> increase PV by 1.</w:t>
      </w:r>
      <w:r w:rsidRPr="000A0A9D">
        <w:t>1</w:t>
      </w:r>
      <w:r w:rsidRPr="000A0A9D">
        <w:rPr>
          <w:vertAlign w:val="superscript"/>
        </w:rPr>
        <w:t>.5</w:t>
      </w:r>
      <w:r>
        <w:t xml:space="preserve">.  (In finance, “mid-year convention” does </w:t>
      </w:r>
      <w:r w:rsidRPr="000A0A9D">
        <w:rPr>
          <w:i/>
        </w:rPr>
        <w:t>not</w:t>
      </w:r>
      <w:r>
        <w:t xml:space="preserve"> mean June in Las Vegas.) </w:t>
      </w:r>
    </w:p>
  </w:footnote>
  <w:footnote w:id="4">
    <w:p w:rsidR="00C33A30" w:rsidRDefault="00C33A30">
      <w:pPr>
        <w:pStyle w:val="FootnoteText"/>
      </w:pPr>
      <w:r>
        <w:rPr>
          <w:rStyle w:val="FootnoteReference"/>
        </w:rPr>
        <w:footnoteRef/>
      </w:r>
      <w:r w:rsidR="0067394E">
        <w:t xml:space="preserve"> See Section 4</w:t>
      </w:r>
      <w:r>
        <w:t>.5.</w:t>
      </w:r>
    </w:p>
  </w:footnote>
  <w:footnote w:id="5">
    <w:p w:rsidR="00E23C58" w:rsidRDefault="00E23C58">
      <w:pPr>
        <w:pStyle w:val="FootnoteText"/>
      </w:pPr>
      <w:r>
        <w:rPr>
          <w:rStyle w:val="FootnoteReference"/>
        </w:rPr>
        <w:footnoteRef/>
      </w:r>
      <w:r>
        <w:t xml:space="preserve">  Notice that the P/E ratio applies to the next year’s forecasted earnings.  Sometimes “trailing P/Es” are used instead.  Trailing P/Es are </w:t>
      </w:r>
      <w:r w:rsidR="00DC3858">
        <w:t>based on</w:t>
      </w:r>
      <w:r>
        <w:t xml:space="preserve"> earnings over the previous year.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2DB"/>
    <w:rsid w:val="00052E34"/>
    <w:rsid w:val="000A0A9D"/>
    <w:rsid w:val="000A670A"/>
    <w:rsid w:val="000B70B1"/>
    <w:rsid w:val="000D3D87"/>
    <w:rsid w:val="000D5EF9"/>
    <w:rsid w:val="0010357B"/>
    <w:rsid w:val="00106324"/>
    <w:rsid w:val="00114673"/>
    <w:rsid w:val="001213A8"/>
    <w:rsid w:val="0012393A"/>
    <w:rsid w:val="00141A2B"/>
    <w:rsid w:val="00192998"/>
    <w:rsid w:val="00197D63"/>
    <w:rsid w:val="001A30E2"/>
    <w:rsid w:val="002017CF"/>
    <w:rsid w:val="00267E25"/>
    <w:rsid w:val="00272912"/>
    <w:rsid w:val="002A41D1"/>
    <w:rsid w:val="002F573B"/>
    <w:rsid w:val="00372155"/>
    <w:rsid w:val="003A62DB"/>
    <w:rsid w:val="003A632E"/>
    <w:rsid w:val="0045781A"/>
    <w:rsid w:val="004D11C7"/>
    <w:rsid w:val="00534837"/>
    <w:rsid w:val="005E1EC2"/>
    <w:rsid w:val="00611D59"/>
    <w:rsid w:val="00612203"/>
    <w:rsid w:val="00656A20"/>
    <w:rsid w:val="0067394E"/>
    <w:rsid w:val="006A5E11"/>
    <w:rsid w:val="006C22BC"/>
    <w:rsid w:val="00722519"/>
    <w:rsid w:val="00766E79"/>
    <w:rsid w:val="00775805"/>
    <w:rsid w:val="007A467C"/>
    <w:rsid w:val="00870BBF"/>
    <w:rsid w:val="0099039E"/>
    <w:rsid w:val="009D53CF"/>
    <w:rsid w:val="00A06010"/>
    <w:rsid w:val="00A21FAD"/>
    <w:rsid w:val="00A27A63"/>
    <w:rsid w:val="00A835CD"/>
    <w:rsid w:val="00A921BF"/>
    <w:rsid w:val="00B277A5"/>
    <w:rsid w:val="00B30F64"/>
    <w:rsid w:val="00B374E3"/>
    <w:rsid w:val="00BA0BEC"/>
    <w:rsid w:val="00BB10F0"/>
    <w:rsid w:val="00C0279C"/>
    <w:rsid w:val="00C33A30"/>
    <w:rsid w:val="00C86C5A"/>
    <w:rsid w:val="00C94DA5"/>
    <w:rsid w:val="00D17C39"/>
    <w:rsid w:val="00D43EE4"/>
    <w:rsid w:val="00DA1E3E"/>
    <w:rsid w:val="00DC2B7A"/>
    <w:rsid w:val="00DC3858"/>
    <w:rsid w:val="00E23C58"/>
    <w:rsid w:val="00E748D2"/>
    <w:rsid w:val="00F479B3"/>
    <w:rsid w:val="00F7040F"/>
    <w:rsid w:val="00F971B3"/>
    <w:rsid w:val="00FA7D6E"/>
    <w:rsid w:val="00FE19CE"/>
    <w:rsid w:val="00FE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580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758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75805"/>
  </w:style>
  <w:style w:type="paragraph" w:styleId="Header">
    <w:name w:val="header"/>
    <w:basedOn w:val="Normal"/>
    <w:rsid w:val="0077580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10357B"/>
    <w:rPr>
      <w:sz w:val="20"/>
    </w:rPr>
  </w:style>
  <w:style w:type="character" w:styleId="FootnoteReference">
    <w:name w:val="footnote reference"/>
    <w:semiHidden/>
    <w:rsid w:val="0010357B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F971B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4885F-2DF6-45E6-AAB2-B9CC20449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665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MINICASE SOLUTIONS</vt:lpstr>
    </vt:vector>
  </TitlesOfParts>
  <Company>Massachusetts Institute of Technology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MINICASE SOLUTIONS</dc:title>
  <dc:creator>Sloan School of Management</dc:creator>
  <cp:lastModifiedBy>Bathurst, Noelle</cp:lastModifiedBy>
  <cp:revision>5</cp:revision>
  <cp:lastPrinted>2016-01-28T20:00:00Z</cp:lastPrinted>
  <dcterms:created xsi:type="dcterms:W3CDTF">2016-01-28T19:52:00Z</dcterms:created>
  <dcterms:modified xsi:type="dcterms:W3CDTF">2016-02-01T14:40:00Z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