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44"/>
        </w:rPr>
      </w:pPr>
      <w:bookmarkStart w:id="0" w:name="_GoBack"/>
      <w:bookmarkEnd w:id="0"/>
      <w:r>
        <w:rPr>
          <w:rFonts w:ascii="Times New Roman" w:hAnsi="Times New Roman"/>
          <w:b/>
          <w:sz w:val="44"/>
        </w:rPr>
        <w:t>CHAPTER 2</w:t>
      </w: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44"/>
        </w:rPr>
      </w:pPr>
    </w:p>
    <w:p w:rsidR="003D4C71" w:rsidRDefault="00F56BAF">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spacing w:line="19" w:lineRule="exact"/>
        <w:rPr>
          <w:rFonts w:ascii="Times New Roman" w:hAnsi="Times New Roman"/>
          <w:b/>
          <w:sz w:val="44"/>
        </w:rPr>
      </w:pPr>
      <w:r>
        <w:rPr>
          <w:rFonts w:ascii="Times New Roman" w:hAnsi="Times New Roman"/>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61722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1E22" id="Rectangle 2" o:spid="_x0000_s1026" style="position:absolute;margin-left:1in;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93cQIAAPc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IMeoeR&#10;Ij206BOQRlQrOcoDPYNxFUQ9mUcbCnRmrelXh5S+7yCK31qrh44TBqCyEJ88OxAMB0fRZnivGWQn&#10;W68jU/vG9iEhcID2sSGHc0P43iMKH6fZLIcuY0TBl+Xp9DreQKrTYWOdf8t1j8Kmxhagx+Rkt3Y+&#10;gCHVKSSC11KwlZAyGrbd3EuLdiRoI/6O2d1lmFQhWOlwbMw4fgGMcEfwBbSx1z/KLC/Su7ycrKbz&#10;2aRYFdeTcpbOJ2lW3pXTtCiLh9XPADArqk4wxtVaKH7SXVa8rK/HCRgVE5WHhkBdLOoSuntZhb3w&#10;MINS9DWen2kgVWjqG8WgZlJ5IuS4T55jjxQDAaf/SEmUQOj6qJ6NZgdQgNXQIeglvBaw6bT9jtEA&#10;k1dj921LLMdIvlOgojIrijCq0SiuZzkY9tKzufQQRSFVjT1G4/bej+O9NVa0HdyURWKUvgXlNSKq&#10;IqhyRHXUK0xXrOD4EoTxvbRj1O/3avkLAAD//wMAUEsDBBQABgAIAAAAIQDIARlw2gAAAAcBAAAP&#10;AAAAZHJzL2Rvd25yZXYueG1sTI9BT8MwDIXvk/gPkSdx29KyUo2u6QRIXJFWuHBLG6+t1jihybby&#10;7/FOcLGe9az3Ppf72Y7iglMYHClI1wkIpNaZgToFnx9vqy2IEDUZPTpCBT8YYF/dLUpdGHelA17q&#10;2AkOoVBoBX2MvpAytD1aHdbOI7F3dJPVkdepk2bSVw63o3xIklxaPRA39Nrja4/tqT5b7v3a1Inf&#10;fr90ZN+zQ5P7TZM/KnW/nJ93ICLO8e8YbviMDhUzNe5MJoiR9yzjX6ICnjc7TXNWDasnkFUp//NX&#10;vwAAAP//AwBQSwECLQAUAAYACAAAACEAtoM4kv4AAADhAQAAEwAAAAAAAAAAAAAAAAAAAAAAW0Nv&#10;bnRlbnRfVHlwZXNdLnhtbFBLAQItABQABgAIAAAAIQA4/SH/1gAAAJQBAAALAAAAAAAAAAAAAAAA&#10;AC8BAABfcmVscy8ucmVsc1BLAQItABQABgAIAAAAIQDLjJ93cQIAAPcEAAAOAAAAAAAAAAAAAAAA&#10;AC4CAABkcnMvZTJvRG9jLnhtbFBLAQItABQABgAIAAAAIQDIARlw2gAAAAcBAAAPAAAAAAAAAAAA&#10;AAAAAMsEAABkcnMvZG93bnJldi54bWxQSwUGAAAAAAQABADzAAAA0gUAAAAA&#10;" o:allowincell="f" fillcolor="black" stroked="f" strokeweight="0">
                <w10:wrap anchorx="page"/>
                <w10:anchorlock/>
              </v:rect>
            </w:pict>
          </mc:Fallback>
        </mc:AlternateContent>
      </w: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44"/>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44"/>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44"/>
        </w:rPr>
      </w:pPr>
    </w:p>
    <w:p w:rsidR="003D4C71" w:rsidRDefault="003D4C71">
      <w:pPr>
        <w:widowControl/>
        <w:tabs>
          <w:tab w:val="center" w:pos="4860"/>
          <w:tab w:val="left" w:pos="4896"/>
          <w:tab w:val="left" w:pos="5472"/>
          <w:tab w:val="left" w:pos="6048"/>
          <w:tab w:val="left" w:pos="6624"/>
          <w:tab w:val="left" w:pos="7200"/>
          <w:tab w:val="left" w:pos="7776"/>
          <w:tab w:val="left" w:pos="8352"/>
          <w:tab w:val="left" w:pos="8928"/>
          <w:tab w:val="left" w:pos="9504"/>
        </w:tabs>
        <w:rPr>
          <w:rFonts w:ascii="Times New Roman" w:hAnsi="Times New Roman"/>
          <w:sz w:val="22"/>
        </w:rPr>
      </w:pPr>
      <w:r>
        <w:rPr>
          <w:rFonts w:ascii="Times New Roman" w:hAnsi="Times New Roman"/>
          <w:b/>
          <w:sz w:val="44"/>
        </w:rPr>
        <w:tab/>
        <w:t>Professional Standards</w:t>
      </w: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b/>
          <w:sz w:val="22"/>
        </w:rPr>
      </w:pPr>
    </w:p>
    <w:p w:rsidR="003D4C71" w:rsidRDefault="003D4C71">
      <w:pPr>
        <w:widowControl/>
        <w:tabs>
          <w:tab w:val="left" w:pos="-1440"/>
          <w:tab w:val="left" w:pos="-72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rPr>
          <w:rFonts w:ascii="Times New Roman" w:hAnsi="Times New Roman"/>
          <w:sz w:val="22"/>
        </w:rPr>
      </w:pPr>
      <w:r>
        <w:rPr>
          <w:rFonts w:ascii="Times New Roman" w:hAnsi="Times New Roman"/>
          <w:b/>
          <w:sz w:val="22"/>
        </w:rPr>
        <w:t>Review Questions</w:t>
      </w:r>
    </w:p>
    <w:p w:rsidR="003D4C71" w:rsidRDefault="003D4C71">
      <w:pPr>
        <w:widowControl/>
        <w:rPr>
          <w:rFonts w:ascii="Times New Roman" w:hAnsi="Times New Roman"/>
          <w:sz w:val="22"/>
        </w:rPr>
      </w:pPr>
    </w:p>
    <w:p w:rsidR="003D4C71" w:rsidRDefault="003D4C71">
      <w:pPr>
        <w:pStyle w:val="BodyTextIndent3"/>
      </w:pPr>
      <w:r>
        <w:t>2-1</w:t>
      </w:r>
      <w:r>
        <w:tab/>
      </w:r>
      <w:r w:rsidRPr="002536F9">
        <w:rPr>
          <w:szCs w:val="22"/>
        </w:rPr>
        <w:t>The Sarbanes-Oxley Act of 2002 created the PCAOB and gave this body authority to develop auditing standards for the audits of public companies.  The AICPA has the authority</w:t>
      </w:r>
      <w:r>
        <w:rPr>
          <w:szCs w:val="22"/>
        </w:rPr>
        <w:t>,</w:t>
      </w:r>
      <w:r w:rsidRPr="002536F9">
        <w:rPr>
          <w:szCs w:val="22"/>
        </w:rPr>
        <w:t xml:space="preserve"> based on general acceptance (and adoption by state boards of accountancy and other regulatory bodies)</w:t>
      </w:r>
      <w:r>
        <w:rPr>
          <w:szCs w:val="22"/>
        </w:rPr>
        <w:t>,</w:t>
      </w:r>
      <w:r w:rsidRPr="002536F9">
        <w:rPr>
          <w:szCs w:val="22"/>
        </w:rPr>
        <w:t xml:space="preserve"> to develop auditing standards for audits of nonpublic companies.</w:t>
      </w:r>
    </w:p>
    <w:p w:rsidR="003D4C71" w:rsidRDefault="003D4C71">
      <w:pPr>
        <w:pStyle w:val="BodyTextIndent3"/>
      </w:pPr>
    </w:p>
    <w:p w:rsidR="003D4C71" w:rsidRDefault="003D4C71" w:rsidP="003D4C71">
      <w:pPr>
        <w:pStyle w:val="BodyTextIndent3"/>
      </w:pPr>
      <w:r>
        <w:t>2-2</w:t>
      </w:r>
      <w:r>
        <w:tab/>
        <w:t>Generally accepted accounting principles are accounting principles which have substantial authoritative support, such as approval by the Governmental Accounting Standards Board or the Financial Accounting Standards Board.  These standards provide the criteria (financial reporting framework) for financial reporting, including the nature and content of financial statements.  Generally accepted auditing standards are those issued by the AICPA’s Auditing Standards Board (ASB).  GAAS are the standards for the auditor’s work in fulfilling the overall objectives of a financial statement audit.  GAAS address the general responsibilities of the auditor, as well as the auditor’s further considerations relevant to the application of those responsibilities.</w:t>
      </w:r>
    </w:p>
    <w:p w:rsidR="003D4C71" w:rsidRPr="00E3554F" w:rsidRDefault="003D4C71" w:rsidP="003D4C71">
      <w:pPr>
        <w:pStyle w:val="BodyTextIndent3"/>
      </w:pPr>
      <w:r>
        <w:tab/>
      </w:r>
      <w:r>
        <w:tab/>
      </w:r>
      <w:r>
        <w:tab/>
      </w:r>
      <w:r>
        <w:tab/>
      </w:r>
    </w:p>
    <w:p w:rsidR="003D4C71" w:rsidRDefault="003D4C71">
      <w:pPr>
        <w:pStyle w:val="BodyTextIndent3"/>
      </w:pPr>
      <w:r>
        <w:t>2-3</w:t>
      </w:r>
      <w:r>
        <w:tab/>
        <w:t>A financial reporting framework is a set of criteria used to determine measurement, recognition, representation, and disclosure of all material items appearing in the financial statements; for example United States GAAP or IFRS.  It is important to an audit because it is through consideration of that framework on which the auditor basis his or her opinion on the financial statements.</w:t>
      </w: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2-4</w:t>
      </w:r>
      <w:r>
        <w:rPr>
          <w:rFonts w:ascii="Times New Roman" w:hAnsi="Times New Roman"/>
          <w:sz w:val="22"/>
        </w:rPr>
        <w:tab/>
        <w:t xml:space="preserve">Generally accepted auditing standards are the </w:t>
      </w:r>
      <w:r>
        <w:rPr>
          <w:rFonts w:ascii="Times New Roman" w:hAnsi="Times New Roman"/>
          <w:i/>
          <w:sz w:val="22"/>
        </w:rPr>
        <w:t xml:space="preserve">Statements on Auditing Standards </w:t>
      </w:r>
      <w:r>
        <w:rPr>
          <w:rFonts w:ascii="Times New Roman" w:hAnsi="Times New Roman"/>
          <w:sz w:val="22"/>
        </w:rPr>
        <w:t xml:space="preserve">issued by the Auditing Standards Board. </w:t>
      </w: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2-5</w:t>
      </w:r>
      <w:r>
        <w:rPr>
          <w:rFonts w:ascii="Times New Roman" w:hAnsi="Times New Roman"/>
          <w:sz w:val="22"/>
        </w:rPr>
        <w:tab/>
        <w:t>In the context of the audit of financial statements, professional skepticism includes maintaining a questioning mind, being alert to conditions that may indicate possible misstatement due to fraud or error, and a critical assessment of audit evidence.  Throughout the audit the auditors should be alert for: (1)  audit evidence that contradicts other audit evidence, (2) information that raises a question about the reliability of documents and responses to inquiries, (3) conditions indicating possible fraud, and (4) circumstances suggesting the need for additional audit procedures beyond those ordinarily required.</w:t>
      </w:r>
    </w:p>
    <w:p w:rsidR="003D4C71" w:rsidRDefault="003D4C71">
      <w:pPr>
        <w:widowControl/>
        <w:ind w:left="720" w:hanging="720"/>
        <w:rPr>
          <w:rFonts w:ascii="Times New Roman" w:hAnsi="Times New Roman"/>
          <w:sz w:val="22"/>
        </w:rPr>
      </w:pPr>
      <w:r>
        <w:rPr>
          <w:rFonts w:ascii="Times New Roman" w:hAnsi="Times New Roman"/>
          <w:sz w:val="22"/>
        </w:rPr>
        <w:lastRenderedPageBreak/>
        <w:t>2-6</w:t>
      </w:r>
      <w:r>
        <w:rPr>
          <w:rFonts w:ascii="Times New Roman" w:hAnsi="Times New Roman"/>
          <w:sz w:val="22"/>
        </w:rPr>
        <w:tab/>
        <w:t>The auditors' responsibilities concerning the detection of noncompliance with laws by clients depends on the relationship of the law or regulation to the financial statements.  Certain laws and regulations, such as income tax laws, have a direct effect on the amounts and disclosures included in the financial statements.  The auditors have a responsibility to design their audit to obtain reasonable assurance of detecting material violations of these laws and regulations.</w:t>
      </w:r>
    </w:p>
    <w:p w:rsidR="003D4C71" w:rsidRDefault="003D4C71">
      <w:pPr>
        <w:widowControl/>
        <w:ind w:left="720" w:firstLine="720"/>
        <w:rPr>
          <w:rFonts w:ascii="Times New Roman" w:hAnsi="Times New Roman"/>
          <w:sz w:val="22"/>
        </w:rPr>
      </w:pPr>
      <w:r>
        <w:rPr>
          <w:rFonts w:ascii="Times New Roman" w:hAnsi="Times New Roman"/>
          <w:sz w:val="22"/>
        </w:rPr>
        <w:t>Many other laws and regulations, such as occupational safety and health laws, do not have a direct effect on the amounts included in the financial statements.  An audit carried out in accordance with generally accepted auditing standards is not designed to detect client noncompliance with these other laws.</w:t>
      </w:r>
    </w:p>
    <w:p w:rsidR="003D4C71" w:rsidRDefault="003D4C71">
      <w:pPr>
        <w:widowControl/>
        <w:ind w:left="720" w:firstLine="720"/>
        <w:rPr>
          <w:rFonts w:ascii="Times New Roman" w:hAnsi="Times New Roman"/>
          <w:sz w:val="22"/>
        </w:rPr>
      </w:pPr>
      <w:r>
        <w:rPr>
          <w:rFonts w:ascii="Times New Roman" w:hAnsi="Times New Roman"/>
          <w:sz w:val="22"/>
        </w:rPr>
        <w:t>Although an audit is not designed to provide reasonable assurance of detecting noncompliance with other laws, the CPAs should be aware of the possibility that they have occurred and investigate those identified.  When they become aware of noncompliance with laws, the auditors should communicate the situation to the audit committee of the board of directors to remedy the situation and make appropriate modifications to the financial statements.  If management fails to take appropriate action, the auditors should consider withdrawing from the engagement.</w:t>
      </w:r>
    </w:p>
    <w:p w:rsidR="003D4C71" w:rsidRDefault="003D4C71">
      <w:pPr>
        <w:widowControl/>
        <w:ind w:left="720" w:hanging="720"/>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2-7</w:t>
      </w:r>
      <w:r>
        <w:rPr>
          <w:rFonts w:ascii="Times New Roman" w:hAnsi="Times New Roman"/>
          <w:sz w:val="22"/>
        </w:rPr>
        <w:tab/>
        <w:t>The first sentence of the quotation is correct.  The completion of an audit of financial statements by a CPA following generally accepted auditing standards and satisfying the CPA provides the basis for expression of an unmodified opinion on the fairness of financial statements.</w:t>
      </w:r>
    </w:p>
    <w:p w:rsidR="003D4C71" w:rsidRDefault="003D4C71">
      <w:pPr>
        <w:widowControl/>
        <w:ind w:left="720" w:firstLine="720"/>
        <w:rPr>
          <w:rFonts w:ascii="Times New Roman" w:hAnsi="Times New Roman"/>
          <w:sz w:val="22"/>
        </w:rPr>
      </w:pPr>
      <w:r>
        <w:rPr>
          <w:rFonts w:ascii="Times New Roman" w:hAnsi="Times New Roman"/>
          <w:sz w:val="22"/>
        </w:rPr>
        <w:t>The second sentence of the quotation is in error.  Auditors never express an opinion (either qualified or unmodified) on the fairness of financial statements without first performing an audit.  The audit provides the basis for the expression of an opinion.  Such factors as audits made in prior years, confidence in management, and a "quick review" of the current year's financial statements are not an acceptable substitute for appropriate audit procedures.</w:t>
      </w:r>
    </w:p>
    <w:p w:rsidR="003D4C71" w:rsidRDefault="003D4C71">
      <w:pPr>
        <w:widowControl/>
        <w:ind w:left="720" w:hanging="720"/>
        <w:rPr>
          <w:rFonts w:ascii="Times New Roman" w:hAnsi="Times New Roman"/>
          <w:sz w:val="22"/>
        </w:rPr>
      </w:pPr>
    </w:p>
    <w:p w:rsidR="003D4C71" w:rsidRDefault="003D4C71" w:rsidP="00E77B99">
      <w:pPr>
        <w:widowControl/>
        <w:ind w:left="720" w:hanging="720"/>
        <w:rPr>
          <w:rFonts w:ascii="Times New Roman" w:hAnsi="Times New Roman"/>
          <w:sz w:val="22"/>
        </w:rPr>
      </w:pPr>
      <w:r>
        <w:rPr>
          <w:rFonts w:ascii="Times New Roman" w:hAnsi="Times New Roman"/>
          <w:sz w:val="22"/>
        </w:rPr>
        <w:t>2-8</w:t>
      </w:r>
      <w:r>
        <w:rPr>
          <w:rFonts w:ascii="Times New Roman" w:hAnsi="Times New Roman"/>
          <w:sz w:val="22"/>
        </w:rPr>
        <w:tab/>
        <w:t>The management of Pike Company is primarily responsible for the fairness of the company's financial statements.  The retention of certified public accountants to perform an audit and express an opinion on the statements does not relieve management of its obligation to give an honest and complete accounting of its conduct of corporate affairs.</w:t>
      </w:r>
    </w:p>
    <w:p w:rsidR="009C005C" w:rsidRDefault="009C005C" w:rsidP="00AD7E2C">
      <w:pPr>
        <w:keepNext/>
        <w:keepLines/>
        <w:widowControl/>
        <w:ind w:left="720" w:hanging="720"/>
        <w:rPr>
          <w:rFonts w:ascii="Times New Roman" w:hAnsi="Times New Roman"/>
          <w:sz w:val="22"/>
        </w:rPr>
      </w:pPr>
    </w:p>
    <w:p w:rsidR="009C005C" w:rsidRDefault="009C005C">
      <w:pPr>
        <w:widowControl/>
        <w:rPr>
          <w:rFonts w:ascii="Times New Roman" w:hAnsi="Times New Roman"/>
          <w:sz w:val="22"/>
        </w:rPr>
      </w:pPr>
      <w:r>
        <w:rPr>
          <w:rFonts w:ascii="Times New Roman" w:hAnsi="Times New Roman"/>
          <w:sz w:val="22"/>
        </w:rPr>
        <w:br w:type="page"/>
      </w:r>
    </w:p>
    <w:p w:rsidR="00AD7E2C" w:rsidRDefault="003D4C71" w:rsidP="00AD7E2C">
      <w:pPr>
        <w:keepNext/>
        <w:keepLines/>
        <w:widowControl/>
        <w:ind w:left="720" w:hanging="720"/>
        <w:rPr>
          <w:rFonts w:ascii="Times New Roman" w:hAnsi="Times New Roman"/>
          <w:sz w:val="22"/>
        </w:rPr>
      </w:pPr>
      <w:r w:rsidRPr="00742027">
        <w:rPr>
          <w:rFonts w:ascii="Times New Roman" w:hAnsi="Times New Roman"/>
          <w:sz w:val="22"/>
        </w:rPr>
        <w:lastRenderedPageBreak/>
        <w:t>2-9</w:t>
      </w:r>
      <w:r w:rsidRPr="00742027">
        <w:rPr>
          <w:rFonts w:ascii="Times New Roman" w:hAnsi="Times New Roman"/>
          <w:sz w:val="22"/>
        </w:rPr>
        <w:tab/>
      </w:r>
    </w:p>
    <w:p w:rsidR="009C005C" w:rsidRDefault="009C005C" w:rsidP="009C005C"/>
    <w:tbl>
      <w:tblPr>
        <w:tblStyle w:val="TableGrid"/>
        <w:tblW w:w="0" w:type="auto"/>
        <w:tblInd w:w="535" w:type="dxa"/>
        <w:tblLook w:val="04A0" w:firstRow="1" w:lastRow="0" w:firstColumn="1" w:lastColumn="0" w:noHBand="0" w:noVBand="1"/>
      </w:tblPr>
      <w:tblGrid>
        <w:gridCol w:w="8815"/>
      </w:tblGrid>
      <w:tr w:rsidR="009C005C" w:rsidTr="009C005C">
        <w:tc>
          <w:tcPr>
            <w:tcW w:w="8815" w:type="dxa"/>
          </w:tcPr>
          <w:p w:rsidR="009C005C" w:rsidRDefault="009C005C" w:rsidP="000B74B9">
            <w:pPr>
              <w:rPr>
                <w:rFonts w:ascii="Times New Roman" w:hAnsi="Times New Roman"/>
                <w:b/>
                <w:bCs/>
                <w:sz w:val="22"/>
              </w:rPr>
            </w:pPr>
            <w:r w:rsidRPr="00E77B99">
              <w:rPr>
                <w:rFonts w:ascii="Times New Roman" w:hAnsi="Times New Roman"/>
                <w:b/>
                <w:bCs/>
                <w:sz w:val="22"/>
              </w:rPr>
              <w:t>Report of Independent Registered Public Accounting Firm</w:t>
            </w:r>
          </w:p>
          <w:p w:rsidR="009C005C" w:rsidRDefault="009C005C" w:rsidP="000B74B9">
            <w:pPr>
              <w:rPr>
                <w:rFonts w:ascii="Times New Roman" w:hAnsi="Times New Roman"/>
                <w:b/>
                <w:bCs/>
                <w:sz w:val="22"/>
              </w:rPr>
            </w:pPr>
          </w:p>
          <w:p w:rsidR="009C005C" w:rsidRDefault="009C005C" w:rsidP="000B74B9">
            <w:pPr>
              <w:rPr>
                <w:rFonts w:ascii="Times New Roman" w:hAnsi="Times New Roman"/>
                <w:sz w:val="22"/>
              </w:rPr>
            </w:pPr>
            <w:r w:rsidRPr="00E77B99">
              <w:rPr>
                <w:rFonts w:ascii="Times New Roman" w:hAnsi="Times New Roman"/>
                <w:sz w:val="22"/>
              </w:rPr>
              <w:t xml:space="preserve">To the </w:t>
            </w:r>
            <w:r>
              <w:rPr>
                <w:rFonts w:ascii="Times New Roman" w:hAnsi="Times New Roman"/>
                <w:sz w:val="22"/>
              </w:rPr>
              <w:t>S</w:t>
            </w:r>
            <w:r w:rsidRPr="00E77B99">
              <w:rPr>
                <w:rFonts w:ascii="Times New Roman" w:hAnsi="Times New Roman"/>
                <w:sz w:val="22"/>
              </w:rPr>
              <w:t xml:space="preserve">hareholders and the </w:t>
            </w:r>
            <w:r>
              <w:rPr>
                <w:rFonts w:ascii="Times New Roman" w:hAnsi="Times New Roman"/>
                <w:sz w:val="22"/>
              </w:rPr>
              <w:t>B</w:t>
            </w:r>
            <w:r w:rsidRPr="00E77B99">
              <w:rPr>
                <w:rFonts w:ascii="Times New Roman" w:hAnsi="Times New Roman"/>
                <w:sz w:val="22"/>
              </w:rPr>
              <w:t xml:space="preserve">oard of </w:t>
            </w:r>
            <w:r>
              <w:rPr>
                <w:rFonts w:ascii="Times New Roman" w:hAnsi="Times New Roman"/>
                <w:sz w:val="22"/>
              </w:rPr>
              <w:t>D</w:t>
            </w:r>
            <w:r w:rsidRPr="00E77B99">
              <w:rPr>
                <w:rFonts w:ascii="Times New Roman" w:hAnsi="Times New Roman"/>
                <w:sz w:val="22"/>
              </w:rPr>
              <w:t>irectors of ABC Company</w:t>
            </w:r>
          </w:p>
          <w:p w:rsidR="009C005C" w:rsidRDefault="009C005C" w:rsidP="000B74B9">
            <w:pPr>
              <w:rPr>
                <w:rFonts w:ascii="Times New Roman" w:hAnsi="Times New Roman"/>
                <w:sz w:val="22"/>
              </w:rPr>
            </w:pPr>
          </w:p>
          <w:p w:rsidR="009C005C" w:rsidRDefault="009C005C" w:rsidP="000B74B9">
            <w:pPr>
              <w:rPr>
                <w:rFonts w:ascii="Times New Roman" w:hAnsi="Times New Roman"/>
                <w:i/>
                <w:sz w:val="22"/>
              </w:rPr>
            </w:pPr>
            <w:r w:rsidRPr="00E77B99">
              <w:rPr>
                <w:rFonts w:ascii="Times New Roman" w:hAnsi="Times New Roman"/>
                <w:i/>
                <w:sz w:val="22"/>
              </w:rPr>
              <w:t>Opinion on the Financial Statements</w:t>
            </w:r>
          </w:p>
          <w:p w:rsidR="009C005C" w:rsidRDefault="009C005C" w:rsidP="000B74B9">
            <w:pPr>
              <w:rPr>
                <w:rFonts w:ascii="Times New Roman" w:hAnsi="Times New Roman"/>
                <w:i/>
                <w:sz w:val="22"/>
              </w:rPr>
            </w:pPr>
          </w:p>
          <w:p w:rsidR="009C005C" w:rsidRDefault="009C005C" w:rsidP="000B74B9">
            <w:pPr>
              <w:spacing w:after="120"/>
              <w:rPr>
                <w:rFonts w:ascii="Times New Roman" w:hAnsi="Times New Roman"/>
                <w:sz w:val="22"/>
              </w:rPr>
            </w:pPr>
            <w:r w:rsidRPr="00E77B99">
              <w:rPr>
                <w:rFonts w:ascii="Times New Roman" w:hAnsi="Times New Roman"/>
                <w:sz w:val="22"/>
              </w:rPr>
              <w:t>We have audited the accompanying balance sheets of ABC Company (the "Company") as of December 31, 20X7 and 20X6, the related statements of income, comprehensive income, stockholders' equity, and cash flows, for each of the three years in the period ended December 31, 20X7, and the related notes</w:t>
            </w:r>
            <w:r w:rsidR="00F932AF">
              <w:rPr>
                <w:rFonts w:ascii="Times New Roman" w:hAnsi="Times New Roman"/>
                <w:sz w:val="22"/>
              </w:rPr>
              <w:t xml:space="preserve"> </w:t>
            </w:r>
            <w:r w:rsidRPr="00E77B99">
              <w:rPr>
                <w:rFonts w:ascii="Times New Roman" w:hAnsi="Times New Roman"/>
                <w:sz w:val="22"/>
              </w:rPr>
              <w:t>(collectively referred to as the "financial statements"). In our opinion, the financial statements present fairly, in all material respects, the financial position of the Company as of December 31, 20X7 and 20X6, and the results of its operations and its cash flows for each of the three years in the period ended December 31, 20X7, in conformity with accounting principles generally accepted in the United States of America.</w:t>
            </w:r>
          </w:p>
          <w:p w:rsidR="009C005C" w:rsidRDefault="009C005C" w:rsidP="000B74B9">
            <w:pPr>
              <w:rPr>
                <w:rFonts w:ascii="Times New Roman" w:hAnsi="Times New Roman"/>
                <w:sz w:val="22"/>
              </w:rPr>
            </w:pPr>
            <w:r w:rsidRPr="00556816">
              <w:rPr>
                <w:rFonts w:ascii="Times New Roman" w:hAnsi="Times New Roman"/>
                <w:sz w:val="22"/>
              </w:rPr>
              <w:t xml:space="preserve">We also have audited, in accordance with standards of the Public Company Accounting Oversight Board (United States) (“PCAOB”) the Company’s internal control over financial reporting as of December 31, 20X7, based on </w:t>
            </w:r>
            <w:r w:rsidRPr="00556816">
              <w:rPr>
                <w:rFonts w:ascii="Times New Roman" w:hAnsi="Times New Roman"/>
                <w:i/>
                <w:sz w:val="22"/>
              </w:rPr>
              <w:t xml:space="preserve">Internal Control-Integrated Framework issued by the Committee of Sponsoring Organizations of the Treadway Commission (COSO) </w:t>
            </w:r>
            <w:r w:rsidRPr="00556816">
              <w:rPr>
                <w:rFonts w:ascii="Times New Roman" w:hAnsi="Times New Roman"/>
                <w:sz w:val="22"/>
              </w:rPr>
              <w:t>and our report dated February 12,</w:t>
            </w:r>
            <w:r>
              <w:rPr>
                <w:rFonts w:ascii="Times New Roman" w:hAnsi="Times New Roman"/>
                <w:sz w:val="22"/>
              </w:rPr>
              <w:t xml:space="preserve"> </w:t>
            </w:r>
            <w:r w:rsidRPr="00556816">
              <w:rPr>
                <w:rFonts w:ascii="Times New Roman" w:hAnsi="Times New Roman"/>
                <w:sz w:val="22"/>
              </w:rPr>
              <w:t>20X8, and our report expressed an unqualified opinion.</w:t>
            </w:r>
          </w:p>
          <w:p w:rsidR="009C005C" w:rsidRDefault="009C005C" w:rsidP="000B74B9">
            <w:pPr>
              <w:rPr>
                <w:rFonts w:ascii="Times New Roman" w:hAnsi="Times New Roman"/>
                <w:sz w:val="22"/>
              </w:rPr>
            </w:pPr>
          </w:p>
          <w:p w:rsidR="009C005C" w:rsidRDefault="009C005C" w:rsidP="000B74B9">
            <w:pPr>
              <w:rPr>
                <w:rFonts w:ascii="Times New Roman" w:hAnsi="Times New Roman"/>
                <w:i/>
                <w:sz w:val="22"/>
              </w:rPr>
            </w:pPr>
            <w:r w:rsidRPr="00556816">
              <w:rPr>
                <w:rFonts w:ascii="Times New Roman" w:hAnsi="Times New Roman"/>
                <w:i/>
                <w:sz w:val="22"/>
              </w:rPr>
              <w:t>Basis for Opinion</w:t>
            </w:r>
          </w:p>
          <w:p w:rsidR="009C005C" w:rsidRDefault="009C005C" w:rsidP="000B74B9">
            <w:pPr>
              <w:rPr>
                <w:rFonts w:ascii="Times New Roman" w:hAnsi="Times New Roman"/>
                <w:i/>
                <w:sz w:val="22"/>
              </w:rPr>
            </w:pPr>
          </w:p>
          <w:p w:rsidR="009C005C" w:rsidRDefault="009C005C" w:rsidP="000B74B9">
            <w:pPr>
              <w:rPr>
                <w:rFonts w:ascii="Times New Roman" w:hAnsi="Times New Roman"/>
                <w:sz w:val="22"/>
              </w:rPr>
            </w:pPr>
            <w:r w:rsidRPr="00556816">
              <w:rPr>
                <w:rFonts w:ascii="Times New Roman" w:hAnsi="Times New Roman"/>
                <w:sz w:val="22"/>
              </w:rPr>
              <w:t xml:space="preserve">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9C005C" w:rsidRDefault="009C005C" w:rsidP="000B74B9">
            <w:pPr>
              <w:rPr>
                <w:rFonts w:ascii="Times New Roman" w:hAnsi="Times New Roman"/>
                <w:sz w:val="22"/>
              </w:rPr>
            </w:pPr>
          </w:p>
          <w:p w:rsidR="009C005C" w:rsidRDefault="009C005C" w:rsidP="000B74B9">
            <w:pPr>
              <w:rPr>
                <w:rFonts w:ascii="Times New Roman" w:hAnsi="Times New Roman"/>
                <w:sz w:val="22"/>
              </w:rPr>
            </w:pPr>
            <w:r w:rsidRPr="00556816">
              <w:rPr>
                <w:rFonts w:ascii="Times New Roman" w:hAnsi="Times New Roman"/>
                <w:sz w:val="22"/>
              </w:rP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r>
              <w:rPr>
                <w:rFonts w:ascii="Times New Roman" w:hAnsi="Times New Roman"/>
                <w:sz w:val="22"/>
              </w:rPr>
              <w:t>.</w:t>
            </w:r>
          </w:p>
          <w:p w:rsidR="009C005C" w:rsidRDefault="009C005C" w:rsidP="000B74B9">
            <w:pPr>
              <w:rPr>
                <w:rFonts w:ascii="Times New Roman" w:hAnsi="Times New Roman"/>
                <w:sz w:val="22"/>
              </w:rPr>
            </w:pPr>
          </w:p>
          <w:p w:rsidR="009C005C" w:rsidRDefault="009C005C" w:rsidP="000B74B9">
            <w:pPr>
              <w:jc w:val="right"/>
              <w:rPr>
                <w:rFonts w:ascii="Times New Roman" w:hAnsi="Times New Roman"/>
                <w:sz w:val="22"/>
              </w:rPr>
            </w:pPr>
            <w:r w:rsidRPr="00556816">
              <w:rPr>
                <w:rFonts w:ascii="Times New Roman" w:hAnsi="Times New Roman"/>
                <w:sz w:val="22"/>
              </w:rPr>
              <w:t>Blue, Gray &amp; Company</w:t>
            </w:r>
          </w:p>
          <w:p w:rsidR="009C005C" w:rsidRDefault="009C005C" w:rsidP="000B74B9">
            <w:pPr>
              <w:jc w:val="right"/>
              <w:rPr>
                <w:rFonts w:ascii="Times New Roman" w:hAnsi="Times New Roman"/>
                <w:sz w:val="22"/>
              </w:rPr>
            </w:pPr>
            <w:r w:rsidRPr="00556816">
              <w:rPr>
                <w:rFonts w:ascii="Times New Roman" w:hAnsi="Times New Roman"/>
                <w:sz w:val="22"/>
              </w:rPr>
              <w:t>Certified Public Accountants</w:t>
            </w:r>
          </w:p>
          <w:p w:rsidR="009C005C" w:rsidRDefault="009C005C" w:rsidP="000B74B9">
            <w:pPr>
              <w:jc w:val="right"/>
              <w:rPr>
                <w:rFonts w:ascii="Times New Roman" w:hAnsi="Times New Roman"/>
                <w:sz w:val="22"/>
              </w:rPr>
            </w:pPr>
            <w:r>
              <w:rPr>
                <w:rFonts w:ascii="Times New Roman" w:hAnsi="Times New Roman"/>
                <w:sz w:val="22"/>
              </w:rPr>
              <w:t>Los Angeles, California</w:t>
            </w:r>
          </w:p>
          <w:p w:rsidR="009C005C" w:rsidRDefault="009C005C" w:rsidP="000B74B9">
            <w:pPr>
              <w:jc w:val="right"/>
              <w:rPr>
                <w:rFonts w:ascii="Times New Roman" w:hAnsi="Times New Roman"/>
                <w:sz w:val="22"/>
              </w:rPr>
            </w:pPr>
            <w:r>
              <w:rPr>
                <w:rFonts w:ascii="Times New Roman" w:hAnsi="Times New Roman"/>
                <w:sz w:val="22"/>
              </w:rPr>
              <w:t>February 12, 20X8</w:t>
            </w:r>
          </w:p>
          <w:p w:rsidR="009C005C" w:rsidRPr="00D92B82" w:rsidRDefault="009C005C" w:rsidP="000B74B9">
            <w:pPr>
              <w:rPr>
                <w:rFonts w:ascii="Times New Roman" w:hAnsi="Times New Roman"/>
                <w:b/>
                <w:sz w:val="22"/>
              </w:rPr>
            </w:pPr>
          </w:p>
          <w:p w:rsidR="009C005C" w:rsidRDefault="009C005C" w:rsidP="000B74B9">
            <w:pPr>
              <w:rPr>
                <w:rFonts w:ascii="Times New Roman" w:hAnsi="Times New Roman"/>
                <w:sz w:val="22"/>
              </w:rPr>
            </w:pPr>
            <w:r w:rsidRPr="00556816">
              <w:rPr>
                <w:rFonts w:ascii="Times New Roman" w:hAnsi="Times New Roman"/>
                <w:sz w:val="22"/>
              </w:rPr>
              <w:t>We have served as the Company's auditor since 20X0.</w:t>
            </w:r>
          </w:p>
          <w:p w:rsidR="009C005C" w:rsidRDefault="009C005C" w:rsidP="000B74B9">
            <w:pPr>
              <w:rPr>
                <w:rFonts w:ascii="Times New Roman" w:hAnsi="Times New Roman"/>
                <w:b/>
                <w:bCs/>
                <w:sz w:val="22"/>
              </w:rPr>
            </w:pPr>
          </w:p>
          <w:p w:rsidR="009C005C" w:rsidRDefault="009C005C" w:rsidP="000B74B9"/>
        </w:tc>
      </w:tr>
    </w:tbl>
    <w:p w:rsidR="009C005C" w:rsidRDefault="009C005C" w:rsidP="009C005C"/>
    <w:p w:rsidR="009C005C" w:rsidRDefault="009C005C" w:rsidP="00AD7E2C">
      <w:pPr>
        <w:keepNext/>
        <w:keepLines/>
        <w:widowControl/>
        <w:ind w:left="720" w:hanging="720"/>
        <w:rPr>
          <w:rFonts w:ascii="Times New Roman" w:hAnsi="Times New Roman"/>
          <w:sz w:val="22"/>
        </w:rPr>
      </w:pPr>
    </w:p>
    <w:p w:rsidR="009C005C" w:rsidRDefault="009C005C" w:rsidP="00AD7E2C">
      <w:pPr>
        <w:keepNext/>
        <w:keepLines/>
        <w:widowControl/>
        <w:ind w:left="720" w:hanging="720"/>
        <w:rPr>
          <w:rFonts w:ascii="Times New Roman" w:hAnsi="Times New Roman"/>
          <w:sz w:val="22"/>
        </w:rPr>
      </w:pPr>
    </w:p>
    <w:p w:rsidR="009C005C" w:rsidRDefault="009C005C" w:rsidP="00AD7E2C">
      <w:pPr>
        <w:keepNext/>
        <w:keepLines/>
        <w:widowControl/>
        <w:ind w:left="720" w:hanging="720"/>
        <w:rPr>
          <w:rFonts w:ascii="Times New Roman" w:hAnsi="Times New Roman"/>
          <w:sz w:val="22"/>
        </w:rPr>
      </w:pPr>
    </w:p>
    <w:p w:rsidR="009C005C" w:rsidRDefault="009C005C" w:rsidP="00AD7E2C">
      <w:pPr>
        <w:keepNext/>
        <w:keepLines/>
        <w:widowControl/>
        <w:ind w:left="720" w:hanging="720"/>
        <w:rPr>
          <w:rFonts w:ascii="Times New Roman" w:hAnsi="Times New Roman"/>
          <w:sz w:val="22"/>
        </w:rPr>
      </w:pPr>
    </w:p>
    <w:p w:rsidR="009C005C" w:rsidRDefault="009C005C" w:rsidP="00AD7E2C">
      <w:pPr>
        <w:keepNext/>
        <w:keepLines/>
        <w:widowControl/>
        <w:ind w:left="720" w:hanging="720"/>
        <w:rPr>
          <w:rFonts w:ascii="Times New Roman" w:hAnsi="Times New Roman"/>
          <w:sz w:val="22"/>
        </w:rPr>
      </w:pPr>
    </w:p>
    <w:p w:rsidR="009C005C" w:rsidRDefault="009C005C" w:rsidP="00AD7E2C">
      <w:pPr>
        <w:keepNext/>
        <w:keepLines/>
        <w:widowControl/>
        <w:ind w:left="720" w:hanging="720"/>
        <w:rPr>
          <w:rFonts w:ascii="Times New Roman" w:hAnsi="Times New Roman"/>
          <w:sz w:val="22"/>
        </w:rPr>
      </w:pPr>
    </w:p>
    <w:p w:rsidR="00AD7E2C" w:rsidRPr="00742027" w:rsidRDefault="00AD7E2C" w:rsidP="00AD7E2C">
      <w:pPr>
        <w:keepNext/>
        <w:keepLines/>
        <w:widowControl/>
        <w:ind w:left="720" w:hanging="720"/>
        <w:rPr>
          <w:rFonts w:ascii="Times New Roman" w:hAnsi="Times New Roman"/>
          <w:sz w:val="22"/>
        </w:rPr>
      </w:pPr>
    </w:p>
    <w:p w:rsidR="003D4C71" w:rsidRDefault="003D4C71" w:rsidP="00AD7E2C">
      <w:pPr>
        <w:pStyle w:val="BodyTextIndent3"/>
        <w:keepNext/>
        <w:keepLines/>
      </w:pPr>
      <w:r>
        <w:t>2-10</w:t>
      </w:r>
      <w:r>
        <w:tab/>
        <w:t>Among the more common situations which prevent the issuance of an unmodified opinion upon completion of an audit are the following:</w:t>
      </w:r>
    </w:p>
    <w:p w:rsidR="003D4C71" w:rsidRDefault="003D4C71" w:rsidP="00AD7E2C">
      <w:pPr>
        <w:keepNext/>
        <w:keepLines/>
        <w:widowControl/>
        <w:rPr>
          <w:rFonts w:ascii="Times New Roman" w:hAnsi="Times New Roman"/>
          <w:sz w:val="22"/>
        </w:rPr>
      </w:pPr>
    </w:p>
    <w:p w:rsidR="003D4C71" w:rsidRDefault="003D4C71" w:rsidP="00AD7E2C">
      <w:pPr>
        <w:keepNext/>
        <w:keepLines/>
        <w:widowControl/>
        <w:ind w:left="1440" w:hanging="720"/>
        <w:rPr>
          <w:rFonts w:ascii="Times New Roman" w:hAnsi="Times New Roman"/>
          <w:sz w:val="22"/>
        </w:rPr>
      </w:pPr>
      <w:r>
        <w:rPr>
          <w:rFonts w:ascii="Times New Roman" w:hAnsi="Times New Roman"/>
          <w:sz w:val="22"/>
        </w:rPr>
        <w:t>(1)</w:t>
      </w:r>
      <w:r>
        <w:rPr>
          <w:rFonts w:ascii="Times New Roman" w:hAnsi="Times New Roman"/>
          <w:sz w:val="22"/>
        </w:rPr>
        <w:tab/>
        <w:t>Certain necessary auditing procedures were omitted at the request of the client, or for reasons beyond the control of the client or the auditors.</w:t>
      </w:r>
    </w:p>
    <w:p w:rsidR="003D4C71" w:rsidRDefault="003D4C71" w:rsidP="00AD7E2C">
      <w:pPr>
        <w:keepNext/>
        <w:keepLines/>
        <w:widowControl/>
        <w:ind w:left="1440" w:hanging="720"/>
        <w:rPr>
          <w:rFonts w:ascii="Times New Roman" w:hAnsi="Times New Roman"/>
          <w:sz w:val="22"/>
        </w:rPr>
      </w:pPr>
      <w:r>
        <w:rPr>
          <w:rFonts w:ascii="Times New Roman" w:hAnsi="Times New Roman"/>
          <w:sz w:val="22"/>
        </w:rPr>
        <w:t>(2)</w:t>
      </w:r>
      <w:r>
        <w:rPr>
          <w:rFonts w:ascii="Times New Roman" w:hAnsi="Times New Roman"/>
          <w:sz w:val="22"/>
        </w:rPr>
        <w:tab/>
        <w:t>The statements contained misstatements (or omissions) and the client refuses to change them.</w:t>
      </w:r>
    </w:p>
    <w:p w:rsidR="003D4C71" w:rsidRDefault="003D4C71">
      <w:pPr>
        <w:widowControl/>
        <w:ind w:left="720" w:hanging="720"/>
        <w:rPr>
          <w:rFonts w:ascii="Times New Roman" w:hAnsi="Times New Roman"/>
          <w:sz w:val="22"/>
        </w:rPr>
      </w:pPr>
    </w:p>
    <w:p w:rsidR="003D4C71" w:rsidRPr="00742027" w:rsidRDefault="003D4C71">
      <w:pPr>
        <w:widowControl/>
        <w:ind w:left="720" w:hanging="720"/>
        <w:rPr>
          <w:rFonts w:ascii="Times New Roman" w:hAnsi="Times New Roman"/>
          <w:sz w:val="22"/>
        </w:rPr>
      </w:pPr>
      <w:r w:rsidRPr="00742027">
        <w:rPr>
          <w:rFonts w:ascii="Times New Roman" w:hAnsi="Times New Roman"/>
          <w:sz w:val="22"/>
        </w:rPr>
        <w:t>2-11</w:t>
      </w:r>
      <w:r w:rsidRPr="00742027">
        <w:rPr>
          <w:rFonts w:ascii="Times New Roman" w:hAnsi="Times New Roman"/>
          <w:sz w:val="22"/>
        </w:rPr>
        <w:tab/>
        <w:t xml:space="preserve">In the </w:t>
      </w:r>
      <w:r w:rsidR="00F43896">
        <w:rPr>
          <w:rFonts w:ascii="Times New Roman" w:hAnsi="Times New Roman"/>
          <w:sz w:val="22"/>
        </w:rPr>
        <w:t>“</w:t>
      </w:r>
      <w:r w:rsidRPr="00742027">
        <w:rPr>
          <w:rFonts w:ascii="Times New Roman" w:hAnsi="Times New Roman"/>
          <w:sz w:val="22"/>
        </w:rPr>
        <w:t xml:space="preserve">opinion </w:t>
      </w:r>
      <w:r w:rsidR="00F43896">
        <w:rPr>
          <w:rFonts w:ascii="Times New Roman" w:hAnsi="Times New Roman"/>
          <w:sz w:val="22"/>
        </w:rPr>
        <w:t xml:space="preserve">on </w:t>
      </w:r>
      <w:r w:rsidR="00C43614">
        <w:rPr>
          <w:rFonts w:ascii="Times New Roman" w:hAnsi="Times New Roman"/>
          <w:sz w:val="22"/>
        </w:rPr>
        <w:t xml:space="preserve">the </w:t>
      </w:r>
      <w:r w:rsidR="00F43896">
        <w:rPr>
          <w:rFonts w:ascii="Times New Roman" w:hAnsi="Times New Roman"/>
          <w:sz w:val="22"/>
        </w:rPr>
        <w:t>financial state</w:t>
      </w:r>
      <w:r w:rsidR="00C43614">
        <w:rPr>
          <w:rFonts w:ascii="Times New Roman" w:hAnsi="Times New Roman"/>
          <w:sz w:val="22"/>
        </w:rPr>
        <w:t xml:space="preserve">ments” section </w:t>
      </w:r>
      <w:r w:rsidRPr="00742027">
        <w:rPr>
          <w:rFonts w:ascii="Times New Roman" w:hAnsi="Times New Roman"/>
          <w:sz w:val="22"/>
        </w:rPr>
        <w:t>of the auditor's standard report the auditors make representations as to the following:</w:t>
      </w:r>
    </w:p>
    <w:p w:rsidR="003D4C71" w:rsidRPr="00742027" w:rsidRDefault="003D4C71">
      <w:pPr>
        <w:widowControl/>
        <w:rPr>
          <w:rFonts w:ascii="Times New Roman" w:hAnsi="Times New Roman"/>
          <w:sz w:val="22"/>
        </w:rPr>
      </w:pPr>
    </w:p>
    <w:p w:rsidR="00C43614" w:rsidRDefault="003D4C71">
      <w:pPr>
        <w:widowControl/>
        <w:ind w:left="1440" w:hanging="720"/>
        <w:rPr>
          <w:rFonts w:ascii="Times New Roman" w:hAnsi="Times New Roman"/>
          <w:sz w:val="22"/>
        </w:rPr>
      </w:pPr>
      <w:r w:rsidRPr="00742027">
        <w:rPr>
          <w:rFonts w:ascii="Times New Roman" w:hAnsi="Times New Roman"/>
          <w:sz w:val="22"/>
        </w:rPr>
        <w:t>(1)</w:t>
      </w:r>
      <w:r w:rsidRPr="00742027">
        <w:rPr>
          <w:rFonts w:ascii="Times New Roman" w:hAnsi="Times New Roman"/>
          <w:sz w:val="22"/>
        </w:rPr>
        <w:tab/>
      </w:r>
      <w:r w:rsidR="00C43614">
        <w:rPr>
          <w:rFonts w:ascii="Times New Roman" w:hAnsi="Times New Roman"/>
          <w:sz w:val="22"/>
        </w:rPr>
        <w:t>The financial statements that were audited.</w:t>
      </w:r>
    </w:p>
    <w:p w:rsidR="003D4C71" w:rsidRPr="00742027" w:rsidRDefault="00C43614">
      <w:pPr>
        <w:widowControl/>
        <w:ind w:left="1440" w:hanging="720"/>
        <w:rPr>
          <w:rFonts w:ascii="Times New Roman" w:hAnsi="Times New Roman"/>
          <w:sz w:val="22"/>
        </w:rPr>
      </w:pPr>
      <w:r>
        <w:rPr>
          <w:rFonts w:ascii="Times New Roman" w:hAnsi="Times New Roman"/>
          <w:sz w:val="22"/>
        </w:rPr>
        <w:t xml:space="preserve">(2) </w:t>
      </w:r>
      <w:r>
        <w:rPr>
          <w:rFonts w:ascii="Times New Roman" w:hAnsi="Times New Roman"/>
          <w:sz w:val="22"/>
        </w:rPr>
        <w:tab/>
      </w:r>
      <w:r w:rsidR="003D4C71" w:rsidRPr="00742027">
        <w:rPr>
          <w:rFonts w:ascii="Times New Roman" w:hAnsi="Times New Roman"/>
          <w:sz w:val="22"/>
        </w:rPr>
        <w:t>The fairness of the financial statements, in all material respects.</w:t>
      </w:r>
    </w:p>
    <w:p w:rsidR="003D4C71" w:rsidRPr="00742027" w:rsidRDefault="003D4C71">
      <w:pPr>
        <w:widowControl/>
        <w:ind w:left="1440" w:hanging="720"/>
        <w:rPr>
          <w:rFonts w:ascii="Times New Roman" w:hAnsi="Times New Roman"/>
          <w:sz w:val="22"/>
        </w:rPr>
      </w:pPr>
      <w:r w:rsidRPr="00742027">
        <w:rPr>
          <w:rFonts w:ascii="Times New Roman" w:hAnsi="Times New Roman"/>
          <w:sz w:val="22"/>
        </w:rPr>
        <w:t>(</w:t>
      </w:r>
      <w:r w:rsidR="00C43614">
        <w:rPr>
          <w:rFonts w:ascii="Times New Roman" w:hAnsi="Times New Roman"/>
          <w:sz w:val="22"/>
        </w:rPr>
        <w:t>3</w:t>
      </w:r>
      <w:r w:rsidRPr="00742027">
        <w:rPr>
          <w:rFonts w:ascii="Times New Roman" w:hAnsi="Times New Roman"/>
          <w:sz w:val="22"/>
        </w:rPr>
        <w:t>)</w:t>
      </w:r>
      <w:r w:rsidRPr="00742027">
        <w:rPr>
          <w:rFonts w:ascii="Times New Roman" w:hAnsi="Times New Roman"/>
          <w:sz w:val="22"/>
        </w:rPr>
        <w:tab/>
        <w:t>Application of generally accepted accounting principles.</w:t>
      </w:r>
    </w:p>
    <w:p w:rsidR="003D4C71" w:rsidRPr="00742027" w:rsidRDefault="003D4C71">
      <w:pPr>
        <w:widowControl/>
        <w:ind w:left="1440" w:hanging="720"/>
        <w:rPr>
          <w:rFonts w:ascii="Times New Roman" w:hAnsi="Times New Roman"/>
          <w:sz w:val="22"/>
        </w:rPr>
      </w:pPr>
      <w:r w:rsidRPr="00742027">
        <w:rPr>
          <w:rFonts w:ascii="Times New Roman" w:hAnsi="Times New Roman"/>
          <w:sz w:val="22"/>
        </w:rPr>
        <w:t>(</w:t>
      </w:r>
      <w:r w:rsidR="00C43614">
        <w:rPr>
          <w:rFonts w:ascii="Times New Roman" w:hAnsi="Times New Roman"/>
          <w:sz w:val="22"/>
        </w:rPr>
        <w:t>4</w:t>
      </w:r>
      <w:r w:rsidRPr="00742027">
        <w:rPr>
          <w:rFonts w:ascii="Times New Roman" w:hAnsi="Times New Roman"/>
          <w:sz w:val="22"/>
        </w:rPr>
        <w:t>)</w:t>
      </w:r>
      <w:r w:rsidRPr="00742027">
        <w:rPr>
          <w:rFonts w:ascii="Times New Roman" w:hAnsi="Times New Roman"/>
          <w:sz w:val="22"/>
        </w:rPr>
        <w:tab/>
        <w:t>By implication consistent application of generally accepted accounting principles.</w:t>
      </w:r>
    </w:p>
    <w:p w:rsidR="003D4C71" w:rsidRDefault="003D4C71">
      <w:pPr>
        <w:widowControl/>
        <w:ind w:left="1440" w:hanging="720"/>
        <w:rPr>
          <w:rFonts w:ascii="Times New Roman" w:hAnsi="Times New Roman"/>
          <w:sz w:val="22"/>
        </w:rPr>
      </w:pPr>
      <w:r w:rsidRPr="00742027">
        <w:rPr>
          <w:rFonts w:ascii="Times New Roman" w:hAnsi="Times New Roman"/>
          <w:sz w:val="22"/>
        </w:rPr>
        <w:t>(</w:t>
      </w:r>
      <w:r w:rsidR="00C43614">
        <w:rPr>
          <w:rFonts w:ascii="Times New Roman" w:hAnsi="Times New Roman"/>
          <w:sz w:val="22"/>
        </w:rPr>
        <w:t>5</w:t>
      </w:r>
      <w:r w:rsidRPr="00742027">
        <w:rPr>
          <w:rFonts w:ascii="Times New Roman" w:hAnsi="Times New Roman"/>
          <w:sz w:val="22"/>
        </w:rPr>
        <w:t>)</w:t>
      </w:r>
      <w:r w:rsidRPr="00742027">
        <w:rPr>
          <w:rFonts w:ascii="Times New Roman" w:hAnsi="Times New Roman"/>
          <w:sz w:val="22"/>
        </w:rPr>
        <w:tab/>
        <w:t>By implication adequate disclosure.</w:t>
      </w:r>
    </w:p>
    <w:p w:rsidR="00C43614" w:rsidRDefault="00C43614">
      <w:pPr>
        <w:widowControl/>
        <w:ind w:left="1440" w:hanging="720"/>
        <w:rPr>
          <w:rFonts w:ascii="Times New Roman" w:hAnsi="Times New Roman"/>
          <w:sz w:val="22"/>
        </w:rPr>
      </w:pPr>
      <w:r>
        <w:rPr>
          <w:rFonts w:ascii="Times New Roman" w:hAnsi="Times New Roman"/>
          <w:sz w:val="22"/>
        </w:rPr>
        <w:t>(6)</w:t>
      </w:r>
      <w:r>
        <w:rPr>
          <w:rFonts w:ascii="Times New Roman" w:hAnsi="Times New Roman"/>
          <w:sz w:val="22"/>
        </w:rPr>
        <w:tab/>
        <w:t xml:space="preserve">The firm audited the internal control of the company </w:t>
      </w:r>
      <w:r w:rsidR="00292420">
        <w:rPr>
          <w:rFonts w:ascii="Times New Roman" w:hAnsi="Times New Roman"/>
          <w:sz w:val="22"/>
        </w:rPr>
        <w:t>in a separate report.</w:t>
      </w:r>
    </w:p>
    <w:p w:rsidR="003D4C71" w:rsidRDefault="003D4C71">
      <w:pPr>
        <w:widowControl/>
        <w:rPr>
          <w:rFonts w:ascii="Times New Roman" w:hAnsi="Times New Roman"/>
          <w:sz w:val="22"/>
        </w:rPr>
      </w:pPr>
    </w:p>
    <w:p w:rsidR="003D4C71" w:rsidRDefault="003D4C71">
      <w:pPr>
        <w:pStyle w:val="BodyTextIndent3"/>
      </w:pPr>
      <w:r>
        <w:t>2-12</w:t>
      </w:r>
      <w:r>
        <w:tab/>
        <w:t>The issuance of an standard audit report tells us that the audit was performed in accordance with generally accepted auditing standards and, accordingly, it was planned and performed to obtain reasonable assurance about whether the financial statements are free of material misstatement due to error or fraud.  The audit included performing procedures to obtain audit evidence about the amounts and disclosures in the financial statements.  These procedures were determined based on the auditors’ judgment, including their assessment of the risks of material misstatements of the financial statements. The auditors also evaluated the appropriateness of accounting policies used by the client, the reasonableness of significant accounting estimates, and the overall presentation of the financial statements.</w:t>
      </w: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2-13</w:t>
      </w:r>
      <w:r>
        <w:rPr>
          <w:rFonts w:ascii="Times New Roman" w:hAnsi="Times New Roman"/>
          <w:sz w:val="22"/>
        </w:rPr>
        <w:tab/>
        <w:t>The auditors' report expresses an opinion on the client's financial statements, not on the accounting records.  A major purpose of the audit is to give outsiders assurance that the financial statements are reliable.  The client's accounting records are important to the public accounting firm only because they constitute evidence supporting the financial statements.  The CPAs also gather evidence from outside the company and from internal sources other than the accounting records.</w:t>
      </w:r>
    </w:p>
    <w:p w:rsidR="003D4C71" w:rsidRDefault="003D4C71">
      <w:pPr>
        <w:widowControl/>
        <w:ind w:left="720" w:hanging="720"/>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2-14</w:t>
      </w:r>
      <w:r>
        <w:rPr>
          <w:rFonts w:ascii="Times New Roman" w:hAnsi="Times New Roman"/>
          <w:sz w:val="22"/>
        </w:rPr>
        <w:tab/>
        <w:t xml:space="preserve">The public accounting firm must observe generally accepted auditing standards (or, if applicable, PCAOB Standards) </w:t>
      </w:r>
      <w:r w:rsidRPr="00AD7A8A">
        <w:rPr>
          <w:rFonts w:ascii="Times New Roman" w:hAnsi="Times New Roman"/>
          <w:sz w:val="22"/>
          <w:szCs w:val="22"/>
        </w:rPr>
        <w:t>in order to merit confidence in its opinion.  The result of following these procedures is an audit report that includes a reasonable, but not absolute, assurance that the financial statements do not contain material misstatements due to errors or fraud.  Reasonable assurance implies that there is a low level of risk remaining that the auditor expresses an opinion that the financial statements are properly stated when they are not.  Reasonable and not absolute assurance is necessary due to (1) the nature of financial reporting (e.g.,  the necessary use of judgment), (2) the nature of audit procedures (e.g., they often do not provide absolutely conclusive evidence) and (3) the need to conduct an audit within a reasonable period of time at a reasonable cost.  Accordingly, the auditor expresses an opinion on the financial statements, not a statement of fact.</w:t>
      </w:r>
    </w:p>
    <w:p w:rsidR="003D4C71" w:rsidRDefault="003D4C71">
      <w:pPr>
        <w:widowControl/>
        <w:ind w:left="720" w:hanging="720"/>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lastRenderedPageBreak/>
        <w:t>2-15</w:t>
      </w:r>
      <w:r>
        <w:rPr>
          <w:rFonts w:ascii="Times New Roman" w:hAnsi="Times New Roman"/>
          <w:sz w:val="22"/>
        </w:rPr>
        <w:tab/>
        <w:t>Regardless of how careful and professional an audit of financial statements the public accounting firm has made, it cannot guarantee their correctness.  The statements themselves include a variety of estimates; for example, the estimate of the allowance for uncollectible accounts and the choice of depreciation rates.  Also, the auditors rely on a program of tests rather than on verifying every transaction.  Some errors, therefore, may go undetected.  The audit gives the auditors a firm basis for expressing an informed opinion on the financial statements, but no more than that.</w:t>
      </w:r>
    </w:p>
    <w:p w:rsidR="003D4C71" w:rsidRDefault="003D4C71">
      <w:pPr>
        <w:widowControl/>
        <w:ind w:left="720" w:hanging="720"/>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2-16</w:t>
      </w:r>
      <w:r>
        <w:rPr>
          <w:rFonts w:ascii="Times New Roman" w:hAnsi="Times New Roman"/>
          <w:sz w:val="22"/>
        </w:rPr>
        <w:tab/>
        <w:t>A material amount is an amount that is sufficiently important to influence decisions made by reasonable users of financial statements.  The amount may differ by account based on specific account characteristics.  For example, a $100,000 shortage of cash may be extremely material to a small company, and a shortage of that amount might lead to bankruptcy.  But, a $100,000 valuation overstatement of equipment may be of less significance if the company continues to produce its products and operate as in the past.  Materiality is discussed further in Chapter 6.</w:t>
      </w:r>
    </w:p>
    <w:p w:rsidR="003D4C71" w:rsidRDefault="003D4C71">
      <w:pPr>
        <w:widowControl/>
        <w:rPr>
          <w:rFonts w:ascii="Times New Roman" w:hAnsi="Times New Roman"/>
          <w:sz w:val="22"/>
        </w:rPr>
      </w:pPr>
    </w:p>
    <w:p w:rsidR="003D4C71" w:rsidRPr="00A43717" w:rsidRDefault="003D4C71" w:rsidP="003D4C71">
      <w:pPr>
        <w:shd w:val="clear" w:color="auto" w:fill="FFFFFF"/>
        <w:ind w:left="720" w:hanging="720"/>
        <w:rPr>
          <w:rFonts w:ascii="Times New Roman" w:hAnsi="Times New Roman"/>
          <w:color w:val="000000"/>
          <w:spacing w:val="-3"/>
          <w:sz w:val="22"/>
          <w:szCs w:val="22"/>
        </w:rPr>
      </w:pPr>
      <w:r>
        <w:rPr>
          <w:rFonts w:ascii="Times New Roman" w:hAnsi="Times New Roman"/>
          <w:sz w:val="22"/>
        </w:rPr>
        <w:t>2-17</w:t>
      </w:r>
      <w:r>
        <w:rPr>
          <w:rFonts w:ascii="Times New Roman" w:hAnsi="Times New Roman"/>
          <w:sz w:val="22"/>
        </w:rPr>
        <w:tab/>
        <w:t>I</w:t>
      </w:r>
      <w:r w:rsidRPr="00A43717">
        <w:rPr>
          <w:rFonts w:ascii="Times New Roman" w:hAnsi="Times New Roman"/>
          <w:color w:val="000000"/>
          <w:spacing w:val="-3"/>
          <w:sz w:val="22"/>
          <w:szCs w:val="22"/>
        </w:rPr>
        <w:t>f the guidance for a transaction or event is not specified within the authoritative GAAP</w:t>
      </w:r>
      <w:r>
        <w:rPr>
          <w:rFonts w:ascii="Times New Roman" w:hAnsi="Times New Roman"/>
          <w:color w:val="000000"/>
          <w:spacing w:val="-3"/>
          <w:sz w:val="22"/>
          <w:szCs w:val="22"/>
        </w:rPr>
        <w:t xml:space="preserve"> (the FASB </w:t>
      </w:r>
      <w:r w:rsidRPr="00896C91">
        <w:rPr>
          <w:rFonts w:ascii="Times New Roman" w:hAnsi="Times New Roman"/>
          <w:i/>
          <w:color w:val="000000"/>
          <w:spacing w:val="-3"/>
          <w:sz w:val="22"/>
          <w:szCs w:val="22"/>
        </w:rPr>
        <w:t>Codification</w:t>
      </w:r>
      <w:r>
        <w:rPr>
          <w:rFonts w:ascii="Times New Roman" w:hAnsi="Times New Roman"/>
          <w:color w:val="000000"/>
          <w:spacing w:val="-3"/>
          <w:sz w:val="22"/>
          <w:szCs w:val="22"/>
        </w:rPr>
        <w:t>)</w:t>
      </w:r>
      <w:r w:rsidRPr="00A43717">
        <w:rPr>
          <w:rFonts w:ascii="Times New Roman" w:hAnsi="Times New Roman"/>
          <w:color w:val="000000"/>
          <w:spacing w:val="-3"/>
          <w:sz w:val="22"/>
          <w:szCs w:val="22"/>
        </w:rPr>
        <w:t xml:space="preserve">, the </w:t>
      </w:r>
      <w:r>
        <w:rPr>
          <w:rFonts w:ascii="Times New Roman" w:hAnsi="Times New Roman"/>
          <w:color w:val="000000"/>
          <w:spacing w:val="-3"/>
          <w:sz w:val="22"/>
          <w:szCs w:val="22"/>
        </w:rPr>
        <w:t>auditor</w:t>
      </w:r>
      <w:r w:rsidRPr="00A43717">
        <w:rPr>
          <w:rFonts w:ascii="Times New Roman" w:hAnsi="Times New Roman"/>
          <w:color w:val="000000"/>
          <w:spacing w:val="-3"/>
          <w:sz w:val="22"/>
          <w:szCs w:val="22"/>
        </w:rPr>
        <w:t xml:space="preserve"> should first consider </w:t>
      </w:r>
      <w:r>
        <w:rPr>
          <w:rFonts w:ascii="Times New Roman" w:hAnsi="Times New Roman"/>
          <w:color w:val="000000"/>
          <w:spacing w:val="-3"/>
          <w:sz w:val="22"/>
          <w:szCs w:val="22"/>
        </w:rPr>
        <w:t xml:space="preserve">whether </w:t>
      </w:r>
      <w:r w:rsidRPr="00A43717">
        <w:rPr>
          <w:rFonts w:ascii="Times New Roman" w:hAnsi="Times New Roman"/>
          <w:color w:val="000000"/>
          <w:spacing w:val="-3"/>
          <w:sz w:val="22"/>
          <w:szCs w:val="22"/>
        </w:rPr>
        <w:t xml:space="preserve">accounting principles for similar transactions or events </w:t>
      </w:r>
      <w:r>
        <w:rPr>
          <w:rFonts w:ascii="Times New Roman" w:hAnsi="Times New Roman"/>
          <w:color w:val="000000"/>
          <w:spacing w:val="-3"/>
          <w:sz w:val="22"/>
          <w:szCs w:val="22"/>
        </w:rPr>
        <w:t xml:space="preserve">exist </w:t>
      </w:r>
      <w:r w:rsidRPr="00A43717">
        <w:rPr>
          <w:rFonts w:ascii="Times New Roman" w:hAnsi="Times New Roman"/>
          <w:color w:val="000000"/>
          <w:spacing w:val="-3"/>
          <w:sz w:val="22"/>
          <w:szCs w:val="22"/>
        </w:rPr>
        <w:t>within GAAP</w:t>
      </w:r>
      <w:r>
        <w:rPr>
          <w:rFonts w:ascii="Times New Roman" w:hAnsi="Times New Roman"/>
          <w:color w:val="000000"/>
          <w:spacing w:val="-3"/>
          <w:sz w:val="22"/>
          <w:szCs w:val="22"/>
        </w:rPr>
        <w:t>; if that is the case, those principles are followed to the extent considered appropriate.  If not, non</w:t>
      </w:r>
      <w:r w:rsidRPr="00A43717">
        <w:rPr>
          <w:rFonts w:ascii="Times New Roman" w:hAnsi="Times New Roman"/>
          <w:color w:val="000000"/>
          <w:spacing w:val="-3"/>
          <w:sz w:val="22"/>
          <w:szCs w:val="22"/>
        </w:rPr>
        <w:t xml:space="preserve">authoritative accounting guidance is consulted.  Sources of nonauthoritative accounting guidance and literature include </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 xml:space="preserve">Practices that are widely recognized and prevalent either generally or in the industry. </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FASB Concept</w:t>
      </w:r>
      <w:r>
        <w:rPr>
          <w:rFonts w:ascii="Times New Roman" w:hAnsi="Times New Roman"/>
          <w:color w:val="000000"/>
          <w:spacing w:val="-3"/>
          <w:sz w:val="22"/>
          <w:szCs w:val="22"/>
        </w:rPr>
        <w:t>s</w:t>
      </w:r>
      <w:r w:rsidRPr="00A43717">
        <w:rPr>
          <w:rFonts w:ascii="Times New Roman" w:hAnsi="Times New Roman"/>
          <w:color w:val="000000"/>
          <w:spacing w:val="-3"/>
          <w:sz w:val="22"/>
          <w:szCs w:val="22"/>
        </w:rPr>
        <w:t xml:space="preserve"> Statements.</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AICPA Issues Papers</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International Financial Reporting Standards.</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 xml:space="preserve">Pronouncements of professional associations or regulatory agencies.  </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 xml:space="preserve">Technical Information Service Inquiries and Replies included in AICPA </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Technical Practice Aids.</w:t>
      </w:r>
    </w:p>
    <w:p w:rsidR="003D4C71" w:rsidRPr="00A43717" w:rsidRDefault="003D4C71" w:rsidP="003D4C71">
      <w:pPr>
        <w:numPr>
          <w:ilvl w:val="0"/>
          <w:numId w:val="22"/>
        </w:numPr>
        <w:shd w:val="clear" w:color="auto" w:fill="FFFFFF"/>
        <w:autoSpaceDE w:val="0"/>
        <w:autoSpaceDN w:val="0"/>
        <w:adjustRightInd w:val="0"/>
        <w:rPr>
          <w:rFonts w:ascii="Times New Roman" w:hAnsi="Times New Roman"/>
          <w:color w:val="000000"/>
          <w:spacing w:val="-3"/>
          <w:sz w:val="22"/>
          <w:szCs w:val="22"/>
        </w:rPr>
      </w:pPr>
      <w:r w:rsidRPr="00A43717">
        <w:rPr>
          <w:rFonts w:ascii="Times New Roman" w:hAnsi="Times New Roman"/>
          <w:color w:val="000000"/>
          <w:spacing w:val="-3"/>
          <w:sz w:val="22"/>
          <w:szCs w:val="22"/>
        </w:rPr>
        <w:t xml:space="preserve">Accounting textbooks, handbooks, and articles.  </w:t>
      </w:r>
    </w:p>
    <w:p w:rsidR="003D4C71" w:rsidRPr="00A43717" w:rsidRDefault="003D4C71" w:rsidP="003D4C71">
      <w:pPr>
        <w:shd w:val="clear" w:color="auto" w:fill="FFFFFF"/>
        <w:rPr>
          <w:rFonts w:ascii="Times New Roman" w:hAnsi="Times New Roman"/>
          <w:color w:val="000000"/>
          <w:spacing w:val="-3"/>
          <w:sz w:val="22"/>
          <w:szCs w:val="22"/>
        </w:rPr>
      </w:pPr>
    </w:p>
    <w:p w:rsidR="003D4C71" w:rsidRPr="00A43717" w:rsidRDefault="003D4C71" w:rsidP="003D4C71">
      <w:pPr>
        <w:shd w:val="clear" w:color="auto" w:fill="FFFFFF"/>
        <w:ind w:left="720"/>
        <w:rPr>
          <w:rFonts w:ascii="Times New Roman" w:hAnsi="Times New Roman"/>
          <w:color w:val="000000"/>
          <w:spacing w:val="-3"/>
          <w:sz w:val="22"/>
          <w:szCs w:val="22"/>
        </w:rPr>
      </w:pPr>
      <w:r w:rsidRPr="00A43717">
        <w:rPr>
          <w:rFonts w:ascii="Times New Roman" w:hAnsi="Times New Roman"/>
          <w:color w:val="000000"/>
          <w:spacing w:val="-3"/>
          <w:sz w:val="22"/>
          <w:szCs w:val="22"/>
        </w:rPr>
        <w:t>The appropriateness of the above nonauthoritative accounting guidance and literature depends on its relevance to particular circumstances, how specific it is, the general recognition of the issuer or author as a authority, and the extent of its use in practice.</w:t>
      </w:r>
    </w:p>
    <w:p w:rsidR="003D4C71" w:rsidRPr="00A43717"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sidRPr="00A43717">
        <w:rPr>
          <w:rFonts w:ascii="Times New Roman" w:hAnsi="Times New Roman"/>
          <w:sz w:val="22"/>
        </w:rPr>
        <w:t>2-18</w:t>
      </w:r>
      <w:r w:rsidRPr="00A43717">
        <w:rPr>
          <w:rFonts w:ascii="Times New Roman" w:hAnsi="Times New Roman"/>
          <w:sz w:val="22"/>
        </w:rPr>
        <w:tab/>
        <w:t>No.  The attestation standards are meant to provide a general framework for the overall attestation</w:t>
      </w:r>
      <w:r>
        <w:rPr>
          <w:rFonts w:ascii="Times New Roman" w:hAnsi="Times New Roman"/>
          <w:sz w:val="22"/>
        </w:rPr>
        <w:t xml:space="preserve"> function and do not supersede the generally accepted auditing standard which were developed for audits of annual historical financial statements.  As a practical matter, the attestation standards are most directly relevant to attest engagements that are not covered by specific authoritative standards, such as attesting to attributes of computer software.</w:t>
      </w: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2-19</w:t>
      </w:r>
      <w:r>
        <w:rPr>
          <w:rFonts w:ascii="Times New Roman" w:hAnsi="Times New Roman"/>
          <w:sz w:val="22"/>
        </w:rPr>
        <w:tab/>
      </w:r>
      <w:r>
        <w:rPr>
          <w:rFonts w:ascii="Times New Roman" w:hAnsi="Times New Roman"/>
          <w:b/>
          <w:i/>
          <w:sz w:val="22"/>
        </w:rPr>
        <w:t>Quality control</w:t>
      </w:r>
      <w:r>
        <w:rPr>
          <w:rFonts w:ascii="Times New Roman" w:hAnsi="Times New Roman"/>
          <w:sz w:val="22"/>
        </w:rPr>
        <w:t xml:space="preserve"> in a public accounting firm means policies and procedures which help assure that each audit meets at least a minimum standard of quality.  Such control is vital because even one substandard audit could cause the firm to be defendant in a lawsuit that could threaten its continued existence.</w:t>
      </w:r>
    </w:p>
    <w:p w:rsidR="003D4C71" w:rsidRDefault="003D4C71">
      <w:pPr>
        <w:widowControl/>
        <w:ind w:left="720" w:firstLine="576"/>
        <w:rPr>
          <w:rFonts w:ascii="Times New Roman" w:hAnsi="Times New Roman"/>
          <w:sz w:val="22"/>
        </w:rPr>
      </w:pPr>
      <w:r>
        <w:rPr>
          <w:rFonts w:ascii="Times New Roman" w:hAnsi="Times New Roman"/>
          <w:b/>
          <w:i/>
          <w:sz w:val="22"/>
        </w:rPr>
        <w:t>Peer reviews</w:t>
      </w:r>
      <w:r>
        <w:rPr>
          <w:rFonts w:ascii="Times New Roman" w:hAnsi="Times New Roman"/>
          <w:sz w:val="22"/>
        </w:rPr>
        <w:t xml:space="preserve"> refer to a </w:t>
      </w:r>
      <w:r w:rsidRPr="001E7690">
        <w:rPr>
          <w:rFonts w:ascii="Times New Roman" w:hAnsi="Times New Roman"/>
          <w:sz w:val="22"/>
        </w:rPr>
        <w:t xml:space="preserve">study and appraisal by an independent evaluator (“peer reviewer”) of a CPA firm’s work.  In a </w:t>
      </w:r>
      <w:r w:rsidRPr="001E7690">
        <w:rPr>
          <w:rFonts w:ascii="Times New Roman" w:hAnsi="Times New Roman"/>
          <w:i/>
          <w:sz w:val="22"/>
        </w:rPr>
        <w:t>system review</w:t>
      </w:r>
      <w:r w:rsidRPr="001E7690">
        <w:rPr>
          <w:rFonts w:ascii="Times New Roman" w:hAnsi="Times New Roman"/>
          <w:sz w:val="22"/>
        </w:rPr>
        <w:t xml:space="preserve">, the evaluator considers the CPA firm’s system of quality control to perform accounting and auditing work.  In an </w:t>
      </w:r>
      <w:r w:rsidRPr="001E7690">
        <w:rPr>
          <w:rFonts w:ascii="Times New Roman" w:hAnsi="Times New Roman"/>
          <w:i/>
          <w:sz w:val="22"/>
        </w:rPr>
        <w:t>engagement review</w:t>
      </w:r>
      <w:r w:rsidRPr="001E7690">
        <w:rPr>
          <w:rFonts w:ascii="Times New Roman" w:hAnsi="Times New Roman"/>
          <w:sz w:val="22"/>
        </w:rPr>
        <w:t>, the evaluator studies and evaluates a sample of a CPA firm’s actual accounting work, including accounting reports issued and documentation prepared by the CPA firm as well as other procedures that the firm performed. Engagement reviews are only available for CPA firms that do not perform audits or other similar engagements.</w:t>
      </w:r>
    </w:p>
    <w:p w:rsidR="003D4C71" w:rsidRDefault="003D4C71" w:rsidP="003D4C71">
      <w:pPr>
        <w:widowControl/>
        <w:ind w:left="720" w:firstLine="360"/>
        <w:rPr>
          <w:rFonts w:ascii="Times New Roman" w:hAnsi="Times New Roman"/>
          <w:sz w:val="22"/>
        </w:rPr>
      </w:pPr>
      <w:r>
        <w:rPr>
          <w:rFonts w:ascii="Times New Roman" w:hAnsi="Times New Roman"/>
          <w:b/>
          <w:i/>
          <w:sz w:val="22"/>
        </w:rPr>
        <w:t>Inspections</w:t>
      </w:r>
      <w:r>
        <w:rPr>
          <w:rFonts w:ascii="Times New Roman" w:hAnsi="Times New Roman"/>
          <w:bCs/>
          <w:iCs/>
          <w:sz w:val="22"/>
        </w:rPr>
        <w:t xml:space="preserve"> are similar to peer reviews but</w:t>
      </w:r>
      <w:r>
        <w:rPr>
          <w:rFonts w:ascii="Times New Roman" w:hAnsi="Times New Roman"/>
          <w:b/>
          <w:i/>
          <w:sz w:val="22"/>
        </w:rPr>
        <w:t xml:space="preserve"> </w:t>
      </w:r>
      <w:r>
        <w:rPr>
          <w:rFonts w:ascii="Times New Roman" w:hAnsi="Times New Roman"/>
          <w:bCs/>
          <w:iCs/>
          <w:sz w:val="22"/>
        </w:rPr>
        <w:t xml:space="preserve">are performed by the staff of the Public Company Accounting Oversight Board.  However, in performing </w:t>
      </w:r>
      <w:r w:rsidRPr="0023745F">
        <w:rPr>
          <w:rFonts w:ascii="Times New Roman" w:hAnsi="Times New Roman"/>
          <w:sz w:val="22"/>
        </w:rPr>
        <w:t xml:space="preserve">PCAOB inspections </w:t>
      </w:r>
      <w:r>
        <w:rPr>
          <w:rFonts w:ascii="Times New Roman" w:hAnsi="Times New Roman"/>
          <w:sz w:val="22"/>
        </w:rPr>
        <w:t>the staff f</w:t>
      </w:r>
      <w:r w:rsidRPr="0023745F">
        <w:rPr>
          <w:rFonts w:ascii="Times New Roman" w:hAnsi="Times New Roman"/>
          <w:sz w:val="22"/>
        </w:rPr>
        <w:t xml:space="preserve">ocuses only on selected quality control issues and may consider aspects of practice management, such as the </w:t>
      </w:r>
      <w:r w:rsidRPr="0023745F">
        <w:rPr>
          <w:rFonts w:ascii="Times New Roman" w:hAnsi="Times New Roman"/>
          <w:sz w:val="22"/>
        </w:rPr>
        <w:lastRenderedPageBreak/>
        <w:t>determination of partner compensation.  In selecting audits and reviews for inspection, the PCAOB staff uses a risk assessment approach, which focuses on audits that have a high risk of lack of compliance.</w:t>
      </w:r>
    </w:p>
    <w:p w:rsidR="003D4C71" w:rsidRDefault="003D4C71">
      <w:pPr>
        <w:widowControl/>
        <w:rPr>
          <w:rFonts w:ascii="Times New Roman" w:hAnsi="Times New Roman"/>
          <w:sz w:val="22"/>
        </w:rPr>
      </w:pPr>
    </w:p>
    <w:p w:rsidR="003D4C71" w:rsidRDefault="003D4C71" w:rsidP="00AD6C54">
      <w:pPr>
        <w:widowControl/>
        <w:ind w:left="1440" w:hanging="1440"/>
        <w:rPr>
          <w:rFonts w:ascii="Times New Roman" w:hAnsi="Times New Roman"/>
          <w:sz w:val="22"/>
        </w:rPr>
      </w:pPr>
      <w:r>
        <w:rPr>
          <w:rFonts w:ascii="Times New Roman" w:hAnsi="Times New Roman"/>
          <w:sz w:val="22"/>
        </w:rPr>
        <w:t>2-20</w:t>
      </w:r>
      <w:r w:rsidR="00AD6C54">
        <w:rPr>
          <w:rFonts w:ascii="Times New Roman" w:hAnsi="Times New Roman"/>
          <w:sz w:val="22"/>
        </w:rPr>
        <w:t xml:space="preserve">     </w:t>
      </w:r>
      <w:r>
        <w:rPr>
          <w:rFonts w:ascii="Times New Roman" w:hAnsi="Times New Roman"/>
          <w:sz w:val="22"/>
        </w:rPr>
        <w:t>(a)</w:t>
      </w:r>
      <w:r>
        <w:rPr>
          <w:rFonts w:ascii="Times New Roman" w:hAnsi="Times New Roman"/>
          <w:sz w:val="22"/>
        </w:rPr>
        <w:tab/>
      </w:r>
      <w:r>
        <w:rPr>
          <w:rFonts w:ascii="Times New Roman" w:hAnsi="Times New Roman"/>
          <w:sz w:val="22"/>
          <w:u w:val="single"/>
        </w:rPr>
        <w:t>Engagement performance</w:t>
      </w:r>
      <w:r>
        <w:rPr>
          <w:rFonts w:ascii="Times New Roman" w:hAnsi="Times New Roman"/>
          <w:sz w:val="22"/>
        </w:rPr>
        <w:t>.  The objective of quality control procedures in this area is to provide assurance that work performed is in accordance with professional standards and regulatory and legal requirements, with policies and procedures addressing: (1) engagement performance, (2) supervisions responsibilities and (3) review responsibilities.</w:t>
      </w:r>
    </w:p>
    <w:p w:rsidR="003D4C71" w:rsidRDefault="003D4C71">
      <w:pPr>
        <w:widowControl/>
        <w:rPr>
          <w:rFonts w:ascii="Times New Roman" w:hAnsi="Times New Roman"/>
          <w:sz w:val="22"/>
        </w:rPr>
      </w:pPr>
    </w:p>
    <w:p w:rsidR="003D4C71" w:rsidRPr="004079AD" w:rsidRDefault="003D4C71">
      <w:pPr>
        <w:widowControl/>
        <w:ind w:left="1440" w:hanging="720"/>
        <w:rPr>
          <w:rFonts w:ascii="Times New Roman" w:hAnsi="Times New Roman"/>
          <w:sz w:val="22"/>
        </w:rPr>
      </w:pPr>
      <w:r>
        <w:rPr>
          <w:rFonts w:ascii="Times New Roman" w:hAnsi="Times New Roman"/>
          <w:sz w:val="22"/>
        </w:rPr>
        <w:t>(b)</w:t>
      </w:r>
      <w:r>
        <w:rPr>
          <w:rFonts w:ascii="Times New Roman" w:hAnsi="Times New Roman"/>
          <w:sz w:val="22"/>
        </w:rPr>
        <w:tab/>
      </w:r>
      <w:r w:rsidRPr="001E7690">
        <w:rPr>
          <w:rFonts w:ascii="Times New Roman" w:hAnsi="Times New Roman"/>
          <w:sz w:val="22"/>
          <w:u w:val="single"/>
        </w:rPr>
        <w:t>Human resources</w:t>
      </w:r>
      <w:r>
        <w:rPr>
          <w:rFonts w:ascii="Times New Roman" w:hAnsi="Times New Roman"/>
          <w:sz w:val="22"/>
        </w:rPr>
        <w:t xml:space="preserve">.  </w:t>
      </w:r>
      <w:r w:rsidRPr="004079AD">
        <w:rPr>
          <w:rFonts w:ascii="Times New Roman" w:hAnsi="Times New Roman"/>
          <w:sz w:val="22"/>
        </w:rPr>
        <w:t>The objective of quality control procedures in this area is to provide assurance that the firm has personnel with the capabilities, competence and commitment to ethical principles to: (1) perform its engagements in accordance with professional standards and regulatory and legal requirements</w:t>
      </w:r>
      <w:r>
        <w:rPr>
          <w:rFonts w:ascii="Times New Roman" w:hAnsi="Times New Roman"/>
          <w:sz w:val="22"/>
        </w:rPr>
        <w:t xml:space="preserve"> and</w:t>
      </w:r>
      <w:r w:rsidRPr="004079AD">
        <w:rPr>
          <w:rFonts w:ascii="Times New Roman" w:hAnsi="Times New Roman"/>
          <w:sz w:val="22"/>
        </w:rPr>
        <w:t xml:space="preserve"> (2) enable the firm to issue reports that are appropriate in the circumstances.</w:t>
      </w:r>
    </w:p>
    <w:p w:rsidR="003D4C71" w:rsidRPr="004079AD" w:rsidRDefault="003D4C71">
      <w:pPr>
        <w:widowControl/>
        <w:ind w:left="1440" w:hanging="720"/>
        <w:rPr>
          <w:rFonts w:ascii="Times New Roman" w:hAnsi="Times New Roman"/>
          <w:sz w:val="22"/>
        </w:rPr>
      </w:pPr>
    </w:p>
    <w:p w:rsidR="003D4C71" w:rsidRDefault="003D4C71">
      <w:pPr>
        <w:widowControl/>
        <w:ind w:left="1440" w:hanging="720"/>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u w:val="single"/>
        </w:rPr>
        <w:t>Monitoring</w:t>
      </w:r>
      <w:r>
        <w:rPr>
          <w:rFonts w:ascii="Times New Roman" w:hAnsi="Times New Roman"/>
          <w:sz w:val="22"/>
        </w:rPr>
        <w:t>.  The objective of quality control procedures in this area is to determine that the policies and procedures established for each of the elements are suitably designed and effectively applied.</w:t>
      </w: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2-21</w:t>
      </w:r>
      <w:r>
        <w:rPr>
          <w:rFonts w:ascii="Times New Roman" w:hAnsi="Times New Roman"/>
          <w:sz w:val="22"/>
        </w:rPr>
        <w:tab/>
        <w:t xml:space="preserve">The AICPA’s </w:t>
      </w:r>
      <w:r>
        <w:rPr>
          <w:rFonts w:ascii="Times New Roman" w:hAnsi="Times New Roman"/>
          <w:i/>
          <w:sz w:val="22"/>
        </w:rPr>
        <w:t xml:space="preserve">Statement on Quality Control Standards </w:t>
      </w:r>
      <w:r>
        <w:rPr>
          <w:rFonts w:ascii="Times New Roman" w:hAnsi="Times New Roman"/>
          <w:sz w:val="22"/>
        </w:rPr>
        <w:t xml:space="preserve"> identify six “elements” (areas) in which the Institute feels that quality control procedures are appropriate, but it does not require any specific quality control procedures.  The Statement recognizes that specific procedures will vary among firms, depending upon the size of the firm, the number of offices, and the nature of the firm’s practice.</w:t>
      </w:r>
    </w:p>
    <w:p w:rsidR="003D4C71" w:rsidRDefault="003D4C71">
      <w:pPr>
        <w:widowControl/>
        <w:rPr>
          <w:rFonts w:ascii="Times New Roman" w:hAnsi="Times New Roman"/>
          <w:sz w:val="22"/>
        </w:rPr>
      </w:pPr>
    </w:p>
    <w:p w:rsidR="003D4C71" w:rsidRDefault="003D4C71">
      <w:pPr>
        <w:rPr>
          <w:rFonts w:ascii="Times New Roman" w:hAnsi="Times New Roman"/>
          <w:sz w:val="22"/>
          <w:szCs w:val="22"/>
        </w:rPr>
      </w:pPr>
      <w:r>
        <w:rPr>
          <w:rFonts w:ascii="Times New Roman" w:hAnsi="Times New Roman"/>
          <w:sz w:val="22"/>
        </w:rPr>
        <w:t>2-22</w:t>
      </w:r>
      <w:r>
        <w:rPr>
          <w:rFonts w:ascii="Times New Roman" w:hAnsi="Times New Roman"/>
          <w:sz w:val="22"/>
        </w:rPr>
        <w:tab/>
        <w:t>The duties of the Public Company Accounting Oversight Board</w:t>
      </w:r>
      <w:r>
        <w:rPr>
          <w:rFonts w:ascii="Times New Roman" w:hAnsi="Times New Roman"/>
          <w:sz w:val="22"/>
          <w:szCs w:val="22"/>
        </w:rPr>
        <w:t xml:space="preserve"> include:</w:t>
      </w:r>
    </w:p>
    <w:p w:rsidR="003D4C71" w:rsidRDefault="003D4C71">
      <w:pPr>
        <w:rPr>
          <w:rFonts w:ascii="Times New Roman" w:hAnsi="Times New Roman"/>
          <w:sz w:val="22"/>
          <w:szCs w:val="22"/>
        </w:rPr>
      </w:pPr>
    </w:p>
    <w:p w:rsidR="003D4C71" w:rsidRDefault="003D4C71">
      <w:pPr>
        <w:widowControl/>
        <w:numPr>
          <w:ilvl w:val="0"/>
          <w:numId w:val="12"/>
        </w:numPr>
        <w:rPr>
          <w:rFonts w:ascii="Times New Roman" w:hAnsi="Times New Roman"/>
          <w:sz w:val="22"/>
          <w:szCs w:val="22"/>
        </w:rPr>
      </w:pPr>
      <w:r>
        <w:rPr>
          <w:rFonts w:ascii="Times New Roman" w:hAnsi="Times New Roman"/>
          <w:sz w:val="22"/>
          <w:szCs w:val="22"/>
        </w:rPr>
        <w:t>Register public accounting firms that prepare audit reports for financial statement issuers.</w:t>
      </w:r>
    </w:p>
    <w:p w:rsidR="003D4C71" w:rsidRDefault="003D4C71">
      <w:pPr>
        <w:widowControl/>
        <w:numPr>
          <w:ilvl w:val="0"/>
          <w:numId w:val="12"/>
        </w:numPr>
        <w:rPr>
          <w:rFonts w:ascii="Times New Roman" w:hAnsi="Times New Roman"/>
          <w:sz w:val="22"/>
          <w:szCs w:val="22"/>
        </w:rPr>
      </w:pPr>
      <w:r>
        <w:rPr>
          <w:rFonts w:ascii="Times New Roman" w:hAnsi="Times New Roman"/>
          <w:sz w:val="22"/>
          <w:szCs w:val="22"/>
        </w:rPr>
        <w:t>Establish or adopt auditing, quality control, ethics, independence and other standards relating to audit reports for issuers.</w:t>
      </w:r>
    </w:p>
    <w:p w:rsidR="003D4C71" w:rsidRDefault="003D4C71">
      <w:pPr>
        <w:widowControl/>
        <w:numPr>
          <w:ilvl w:val="0"/>
          <w:numId w:val="12"/>
        </w:numPr>
        <w:rPr>
          <w:rFonts w:ascii="Times New Roman" w:hAnsi="Times New Roman"/>
          <w:sz w:val="22"/>
          <w:szCs w:val="22"/>
        </w:rPr>
      </w:pPr>
      <w:r>
        <w:rPr>
          <w:rFonts w:ascii="Times New Roman" w:hAnsi="Times New Roman"/>
          <w:sz w:val="22"/>
          <w:szCs w:val="22"/>
        </w:rPr>
        <w:t>Conduct inspections of registered public accounting firms.</w:t>
      </w:r>
    </w:p>
    <w:p w:rsidR="003D4C71" w:rsidRDefault="003D4C71">
      <w:pPr>
        <w:widowControl/>
        <w:numPr>
          <w:ilvl w:val="0"/>
          <w:numId w:val="12"/>
        </w:numPr>
        <w:rPr>
          <w:rFonts w:ascii="Times New Roman" w:hAnsi="Times New Roman"/>
          <w:sz w:val="22"/>
          <w:szCs w:val="22"/>
        </w:rPr>
      </w:pPr>
      <w:r>
        <w:rPr>
          <w:rFonts w:ascii="Times New Roman" w:hAnsi="Times New Roman"/>
          <w:sz w:val="22"/>
          <w:szCs w:val="22"/>
        </w:rPr>
        <w:t>Perform other duties or functions to promote high professional standards for audits, enforce compliance with the enabling act establishing the Board (i.e., the Sarbanes-Oxley Act of 2002 discussed in Chapter 1), set the budget, and manage operations.</w:t>
      </w:r>
    </w:p>
    <w:p w:rsidR="003D4C71" w:rsidRDefault="003D4C71">
      <w:pPr>
        <w:widowControl/>
        <w:rPr>
          <w:rFonts w:ascii="Times New Roman" w:hAnsi="Times New Roman"/>
          <w:sz w:val="22"/>
          <w:szCs w:val="22"/>
        </w:rPr>
      </w:pPr>
    </w:p>
    <w:p w:rsidR="003D4C71" w:rsidRDefault="003D4C71">
      <w:pPr>
        <w:widowControl/>
        <w:ind w:left="720" w:hanging="720"/>
        <w:rPr>
          <w:rFonts w:ascii="Times New Roman" w:hAnsi="Times New Roman"/>
          <w:sz w:val="22"/>
        </w:rPr>
      </w:pPr>
      <w:r>
        <w:rPr>
          <w:rFonts w:ascii="Times New Roman" w:hAnsi="Times New Roman"/>
          <w:sz w:val="22"/>
        </w:rPr>
        <w:t>2-23</w:t>
      </w:r>
      <w:r>
        <w:rPr>
          <w:rFonts w:ascii="Times New Roman" w:hAnsi="Times New Roman"/>
          <w:sz w:val="22"/>
        </w:rPr>
        <w:tab/>
      </w:r>
      <w:r w:rsidRPr="0043419A">
        <w:rPr>
          <w:rFonts w:ascii="Times New Roman" w:hAnsi="Times New Roman"/>
          <w:sz w:val="22"/>
        </w:rPr>
        <w:t xml:space="preserve">A </w:t>
      </w:r>
      <w:r w:rsidRPr="0043419A">
        <w:rPr>
          <w:rFonts w:ascii="Times New Roman" w:hAnsi="Times New Roman"/>
          <w:i/>
          <w:sz w:val="22"/>
        </w:rPr>
        <w:t>system review</w:t>
      </w:r>
      <w:r w:rsidRPr="0043419A">
        <w:rPr>
          <w:rFonts w:ascii="Times New Roman" w:hAnsi="Times New Roman"/>
          <w:sz w:val="22"/>
        </w:rPr>
        <w:t xml:space="preserve"> involves peer reviewers’ study and appraisal of a CPA firm’s system of quality control to perform accounting and auditing work.  A systems review includes determining whether the CPA firm’s system of quality control for its accounting and auditing practice (non-public clients) is designed and complied with to provide the CPA firm with reasonable assurance of performing and reporting in conformity with applicable standards, including the quality control standards.  An </w:t>
      </w:r>
      <w:r w:rsidRPr="0043419A">
        <w:rPr>
          <w:rFonts w:ascii="Times New Roman" w:hAnsi="Times New Roman"/>
          <w:i/>
          <w:sz w:val="22"/>
        </w:rPr>
        <w:t>engagement review</w:t>
      </w:r>
      <w:r w:rsidRPr="0043419A">
        <w:rPr>
          <w:rFonts w:ascii="Times New Roman" w:hAnsi="Times New Roman"/>
          <w:sz w:val="22"/>
        </w:rPr>
        <w:t xml:space="preserve"> is a type of peer review in which the peer reviewer selects a sample of a CPA firm’s actual accounting work, including accounting reports issued and documentation prepared by the CPA firm.  This form of peer review is only available for CPA firms that do not perform audits, but do perform accounting work, including reviews and compilations.  The objective of an engagement review is to evaluate whether the CPA firm’s reports are issued and procedures performed appropriately in accordance with applicable professional standards.</w:t>
      </w:r>
    </w:p>
    <w:p w:rsidR="003D4C71" w:rsidRDefault="003D4C71">
      <w:pPr>
        <w:widowControl/>
        <w:rPr>
          <w:rFonts w:ascii="Times New Roman" w:hAnsi="Times New Roman"/>
          <w:sz w:val="22"/>
        </w:rPr>
      </w:pPr>
    </w:p>
    <w:p w:rsidR="00F4546C" w:rsidRDefault="003D4C71" w:rsidP="00E77B99">
      <w:pPr>
        <w:keepNext/>
        <w:keepLines/>
        <w:widowControl/>
        <w:ind w:left="720" w:hanging="720"/>
        <w:rPr>
          <w:rFonts w:ascii="Times New Roman" w:hAnsi="Times New Roman"/>
          <w:sz w:val="22"/>
        </w:rPr>
      </w:pPr>
      <w:r w:rsidRPr="00632B5A">
        <w:rPr>
          <w:rFonts w:ascii="Times New Roman" w:hAnsi="Times New Roman"/>
          <w:sz w:val="22"/>
        </w:rPr>
        <w:lastRenderedPageBreak/>
        <w:t>2-24</w:t>
      </w:r>
      <w:r w:rsidRPr="00632B5A">
        <w:rPr>
          <w:rFonts w:ascii="Times New Roman" w:hAnsi="Times New Roman"/>
          <w:sz w:val="22"/>
        </w:rPr>
        <w:tab/>
        <w:t>The</w:t>
      </w:r>
      <w:r w:rsidR="00632B5A">
        <w:rPr>
          <w:rFonts w:ascii="Times New Roman" w:hAnsi="Times New Roman"/>
          <w:sz w:val="22"/>
        </w:rPr>
        <w:t xml:space="preserve"> statement is incorrect as acceptance of international accounting standards replaces the use of generally accepted accounting principles for those companies.  An audit in conformity with PCAOB Auditing Standards is still required.</w:t>
      </w:r>
      <w:r w:rsidRPr="00632B5A">
        <w:rPr>
          <w:rFonts w:ascii="Times New Roman" w:hAnsi="Times New Roman"/>
          <w:sz w:val="22"/>
        </w:rPr>
        <w:t xml:space="preserve"> </w:t>
      </w:r>
    </w:p>
    <w:p w:rsidR="003D4C71" w:rsidRDefault="003D4C71" w:rsidP="00E77B99">
      <w:pPr>
        <w:keepNext/>
        <w:keepLines/>
        <w:widowControl/>
        <w:ind w:left="720" w:hanging="720"/>
        <w:rPr>
          <w:rFonts w:ascii="Times New Roman" w:hAnsi="Times New Roman"/>
          <w:sz w:val="22"/>
        </w:rPr>
      </w:pPr>
    </w:p>
    <w:p w:rsidR="003D4C71" w:rsidRDefault="003D4C71" w:rsidP="009C005C">
      <w:pPr>
        <w:keepNext/>
        <w:keepLines/>
        <w:widowControl/>
        <w:rPr>
          <w:rFonts w:ascii="Times New Roman" w:hAnsi="Times New Roman"/>
          <w:sz w:val="22"/>
        </w:rPr>
      </w:pPr>
      <w:r>
        <w:rPr>
          <w:rFonts w:ascii="Times New Roman" w:hAnsi="Times New Roman"/>
          <w:b/>
          <w:sz w:val="22"/>
        </w:rPr>
        <w:t>Questions Requiring Analysis</w:t>
      </w:r>
    </w:p>
    <w:p w:rsidR="003D4C71" w:rsidRDefault="003D4C71" w:rsidP="009C005C">
      <w:pPr>
        <w:keepNext/>
        <w:keepLines/>
        <w:widowControl/>
        <w:rPr>
          <w:rFonts w:ascii="Times New Roman" w:hAnsi="Times New Roman"/>
          <w:sz w:val="22"/>
        </w:rPr>
      </w:pPr>
    </w:p>
    <w:p w:rsidR="003D4C71" w:rsidRPr="0023745F" w:rsidRDefault="003D4C71" w:rsidP="009C005C">
      <w:pPr>
        <w:keepNext/>
        <w:keepLines/>
        <w:widowControl/>
        <w:ind w:left="720" w:hanging="720"/>
        <w:rPr>
          <w:rFonts w:ascii="Times New Roman" w:hAnsi="Times New Roman"/>
          <w:sz w:val="22"/>
          <w:szCs w:val="22"/>
        </w:rPr>
      </w:pPr>
      <w:r>
        <w:rPr>
          <w:rFonts w:ascii="Times New Roman" w:hAnsi="Times New Roman"/>
          <w:sz w:val="22"/>
          <w:szCs w:val="22"/>
        </w:rPr>
        <w:t xml:space="preserve">2-25  </w:t>
      </w:r>
      <w:r>
        <w:rPr>
          <w:rFonts w:ascii="Times New Roman" w:hAnsi="Times New Roman"/>
          <w:sz w:val="22"/>
          <w:szCs w:val="22"/>
        </w:rPr>
        <w:tab/>
      </w:r>
      <w:r w:rsidRPr="0023745F">
        <w:rPr>
          <w:rFonts w:ascii="Times New Roman" w:hAnsi="Times New Roman"/>
          <w:sz w:val="22"/>
          <w:szCs w:val="22"/>
        </w:rPr>
        <w:t>The AICPA currently develops independence and ethical standards, quality control standards, and auditing and attestation standards that apply to its members.  However, AICPA standards are applicable to the audits and auditors of nonpublic clients based on general acceptance by the courts, and adoption by state boards of accountancy and other regulatory bodies.  The AICPA also has a voluntary peer review program, and enforces its standards on its members.</w:t>
      </w:r>
    </w:p>
    <w:p w:rsidR="003D4C71" w:rsidRPr="0023745F" w:rsidRDefault="003D4C71" w:rsidP="003D4C71">
      <w:pPr>
        <w:rPr>
          <w:rFonts w:ascii="Times New Roman" w:hAnsi="Times New Roman"/>
          <w:sz w:val="22"/>
          <w:szCs w:val="22"/>
        </w:rPr>
      </w:pPr>
    </w:p>
    <w:p w:rsidR="003D4C71" w:rsidRPr="0023745F" w:rsidRDefault="003D4C71" w:rsidP="003D4C71">
      <w:pPr>
        <w:ind w:left="720"/>
        <w:rPr>
          <w:rFonts w:ascii="Times New Roman" w:hAnsi="Times New Roman"/>
          <w:sz w:val="22"/>
          <w:szCs w:val="22"/>
        </w:rPr>
      </w:pPr>
      <w:r w:rsidRPr="0023745F">
        <w:rPr>
          <w:rFonts w:ascii="Times New Roman" w:hAnsi="Times New Roman"/>
          <w:sz w:val="22"/>
          <w:szCs w:val="22"/>
        </w:rPr>
        <w:t xml:space="preserve">The PCAOB was given the legal authority to develop independence and ethical standards, quality control standards, and auditing and attestation standards that apply to </w:t>
      </w:r>
      <w:r>
        <w:rPr>
          <w:rFonts w:ascii="Times New Roman" w:hAnsi="Times New Roman"/>
          <w:sz w:val="22"/>
          <w:szCs w:val="22"/>
        </w:rPr>
        <w:t xml:space="preserve">public company </w:t>
      </w:r>
      <w:r w:rsidRPr="0023745F">
        <w:rPr>
          <w:rFonts w:ascii="Times New Roman" w:hAnsi="Times New Roman"/>
          <w:sz w:val="22"/>
          <w:szCs w:val="22"/>
        </w:rPr>
        <w:t>auditors and integrated audits.   The PCAOB also is charged with performing inspections of registered audit firms, and may sanction the firms for noncompliance with its standards and the provisions of Sarbanes-Oxley Act.</w:t>
      </w:r>
    </w:p>
    <w:p w:rsidR="003D4C71" w:rsidRPr="0023745F" w:rsidRDefault="003D4C71" w:rsidP="003D4C71">
      <w:pPr>
        <w:ind w:left="720"/>
        <w:rPr>
          <w:rFonts w:ascii="Times New Roman" w:hAnsi="Times New Roman"/>
          <w:sz w:val="22"/>
          <w:szCs w:val="22"/>
        </w:rPr>
      </w:pPr>
    </w:p>
    <w:p w:rsidR="003D4C71" w:rsidRPr="0023745F" w:rsidRDefault="003D4C71" w:rsidP="003D4C71">
      <w:pPr>
        <w:widowControl/>
        <w:ind w:left="720" w:hanging="720"/>
        <w:rPr>
          <w:rFonts w:ascii="Times New Roman" w:hAnsi="Times New Roman"/>
          <w:sz w:val="22"/>
        </w:rPr>
      </w:pPr>
      <w:r w:rsidRPr="0023745F">
        <w:rPr>
          <w:rFonts w:ascii="Times New Roman" w:hAnsi="Times New Roman"/>
          <w:sz w:val="22"/>
          <w:szCs w:val="22"/>
        </w:rPr>
        <w:tab/>
      </w:r>
      <w:r>
        <w:rPr>
          <w:rFonts w:ascii="Times New Roman" w:hAnsi="Times New Roman"/>
          <w:sz w:val="22"/>
          <w:szCs w:val="22"/>
        </w:rPr>
        <w:tab/>
      </w:r>
      <w:r w:rsidRPr="0023745F">
        <w:rPr>
          <w:rFonts w:ascii="Times New Roman" w:hAnsi="Times New Roman"/>
          <w:sz w:val="22"/>
          <w:szCs w:val="22"/>
        </w:rPr>
        <w:t>The state boards of accountancy regulate CPA firms and CPAs in the various states and jurisdictions.  They have the authority to establish their own standards, but have generally adopted the standards of other bodies such as the AICPA and the PCAOB.  A state board enforces its standards in its state or jurisdiction and has the authority to revoke a CPA firm or individual CPA’s right to practice in the state.</w:t>
      </w:r>
    </w:p>
    <w:p w:rsidR="003D4C71" w:rsidRPr="0023745F" w:rsidRDefault="003D4C71">
      <w:pPr>
        <w:widowControl/>
        <w:rPr>
          <w:rFonts w:ascii="Times New Roman" w:hAnsi="Times New Roman"/>
          <w:b/>
          <w:sz w:val="22"/>
        </w:rPr>
      </w:pPr>
    </w:p>
    <w:p w:rsidR="003D4C71" w:rsidRDefault="003D4C71">
      <w:pPr>
        <w:widowControl/>
        <w:ind w:left="720" w:hanging="720"/>
        <w:rPr>
          <w:rFonts w:ascii="Times New Roman" w:hAnsi="Times New Roman"/>
          <w:sz w:val="22"/>
        </w:rPr>
      </w:pPr>
      <w:r>
        <w:rPr>
          <w:rFonts w:ascii="Times New Roman" w:hAnsi="Times New Roman"/>
          <w:sz w:val="22"/>
        </w:rPr>
        <w:t>2-26</w:t>
      </w:r>
      <w:r>
        <w:rPr>
          <w:rFonts w:ascii="Times New Roman" w:hAnsi="Times New Roman"/>
          <w:sz w:val="22"/>
        </w:rPr>
        <w:tab/>
        <w:t>A firm of certified public accountants might find it difficult to maintain an attitude of independence during the audit of financial statements if the public accounting firm or a partner in the firm:</w:t>
      </w:r>
    </w:p>
    <w:p w:rsidR="003D4C71" w:rsidRDefault="003D4C71">
      <w:pPr>
        <w:widowControl/>
        <w:rPr>
          <w:rFonts w:ascii="Times New Roman" w:hAnsi="Times New Roman"/>
          <w:sz w:val="22"/>
        </w:rPr>
      </w:pPr>
    </w:p>
    <w:p w:rsidR="003D4C71" w:rsidRDefault="003D4C71">
      <w:pPr>
        <w:widowControl/>
        <w:ind w:left="1296" w:hanging="576"/>
        <w:rPr>
          <w:rFonts w:ascii="Times New Roman" w:hAnsi="Times New Roman"/>
          <w:sz w:val="22"/>
        </w:rPr>
      </w:pPr>
      <w:r>
        <w:rPr>
          <w:rFonts w:ascii="Times New Roman" w:hAnsi="Times New Roman"/>
          <w:sz w:val="22"/>
        </w:rPr>
        <w:t>(1)</w:t>
      </w:r>
      <w:r>
        <w:rPr>
          <w:rFonts w:ascii="Times New Roman" w:hAnsi="Times New Roman"/>
          <w:sz w:val="22"/>
        </w:rPr>
        <w:tab/>
        <w:t>Derived a major portion of the firm's income from one client;</w:t>
      </w:r>
    </w:p>
    <w:p w:rsidR="003D4C71" w:rsidRDefault="003D4C71">
      <w:pPr>
        <w:widowControl/>
        <w:ind w:left="1296" w:hanging="576"/>
        <w:rPr>
          <w:rFonts w:ascii="Times New Roman" w:hAnsi="Times New Roman"/>
          <w:sz w:val="22"/>
        </w:rPr>
      </w:pPr>
      <w:r>
        <w:rPr>
          <w:rFonts w:ascii="Times New Roman" w:hAnsi="Times New Roman"/>
          <w:sz w:val="22"/>
        </w:rPr>
        <w:t>(2)</w:t>
      </w:r>
      <w:r>
        <w:rPr>
          <w:rFonts w:ascii="Times New Roman" w:hAnsi="Times New Roman"/>
          <w:sz w:val="22"/>
        </w:rPr>
        <w:tab/>
        <w:t>Had a personal financial interest in the company being audited;</w:t>
      </w:r>
    </w:p>
    <w:p w:rsidR="003D4C71" w:rsidRDefault="003D4C71">
      <w:pPr>
        <w:widowControl/>
        <w:ind w:left="1296" w:hanging="576"/>
        <w:rPr>
          <w:rFonts w:ascii="Times New Roman" w:hAnsi="Times New Roman"/>
          <w:sz w:val="22"/>
        </w:rPr>
      </w:pPr>
      <w:r>
        <w:rPr>
          <w:rFonts w:ascii="Times New Roman" w:hAnsi="Times New Roman"/>
          <w:sz w:val="22"/>
        </w:rPr>
        <w:t>(3)</w:t>
      </w:r>
      <w:r>
        <w:rPr>
          <w:rFonts w:ascii="Times New Roman" w:hAnsi="Times New Roman"/>
          <w:sz w:val="22"/>
        </w:rPr>
        <w:tab/>
        <w:t>Made the fee contingent upon the obtaining of a bank loan by the client;</w:t>
      </w:r>
    </w:p>
    <w:p w:rsidR="003D4C71" w:rsidRDefault="003D4C71">
      <w:pPr>
        <w:widowControl/>
        <w:ind w:left="1296" w:hanging="576"/>
        <w:rPr>
          <w:rFonts w:ascii="Times New Roman" w:hAnsi="Times New Roman"/>
          <w:sz w:val="22"/>
        </w:rPr>
      </w:pPr>
      <w:r>
        <w:rPr>
          <w:rFonts w:ascii="Times New Roman" w:hAnsi="Times New Roman"/>
          <w:sz w:val="22"/>
        </w:rPr>
        <w:t>(4)</w:t>
      </w:r>
      <w:r>
        <w:rPr>
          <w:rFonts w:ascii="Times New Roman" w:hAnsi="Times New Roman"/>
          <w:sz w:val="22"/>
        </w:rPr>
        <w:tab/>
        <w:t>Was financially indebted to the client;</w:t>
      </w:r>
    </w:p>
    <w:p w:rsidR="00F02E41" w:rsidRDefault="003D4C71" w:rsidP="003D4C71">
      <w:pPr>
        <w:widowControl/>
        <w:ind w:left="1080" w:hanging="360"/>
        <w:rPr>
          <w:rFonts w:ascii="Times New Roman" w:hAnsi="Times New Roman"/>
          <w:sz w:val="22"/>
        </w:rPr>
      </w:pPr>
      <w:r>
        <w:rPr>
          <w:rFonts w:ascii="Times New Roman" w:hAnsi="Times New Roman"/>
          <w:sz w:val="22"/>
        </w:rPr>
        <w:t>(5)</w:t>
      </w:r>
      <w:r>
        <w:rPr>
          <w:rFonts w:ascii="Times New Roman" w:hAnsi="Times New Roman"/>
          <w:sz w:val="22"/>
        </w:rPr>
        <w:tab/>
      </w:r>
      <w:r w:rsidR="00F02E41">
        <w:rPr>
          <w:rFonts w:ascii="Times New Roman" w:hAnsi="Times New Roman"/>
          <w:sz w:val="22"/>
        </w:rPr>
        <w:t xml:space="preserve">    </w:t>
      </w:r>
      <w:r>
        <w:rPr>
          <w:rFonts w:ascii="Times New Roman" w:hAnsi="Times New Roman"/>
          <w:sz w:val="22"/>
        </w:rPr>
        <w:t xml:space="preserve">Was a member of the board of directors of the client company or otherwise participated in the </w:t>
      </w:r>
    </w:p>
    <w:p w:rsidR="003D4C71" w:rsidRDefault="003D4C71" w:rsidP="00F02E41">
      <w:pPr>
        <w:widowControl/>
        <w:ind w:left="1080" w:firstLine="360"/>
        <w:rPr>
          <w:rFonts w:ascii="Times New Roman" w:hAnsi="Times New Roman"/>
          <w:sz w:val="22"/>
        </w:rPr>
      </w:pPr>
      <w:r>
        <w:rPr>
          <w:rFonts w:ascii="Times New Roman" w:hAnsi="Times New Roman"/>
          <w:sz w:val="22"/>
        </w:rPr>
        <w:t>management of the company.</w:t>
      </w: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2-27</w:t>
      </w:r>
      <w:r>
        <w:rPr>
          <w:rFonts w:ascii="Times New Roman" w:hAnsi="Times New Roman"/>
          <w:sz w:val="22"/>
        </w:rPr>
        <w:tab/>
        <w:t>If the certified public accountant is appointed controller of the corporation, he or she loses the independent status which is the most essential qualification of the certified public accountant.  The interests of the officers of a corporation may at times be in conflict with the interests of creditors, bankers, or stockholders.  These outside groups are best protected when independent CPAs examine the financial statements prepared by management of the corporation.  The performance of an internal audit function under the direction of the new controller may be a highly desirable step, but it does not eliminate the need for an independent audit.</w:t>
      </w:r>
    </w:p>
    <w:p w:rsidR="003D4C71" w:rsidRDefault="003D4C71">
      <w:pPr>
        <w:widowControl/>
        <w:ind w:left="1440" w:hanging="1440"/>
        <w:rPr>
          <w:rFonts w:ascii="Times New Roman" w:hAnsi="Times New Roman"/>
          <w:sz w:val="22"/>
        </w:rPr>
      </w:pPr>
    </w:p>
    <w:p w:rsidR="003D4C71" w:rsidRDefault="003D4C71" w:rsidP="00AD6C54">
      <w:pPr>
        <w:keepNext/>
        <w:keepLines/>
        <w:widowControl/>
        <w:ind w:left="1440" w:hanging="1440"/>
        <w:rPr>
          <w:rFonts w:ascii="Times New Roman" w:hAnsi="Times New Roman"/>
          <w:sz w:val="22"/>
        </w:rPr>
      </w:pPr>
      <w:r>
        <w:rPr>
          <w:rFonts w:ascii="Times New Roman" w:hAnsi="Times New Roman"/>
          <w:sz w:val="22"/>
        </w:rPr>
        <w:lastRenderedPageBreak/>
        <w:t>2-28</w:t>
      </w:r>
      <w:r w:rsidR="00AD6C54">
        <w:rPr>
          <w:rFonts w:ascii="Times New Roman" w:hAnsi="Times New Roman"/>
          <w:sz w:val="22"/>
        </w:rPr>
        <w:t xml:space="preserve">    </w:t>
      </w:r>
      <w:r>
        <w:rPr>
          <w:rFonts w:ascii="Times New Roman" w:hAnsi="Times New Roman"/>
          <w:sz w:val="22"/>
        </w:rPr>
        <w:t>(a)</w:t>
      </w:r>
      <w:r>
        <w:rPr>
          <w:rFonts w:ascii="Times New Roman" w:hAnsi="Times New Roman"/>
          <w:sz w:val="22"/>
        </w:rPr>
        <w:tab/>
        <w:t>To satisfy an auditor's responsibilities to detect Smith's errors and fraud, Reed should:</w:t>
      </w:r>
    </w:p>
    <w:p w:rsidR="003D4C71" w:rsidRDefault="003D4C71" w:rsidP="00AD6C54">
      <w:pPr>
        <w:keepNext/>
        <w:keepLines/>
        <w:widowControl/>
        <w:ind w:left="1440" w:hanging="1440"/>
        <w:rPr>
          <w:rFonts w:ascii="Times New Roman" w:hAnsi="Times New Roman"/>
          <w:sz w:val="22"/>
        </w:rPr>
      </w:pPr>
    </w:p>
    <w:p w:rsidR="003D4C71" w:rsidRDefault="003D4C71" w:rsidP="00AD6C54">
      <w:pPr>
        <w:keepNext/>
        <w:keepLines/>
        <w:widowControl/>
        <w:numPr>
          <w:ilvl w:val="0"/>
          <w:numId w:val="6"/>
        </w:numPr>
        <w:tabs>
          <w:tab w:val="clear" w:pos="360"/>
          <w:tab w:val="left" w:pos="-1440"/>
          <w:tab w:val="left" w:pos="-720"/>
          <w:tab w:val="num" w:pos="1800"/>
        </w:tabs>
        <w:ind w:left="1800"/>
        <w:rPr>
          <w:rFonts w:ascii="Times New Roman" w:hAnsi="Times New Roman"/>
          <w:sz w:val="22"/>
        </w:rPr>
      </w:pPr>
      <w:r>
        <w:rPr>
          <w:rFonts w:ascii="Times New Roman" w:hAnsi="Times New Roman"/>
          <w:sz w:val="22"/>
        </w:rPr>
        <w:t>Assess the risk that Smith's errors and fraud may cause its financial statements to contain a material misstatement.</w:t>
      </w:r>
    </w:p>
    <w:p w:rsidR="003D4C71" w:rsidRDefault="003D4C71" w:rsidP="00AD6C54">
      <w:pPr>
        <w:keepNext/>
        <w:keepLines/>
        <w:widowControl/>
        <w:numPr>
          <w:ilvl w:val="0"/>
          <w:numId w:val="7"/>
        </w:numPr>
        <w:tabs>
          <w:tab w:val="clear" w:pos="360"/>
          <w:tab w:val="left" w:pos="-1440"/>
          <w:tab w:val="left" w:pos="-720"/>
          <w:tab w:val="num" w:pos="1800"/>
        </w:tabs>
        <w:ind w:left="1800"/>
        <w:rPr>
          <w:rFonts w:ascii="Times New Roman" w:hAnsi="Times New Roman"/>
          <w:sz w:val="22"/>
        </w:rPr>
      </w:pPr>
      <w:r>
        <w:rPr>
          <w:rFonts w:ascii="Times New Roman" w:hAnsi="Times New Roman"/>
          <w:sz w:val="22"/>
        </w:rPr>
        <w:t>Design the audit to provide reasonable assurance of detecting errors and fraud that are material to the financial statements.  In designing the audit, the auditors should respond to risks by altering their overall approach to the audit or modifying the nature timing and extent of audit procedures.  They should also perform procedures to address the risk of management override of internal control.</w:t>
      </w:r>
    </w:p>
    <w:p w:rsidR="003D4C71" w:rsidRDefault="003D4C71" w:rsidP="00AD6C54">
      <w:pPr>
        <w:keepNext/>
        <w:keepLines/>
        <w:widowControl/>
        <w:numPr>
          <w:ilvl w:val="0"/>
          <w:numId w:val="8"/>
        </w:numPr>
        <w:tabs>
          <w:tab w:val="clear" w:pos="360"/>
          <w:tab w:val="left" w:pos="-1440"/>
          <w:tab w:val="left" w:pos="-720"/>
          <w:tab w:val="num" w:pos="1800"/>
        </w:tabs>
        <w:ind w:left="1800"/>
        <w:rPr>
          <w:rFonts w:ascii="Times New Roman" w:hAnsi="Times New Roman"/>
          <w:sz w:val="22"/>
        </w:rPr>
      </w:pPr>
      <w:r>
        <w:rPr>
          <w:rFonts w:ascii="Times New Roman" w:hAnsi="Times New Roman"/>
          <w:sz w:val="22"/>
        </w:rPr>
        <w:t>Exercise due care in planning, performing, and evaluating the results of audit procedures, and exercise the proper degree of professional skepticism to achieve reasonable assurance that material errors or fraud will be detected.</w:t>
      </w:r>
    </w:p>
    <w:p w:rsidR="003D4C71" w:rsidRDefault="003D4C71" w:rsidP="00AD6C54">
      <w:pPr>
        <w:keepNext/>
        <w:keepLines/>
        <w:widowControl/>
        <w:rPr>
          <w:rFonts w:ascii="Times New Roman" w:hAnsi="Times New Roman"/>
          <w:sz w:val="22"/>
        </w:rPr>
      </w:pPr>
    </w:p>
    <w:p w:rsidR="003D4C71" w:rsidRDefault="003D4C71" w:rsidP="00AD6C54">
      <w:pPr>
        <w:keepNext/>
        <w:keepLines/>
        <w:widowControl/>
        <w:spacing w:after="120"/>
        <w:ind w:left="1440" w:hanging="720"/>
        <w:rPr>
          <w:rFonts w:ascii="Times New Roman" w:hAnsi="Times New Roman"/>
          <w:sz w:val="22"/>
        </w:rPr>
      </w:pPr>
      <w:r>
        <w:rPr>
          <w:rFonts w:ascii="Times New Roman" w:hAnsi="Times New Roman"/>
          <w:sz w:val="22"/>
        </w:rPr>
        <w:t>(b)</w:t>
      </w:r>
      <w:r>
        <w:rPr>
          <w:rFonts w:ascii="Times New Roman" w:hAnsi="Times New Roman"/>
          <w:sz w:val="22"/>
        </w:rPr>
        <w:tab/>
        <w:t>Reed's responsibilities to detect Smith's noncompliance with laws that have a material and direct effect on Smith's financial statements are the same as that for errors and fraud.</w:t>
      </w:r>
    </w:p>
    <w:p w:rsidR="003D4C71" w:rsidRDefault="003D4C71" w:rsidP="00AD6C54">
      <w:pPr>
        <w:keepNext/>
        <w:keepLines/>
        <w:widowControl/>
        <w:ind w:left="1440"/>
        <w:rPr>
          <w:rFonts w:ascii="Times New Roman" w:hAnsi="Times New Roman"/>
          <w:sz w:val="22"/>
        </w:rPr>
      </w:pPr>
      <w:r>
        <w:rPr>
          <w:rFonts w:ascii="Times New Roman" w:hAnsi="Times New Roman"/>
          <w:sz w:val="22"/>
        </w:rPr>
        <w:t>Reed's responsibilities to detect noncompliance with laws that have an indirect effect on the financial statements are to be aware of the possibility that such noncompliance may have occurred.  If specific information comes to Reed's attention that provides evidence concerning the possible existence of such noncompliance, Reed should apply audit procedures specifically directed to ascertaining whether noncompliance has occurred.</w:t>
      </w:r>
    </w:p>
    <w:p w:rsidR="003D4C71" w:rsidRDefault="003D4C71">
      <w:pPr>
        <w:widowControl/>
        <w:rPr>
          <w:rFonts w:ascii="Times New Roman" w:hAnsi="Times New Roman"/>
          <w:sz w:val="22"/>
        </w:rPr>
      </w:pPr>
    </w:p>
    <w:p w:rsidR="003D4C71" w:rsidRDefault="003D4C71">
      <w:pPr>
        <w:widowControl/>
        <w:ind w:left="1440" w:hanging="720"/>
        <w:rPr>
          <w:rFonts w:ascii="Times New Roman" w:hAnsi="Times New Roman"/>
          <w:sz w:val="22"/>
        </w:rPr>
      </w:pPr>
      <w:r>
        <w:rPr>
          <w:rFonts w:ascii="Times New Roman" w:hAnsi="Times New Roman"/>
          <w:sz w:val="22"/>
        </w:rPr>
        <w:t>(c)</w:t>
      </w:r>
      <w:r>
        <w:rPr>
          <w:rFonts w:ascii="Times New Roman" w:hAnsi="Times New Roman"/>
          <w:sz w:val="22"/>
        </w:rPr>
        <w:tab/>
        <w:t xml:space="preserve">Reed's responsibilities when noncompliance with laws has been identified is to discuss the situation with top management and to notify the audit committee of the board of directors so that proper action can be taken, including making any necessary disclosures or adjustments to the financial statements.  If the client fails to take appropriate corrective action, Reed should withdraw from the engagement.  In addition, legal counsel or other appropriate specialist will generally be contacted by the CPA. </w:t>
      </w:r>
    </w:p>
    <w:p w:rsidR="003D4C71" w:rsidRDefault="003D4C71">
      <w:pPr>
        <w:widowControl/>
        <w:rPr>
          <w:rFonts w:ascii="Times New Roman" w:hAnsi="Times New Roman"/>
          <w:sz w:val="22"/>
        </w:rPr>
      </w:pPr>
    </w:p>
    <w:p w:rsidR="003D4C71" w:rsidRPr="0023745F" w:rsidRDefault="003D4C71" w:rsidP="003D4C71">
      <w:pPr>
        <w:widowControl/>
        <w:ind w:left="1440" w:hanging="1440"/>
        <w:rPr>
          <w:rFonts w:ascii="Times New Roman" w:hAnsi="Times New Roman"/>
          <w:sz w:val="22"/>
        </w:rPr>
      </w:pPr>
      <w:r>
        <w:rPr>
          <w:rFonts w:ascii="Times New Roman" w:hAnsi="Times New Roman"/>
          <w:sz w:val="22"/>
        </w:rPr>
        <w:t>2-29</w:t>
      </w:r>
      <w:r w:rsidR="00AD6C54">
        <w:rPr>
          <w:rFonts w:ascii="Times New Roman" w:hAnsi="Times New Roman"/>
          <w:sz w:val="22"/>
        </w:rPr>
        <w:t xml:space="preserve">      </w:t>
      </w:r>
      <w:r w:rsidRPr="0023745F">
        <w:rPr>
          <w:rFonts w:ascii="Times New Roman" w:hAnsi="Times New Roman"/>
          <w:sz w:val="22"/>
        </w:rPr>
        <w:t>(a)</w:t>
      </w:r>
      <w:r w:rsidRPr="0023745F">
        <w:rPr>
          <w:rFonts w:ascii="Times New Roman" w:hAnsi="Times New Roman"/>
          <w:sz w:val="22"/>
        </w:rPr>
        <w:tab/>
      </w:r>
      <w:r>
        <w:rPr>
          <w:rFonts w:ascii="Times New Roman" w:hAnsi="Times New Roman"/>
          <w:sz w:val="22"/>
        </w:rPr>
        <w:t>The two forms of peer review are a system review and an engagement review.</w:t>
      </w:r>
      <w:r w:rsidRPr="0023745F">
        <w:rPr>
          <w:rFonts w:ascii="Times New Roman" w:hAnsi="Times New Roman"/>
          <w:sz w:val="22"/>
        </w:rPr>
        <w:t xml:space="preserve"> </w:t>
      </w:r>
    </w:p>
    <w:p w:rsidR="003D4C71" w:rsidRPr="0023745F" w:rsidRDefault="003D4C71" w:rsidP="003D4C71">
      <w:pPr>
        <w:widowControl/>
        <w:rPr>
          <w:rFonts w:ascii="Times New Roman" w:hAnsi="Times New Roman"/>
          <w:sz w:val="22"/>
        </w:rPr>
      </w:pPr>
    </w:p>
    <w:p w:rsidR="003D4C71" w:rsidRPr="0023745F" w:rsidRDefault="003D4C71" w:rsidP="003D4C71">
      <w:pPr>
        <w:widowControl/>
        <w:ind w:left="1440" w:hanging="720"/>
        <w:rPr>
          <w:rFonts w:ascii="Times New Roman" w:hAnsi="Times New Roman"/>
          <w:sz w:val="22"/>
        </w:rPr>
      </w:pPr>
      <w:r>
        <w:rPr>
          <w:rFonts w:ascii="Times New Roman" w:hAnsi="Times New Roman"/>
          <w:sz w:val="22"/>
        </w:rPr>
        <w:t>(b)</w:t>
      </w:r>
      <w:r>
        <w:rPr>
          <w:rFonts w:ascii="Times New Roman" w:hAnsi="Times New Roman"/>
          <w:sz w:val="22"/>
        </w:rPr>
        <w:tab/>
      </w:r>
      <w:r w:rsidRPr="0023745F">
        <w:rPr>
          <w:rFonts w:ascii="Times New Roman" w:hAnsi="Times New Roman"/>
          <w:sz w:val="22"/>
        </w:rPr>
        <w:t xml:space="preserve">The PCAOB inspections focus on the public-company audit practice of the firm.  The inspections are designed to determine the firm’s compliance with the Sarbanes-Oxley Act, PCAOB and SEC requirements, and other professional standards.  </w:t>
      </w:r>
    </w:p>
    <w:p w:rsidR="003D4C71" w:rsidRPr="0023745F" w:rsidRDefault="003D4C71" w:rsidP="003D4C71">
      <w:pPr>
        <w:widowControl/>
        <w:rPr>
          <w:rFonts w:ascii="Times New Roman" w:hAnsi="Times New Roman"/>
          <w:sz w:val="22"/>
        </w:rPr>
      </w:pPr>
    </w:p>
    <w:p w:rsidR="003D4C71" w:rsidRPr="0023745F" w:rsidRDefault="003D4C71" w:rsidP="003D4C71">
      <w:pPr>
        <w:widowControl/>
        <w:ind w:left="720"/>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rPr>
        <w:tab/>
      </w:r>
      <w:r w:rsidRPr="0023745F">
        <w:rPr>
          <w:rFonts w:ascii="Times New Roman" w:hAnsi="Times New Roman"/>
          <w:sz w:val="22"/>
        </w:rPr>
        <w:t>An inspection involves at least the following three components:</w:t>
      </w:r>
    </w:p>
    <w:p w:rsidR="003D4C71" w:rsidRPr="0023745F" w:rsidRDefault="003D4C71" w:rsidP="003D4C71">
      <w:pPr>
        <w:widowControl/>
        <w:ind w:left="1440"/>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ab/>
      </w:r>
      <w:r w:rsidRPr="0023745F">
        <w:rPr>
          <w:rFonts w:ascii="Times New Roman" w:hAnsi="Times New Roman"/>
          <w:sz w:val="22"/>
        </w:rPr>
        <w:t>An inspection and review of selected public-company audit and review engagements</w:t>
      </w:r>
      <w:r>
        <w:rPr>
          <w:rFonts w:ascii="Times New Roman" w:hAnsi="Times New Roman"/>
          <w:sz w:val="22"/>
        </w:rPr>
        <w:t>.</w:t>
      </w:r>
      <w:r w:rsidRPr="0023745F">
        <w:rPr>
          <w:rFonts w:ascii="Times New Roman" w:hAnsi="Times New Roman"/>
          <w:sz w:val="22"/>
        </w:rPr>
        <w:t xml:space="preserve"> </w:t>
      </w:r>
    </w:p>
    <w:p w:rsidR="003D4C71" w:rsidRPr="0023745F" w:rsidRDefault="003D4C71" w:rsidP="003D4C71">
      <w:pPr>
        <w:widowControl/>
        <w:ind w:left="2160" w:hanging="720"/>
        <w:rPr>
          <w:rFonts w:ascii="Times New Roman" w:hAnsi="Times New Roman"/>
          <w:sz w:val="22"/>
        </w:rPr>
      </w:pPr>
      <w:r>
        <w:rPr>
          <w:rFonts w:ascii="Times New Roman" w:hAnsi="Times New Roman"/>
          <w:sz w:val="22"/>
        </w:rPr>
        <w:t>2.</w:t>
      </w:r>
      <w:r>
        <w:rPr>
          <w:rFonts w:ascii="Times New Roman" w:hAnsi="Times New Roman"/>
          <w:sz w:val="22"/>
        </w:rPr>
        <w:tab/>
      </w:r>
      <w:r w:rsidRPr="0023745F">
        <w:rPr>
          <w:rFonts w:ascii="Times New Roman" w:hAnsi="Times New Roman"/>
          <w:sz w:val="22"/>
        </w:rPr>
        <w:t>An evaluation of the sufficiency of the quality control sys</w:t>
      </w:r>
      <w:r>
        <w:rPr>
          <w:rFonts w:ascii="Times New Roman" w:hAnsi="Times New Roman"/>
          <w:sz w:val="22"/>
        </w:rPr>
        <w:t xml:space="preserve">tem of the firm, and the manner </w:t>
      </w:r>
      <w:r w:rsidRPr="0023745F">
        <w:rPr>
          <w:rFonts w:ascii="Times New Roman" w:hAnsi="Times New Roman"/>
          <w:sz w:val="22"/>
        </w:rPr>
        <w:t>of the documentation and communication of the system</w:t>
      </w:r>
      <w:r>
        <w:rPr>
          <w:rFonts w:ascii="Times New Roman" w:hAnsi="Times New Roman"/>
          <w:sz w:val="22"/>
        </w:rPr>
        <w:t>.</w:t>
      </w:r>
    </w:p>
    <w:p w:rsidR="003D4C71" w:rsidRPr="0023745F" w:rsidRDefault="003D4C71" w:rsidP="003D4C71">
      <w:pPr>
        <w:widowControl/>
        <w:ind w:left="2160" w:hanging="720"/>
        <w:rPr>
          <w:rFonts w:ascii="Times New Roman" w:hAnsi="Times New Roman"/>
          <w:sz w:val="22"/>
        </w:rPr>
      </w:pPr>
      <w:r>
        <w:rPr>
          <w:rFonts w:ascii="Times New Roman" w:hAnsi="Times New Roman"/>
          <w:sz w:val="22"/>
        </w:rPr>
        <w:t>3.</w:t>
      </w:r>
      <w:r>
        <w:rPr>
          <w:rFonts w:ascii="Times New Roman" w:hAnsi="Times New Roman"/>
          <w:sz w:val="22"/>
        </w:rPr>
        <w:tab/>
      </w:r>
      <w:r w:rsidRPr="0023745F">
        <w:rPr>
          <w:rFonts w:ascii="Times New Roman" w:hAnsi="Times New Roman"/>
          <w:sz w:val="22"/>
        </w:rPr>
        <w:t>Performance of such other testing of the audit, supervisory, and quality control procedures as are considered necessary.</w:t>
      </w:r>
    </w:p>
    <w:p w:rsidR="003D4C71" w:rsidRPr="0023745F" w:rsidRDefault="003D4C71" w:rsidP="003D4C71">
      <w:pPr>
        <w:widowControl/>
        <w:rPr>
          <w:rFonts w:ascii="Times New Roman" w:hAnsi="Times New Roman"/>
          <w:sz w:val="22"/>
        </w:rPr>
      </w:pPr>
    </w:p>
    <w:p w:rsidR="003D4C71" w:rsidRPr="0023745F" w:rsidRDefault="003D4C71" w:rsidP="003D4C71">
      <w:pPr>
        <w:widowControl/>
        <w:ind w:left="1440"/>
        <w:rPr>
          <w:rFonts w:ascii="Times New Roman" w:hAnsi="Times New Roman"/>
          <w:sz w:val="22"/>
        </w:rPr>
      </w:pPr>
      <w:r w:rsidRPr="0023745F">
        <w:rPr>
          <w:rFonts w:ascii="Times New Roman" w:hAnsi="Times New Roman"/>
          <w:sz w:val="22"/>
        </w:rPr>
        <w:t>PCAOB inspections differ from peer reviews in that the staff focuses only on selected quality control issues and may consider aspects of practice management, such as the determination of partner compensation.  In selecting audits and reviews for inspection, the PCAOB staff uses a risk assessment approach, which focuses on audits that have a high risk of lack of compliance.</w:t>
      </w:r>
    </w:p>
    <w:p w:rsidR="003D4C71" w:rsidRDefault="003D4C71">
      <w:pPr>
        <w:widowControl/>
        <w:rPr>
          <w:rFonts w:ascii="Times New Roman" w:hAnsi="Times New Roman"/>
          <w:sz w:val="22"/>
        </w:rPr>
      </w:pPr>
      <w:r>
        <w:rPr>
          <w:rFonts w:ascii="Times New Roman" w:hAnsi="Times New Roman"/>
          <w:sz w:val="22"/>
        </w:rPr>
        <w:tab/>
      </w:r>
    </w:p>
    <w:p w:rsidR="003D4C71" w:rsidRDefault="00AD6C54" w:rsidP="003D4C71">
      <w:pPr>
        <w:widowControl/>
        <w:ind w:left="1440" w:hanging="1440"/>
        <w:rPr>
          <w:rFonts w:ascii="Times New Roman" w:hAnsi="Times New Roman"/>
          <w:sz w:val="22"/>
        </w:rPr>
      </w:pPr>
      <w:r>
        <w:rPr>
          <w:rFonts w:ascii="Times New Roman" w:hAnsi="Times New Roman"/>
          <w:sz w:val="22"/>
        </w:rPr>
        <w:t xml:space="preserve">     </w:t>
      </w:r>
      <w:r w:rsidR="00795A30">
        <w:rPr>
          <w:rFonts w:ascii="Times New Roman" w:hAnsi="Times New Roman"/>
          <w:sz w:val="22"/>
        </w:rPr>
        <w:t xml:space="preserve">       </w:t>
      </w:r>
      <w:r w:rsidR="003D4C71">
        <w:rPr>
          <w:rFonts w:ascii="Times New Roman" w:hAnsi="Times New Roman"/>
          <w:sz w:val="22"/>
        </w:rPr>
        <w:t>(d)</w:t>
      </w:r>
      <w:r w:rsidR="003D4C71">
        <w:rPr>
          <w:rFonts w:ascii="Times New Roman" w:hAnsi="Times New Roman"/>
          <w:sz w:val="22"/>
        </w:rPr>
        <w:tab/>
      </w:r>
      <w:r w:rsidR="00795A30">
        <w:rPr>
          <w:rFonts w:ascii="Times New Roman" w:hAnsi="Times New Roman"/>
          <w:sz w:val="22"/>
        </w:rPr>
        <w:t xml:space="preserve"> </w:t>
      </w:r>
      <w:r w:rsidR="003D4C71">
        <w:rPr>
          <w:rFonts w:ascii="Times New Roman" w:hAnsi="Times New Roman"/>
          <w:sz w:val="22"/>
        </w:rPr>
        <w:t>The PCAOB staff selects audit engagements for inspection on a risk basis.  They select audits with a higher risk of lack of noncompliance with professional standards.  In addition, for the selected audits, the staff focuses on the higher-risks aspects of the engagement.</w:t>
      </w:r>
    </w:p>
    <w:p w:rsidR="003D4C71" w:rsidRDefault="003D4C71">
      <w:pPr>
        <w:widowControl/>
        <w:rPr>
          <w:rFonts w:ascii="Times New Roman" w:hAnsi="Times New Roman"/>
          <w:sz w:val="22"/>
        </w:rPr>
      </w:pPr>
    </w:p>
    <w:p w:rsidR="003D4C71" w:rsidRDefault="003D4C71">
      <w:pPr>
        <w:widowControl/>
        <w:rPr>
          <w:rFonts w:ascii="Times New Roman" w:hAnsi="Times New Roman"/>
          <w:sz w:val="22"/>
        </w:rPr>
      </w:pPr>
    </w:p>
    <w:p w:rsidR="003D4C71" w:rsidRPr="00C44209" w:rsidRDefault="00E9581B">
      <w:pPr>
        <w:widowControl/>
        <w:rPr>
          <w:rFonts w:ascii="Times New Roman" w:hAnsi="Times New Roman"/>
          <w:b/>
          <w:sz w:val="22"/>
        </w:rPr>
      </w:pPr>
      <w:r>
        <w:rPr>
          <w:rFonts w:ascii="Times New Roman" w:hAnsi="Times New Roman"/>
          <w:b/>
          <w:sz w:val="22"/>
        </w:rPr>
        <w:lastRenderedPageBreak/>
        <w:t>Objective Questions</w:t>
      </w:r>
    </w:p>
    <w:p w:rsidR="003D4C71" w:rsidRDefault="003D4C71">
      <w:pPr>
        <w:widowControl/>
        <w:rPr>
          <w:rFonts w:ascii="Times New Roman" w:hAnsi="Times New Roman"/>
          <w:sz w:val="22"/>
        </w:rPr>
      </w:pPr>
    </w:p>
    <w:p w:rsidR="00E9581B" w:rsidRDefault="003D4C71" w:rsidP="00E9581B">
      <w:pPr>
        <w:widowControl/>
        <w:spacing w:after="120"/>
        <w:ind w:left="2160" w:hanging="2160"/>
        <w:rPr>
          <w:rFonts w:ascii="Times New Roman" w:hAnsi="Times New Roman"/>
          <w:sz w:val="22"/>
        </w:rPr>
      </w:pPr>
      <w:r>
        <w:rPr>
          <w:rFonts w:ascii="Times New Roman" w:hAnsi="Times New Roman"/>
          <w:sz w:val="22"/>
        </w:rPr>
        <w:t>2-30</w:t>
      </w:r>
      <w:r w:rsidR="009C005C">
        <w:rPr>
          <w:rFonts w:ascii="Times New Roman" w:hAnsi="Times New Roman"/>
          <w:sz w:val="22"/>
        </w:rPr>
        <w:t xml:space="preserve">   </w:t>
      </w:r>
      <w:r w:rsidR="00E9581B">
        <w:rPr>
          <w:rFonts w:ascii="Times New Roman" w:hAnsi="Times New Roman"/>
          <w:sz w:val="22"/>
        </w:rPr>
        <w:t>Multiple Choice Questions</w:t>
      </w:r>
    </w:p>
    <w:p w:rsidR="003D4C71" w:rsidRDefault="003D4C71" w:rsidP="00AD6C54">
      <w:pPr>
        <w:widowControl/>
        <w:ind w:left="1440" w:hanging="720"/>
        <w:rPr>
          <w:rFonts w:ascii="Times New Roman" w:hAnsi="Times New Roman"/>
          <w:sz w:val="22"/>
        </w:rPr>
      </w:pPr>
      <w:r>
        <w:rPr>
          <w:rFonts w:ascii="Times New Roman" w:hAnsi="Times New Roman"/>
          <w:sz w:val="22"/>
        </w:rPr>
        <w:t>(a)</w:t>
      </w:r>
      <w:r>
        <w:rPr>
          <w:rFonts w:ascii="Times New Roman" w:hAnsi="Times New Roman"/>
          <w:sz w:val="22"/>
        </w:rPr>
        <w:tab/>
        <w:t>(4)</w:t>
      </w:r>
      <w:r>
        <w:rPr>
          <w:rFonts w:ascii="Times New Roman" w:hAnsi="Times New Roman"/>
          <w:sz w:val="22"/>
        </w:rPr>
        <w:tab/>
        <w:t>Because the license to practice as a CPA is granted by the state, the applicable state, through its state board of accountancy, has the right to revoke the right of an individual to practice as a CPA.  Students are sometimes confused by the fact that while the CPA examination is administered nationally, it is the individual states that award CPA certificates.</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(b)</w:t>
      </w:r>
      <w:r>
        <w:rPr>
          <w:rFonts w:ascii="Times New Roman" w:hAnsi="Times New Roman"/>
          <w:sz w:val="22"/>
        </w:rPr>
        <w:tab/>
        <w:t>(2)</w:t>
      </w:r>
      <w:r>
        <w:rPr>
          <w:rFonts w:ascii="Times New Roman" w:hAnsi="Times New Roman"/>
          <w:sz w:val="22"/>
        </w:rPr>
        <w:tab/>
        <w:t>The AICPA has authority to establish auditing standard for nonpublic companies.  The Financial Accounting Standards board has authority for accounting standards of both public and nonpublic companies.  The Public Company Accounting Oversight Board has authority to establish standards for audits and reviews of public companies, and quality controls for firms that audit public companies.</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(c)</w:t>
      </w:r>
      <w:r>
        <w:rPr>
          <w:rFonts w:ascii="Times New Roman" w:hAnsi="Times New Roman"/>
          <w:sz w:val="22"/>
        </w:rPr>
        <w:tab/>
        <w:t>(2)</w:t>
      </w:r>
      <w:r>
        <w:rPr>
          <w:rFonts w:ascii="Times New Roman" w:hAnsi="Times New Roman"/>
          <w:sz w:val="22"/>
        </w:rPr>
        <w:tab/>
      </w:r>
      <w:r w:rsidRPr="00A43717">
        <w:rPr>
          <w:rFonts w:ascii="Times New Roman" w:hAnsi="Times New Roman"/>
          <w:i/>
          <w:sz w:val="22"/>
        </w:rPr>
        <w:t>FASB Concepts Statements</w:t>
      </w:r>
      <w:r>
        <w:rPr>
          <w:rFonts w:ascii="Times New Roman" w:hAnsi="Times New Roman"/>
          <w:sz w:val="22"/>
        </w:rPr>
        <w:t xml:space="preserve"> are considered nonauthoritative guidance.  The other replies all represent authoritative guidance. </w:t>
      </w:r>
    </w:p>
    <w:p w:rsidR="003D4C71" w:rsidRDefault="003D4C71" w:rsidP="00AD6C54">
      <w:pPr>
        <w:widowControl/>
        <w:ind w:left="1440" w:hanging="720"/>
        <w:rPr>
          <w:rFonts w:ascii="Times New Roman" w:hAnsi="Times New Roman"/>
          <w:sz w:val="22"/>
        </w:rPr>
      </w:pPr>
    </w:p>
    <w:p w:rsidR="003D4C71" w:rsidRDefault="00036FAB" w:rsidP="00AD6C54">
      <w:pPr>
        <w:widowControl/>
        <w:ind w:left="1440" w:hanging="720"/>
        <w:rPr>
          <w:rFonts w:ascii="Times New Roman" w:hAnsi="Times New Roman"/>
          <w:sz w:val="22"/>
        </w:rPr>
      </w:pPr>
      <w:r>
        <w:rPr>
          <w:rFonts w:ascii="Times New Roman" w:hAnsi="Times New Roman"/>
          <w:sz w:val="22"/>
        </w:rPr>
        <w:t>(d)</w:t>
      </w:r>
      <w:r>
        <w:rPr>
          <w:rFonts w:ascii="Times New Roman" w:hAnsi="Times New Roman"/>
          <w:sz w:val="22"/>
        </w:rPr>
        <w:tab/>
        <w:t>(2</w:t>
      </w:r>
      <w:r w:rsidR="003D4C71">
        <w:rPr>
          <w:rFonts w:ascii="Times New Roman" w:hAnsi="Times New Roman"/>
          <w:sz w:val="22"/>
        </w:rPr>
        <w:t>)</w:t>
      </w:r>
      <w:r w:rsidR="003D4C71">
        <w:rPr>
          <w:rFonts w:ascii="Times New Roman" w:hAnsi="Times New Roman"/>
          <w:sz w:val="22"/>
        </w:rPr>
        <w:tab/>
        <w:t>Financial statement audits provide reasonable, not absolute assurance.</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 xml:space="preserve"> </w:t>
      </w:r>
      <w:r w:rsidRPr="00655100">
        <w:rPr>
          <w:rFonts w:ascii="Times New Roman" w:hAnsi="Times New Roman"/>
          <w:sz w:val="22"/>
        </w:rPr>
        <w:t>(e)</w:t>
      </w:r>
      <w:r>
        <w:rPr>
          <w:rFonts w:ascii="Times New Roman" w:hAnsi="Times New Roman"/>
          <w:sz w:val="22"/>
        </w:rPr>
        <w:tab/>
        <w:t>(2)</w:t>
      </w:r>
      <w:r>
        <w:rPr>
          <w:rFonts w:ascii="Times New Roman" w:hAnsi="Times New Roman"/>
          <w:sz w:val="22"/>
        </w:rPr>
        <w:tab/>
        <w:t>The quality control standards were established to provide reasonable assurance that professional services confirm with professional standards.  Answer (1) is incomplete since many standards in addition to reporting standards must be followed.  Answer (3) is incorrect because a peer review monitors whether a firm's quality control standards are being met.  Answer (4) is incorrect because continuing professional education is only one part of a system of quality control.</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 xml:space="preserve"> (f)</w:t>
      </w:r>
      <w:r>
        <w:rPr>
          <w:rFonts w:ascii="Times New Roman" w:hAnsi="Times New Roman"/>
          <w:sz w:val="22"/>
        </w:rPr>
        <w:tab/>
        <w:t>(3)</w:t>
      </w:r>
      <w:r>
        <w:rPr>
          <w:rFonts w:ascii="Times New Roman" w:hAnsi="Times New Roman"/>
          <w:sz w:val="22"/>
        </w:rPr>
        <w:tab/>
        <w:t>The internal control of the client is not explicitly mentioned in the unqualified standard report although it is implicit in the reference to generally accepted auditing standards.  Answers (1), (2), and (4) are all explicitly set forth in the unqualified standard form of audit report.</w:t>
      </w:r>
    </w:p>
    <w:p w:rsidR="003D4C71" w:rsidRDefault="003D4C71" w:rsidP="00AD6C54">
      <w:pPr>
        <w:widowControl/>
        <w:ind w:left="1440" w:hanging="720"/>
        <w:rPr>
          <w:rFonts w:ascii="Times New Roman" w:hAnsi="Times New Roman"/>
          <w:sz w:val="22"/>
        </w:rPr>
      </w:pPr>
    </w:p>
    <w:p w:rsidR="003D4C71" w:rsidRPr="001114C3" w:rsidRDefault="003D4C71" w:rsidP="00AD6C54">
      <w:pPr>
        <w:widowControl/>
        <w:ind w:left="1440" w:hanging="720"/>
        <w:rPr>
          <w:rFonts w:ascii="Times New Roman" w:hAnsi="Times New Roman"/>
          <w:sz w:val="22"/>
        </w:rPr>
      </w:pPr>
      <w:r>
        <w:rPr>
          <w:rFonts w:ascii="Times New Roman" w:hAnsi="Times New Roman"/>
          <w:sz w:val="22"/>
        </w:rPr>
        <w:t>(g)</w:t>
      </w:r>
      <w:r>
        <w:rPr>
          <w:rFonts w:ascii="Times New Roman" w:hAnsi="Times New Roman"/>
          <w:sz w:val="22"/>
        </w:rPr>
        <w:tab/>
        <w:t>(</w:t>
      </w:r>
      <w:r w:rsidR="0019318D">
        <w:rPr>
          <w:rFonts w:ascii="Times New Roman" w:hAnsi="Times New Roman"/>
          <w:sz w:val="22"/>
        </w:rPr>
        <w:t>3</w:t>
      </w:r>
      <w:r>
        <w:rPr>
          <w:rFonts w:ascii="Times New Roman" w:hAnsi="Times New Roman"/>
          <w:sz w:val="22"/>
        </w:rPr>
        <w:t>)</w:t>
      </w:r>
      <w:r>
        <w:rPr>
          <w:rFonts w:ascii="Times New Roman" w:hAnsi="Times New Roman"/>
          <w:sz w:val="22"/>
        </w:rPr>
        <w:tab/>
      </w:r>
      <w:r w:rsidR="0019318D">
        <w:rPr>
          <w:rFonts w:ascii="Times New Roman" w:hAnsi="Times New Roman"/>
          <w:sz w:val="22"/>
        </w:rPr>
        <w:t xml:space="preserve">Inspection </w:t>
      </w:r>
      <w:r w:rsidR="001B16AA">
        <w:rPr>
          <w:rFonts w:ascii="Times New Roman" w:hAnsi="Times New Roman"/>
          <w:sz w:val="22"/>
        </w:rPr>
        <w:t>is not a form of attestation</w:t>
      </w:r>
      <w:r w:rsidR="0019318D">
        <w:rPr>
          <w:rFonts w:ascii="Times New Roman" w:hAnsi="Times New Roman"/>
          <w:sz w:val="22"/>
        </w:rPr>
        <w:t>, but a function performed in PCAOB review of CPA firms; the term is also used as an audit/attest procedure (e.g., inspection of  assets)</w:t>
      </w:r>
      <w:r>
        <w:rPr>
          <w:rFonts w:ascii="Times New Roman" w:hAnsi="Times New Roman"/>
          <w:sz w:val="22"/>
        </w:rPr>
        <w:t>.</w:t>
      </w:r>
      <w:r w:rsidR="001B16AA">
        <w:rPr>
          <w:rFonts w:ascii="Times New Roman" w:hAnsi="Times New Roman"/>
          <w:sz w:val="22"/>
        </w:rPr>
        <w:t xml:space="preserve">  Agreed-upon procedures engagements, examinations, and reviews are all attestation services. </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(h)</w:t>
      </w:r>
      <w:r>
        <w:rPr>
          <w:rFonts w:ascii="Times New Roman" w:hAnsi="Times New Roman"/>
          <w:sz w:val="22"/>
        </w:rPr>
        <w:tab/>
        <w:t>(3)</w:t>
      </w:r>
      <w:r>
        <w:rPr>
          <w:rFonts w:ascii="Times New Roman" w:hAnsi="Times New Roman"/>
          <w:sz w:val="22"/>
        </w:rPr>
        <w:tab/>
        <w:t>Such a quality control policy is designed to assure that personnel assigned to an engagement are independent to perform the work, an ethical requirement.</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(i)</w:t>
      </w:r>
      <w:r>
        <w:rPr>
          <w:rFonts w:ascii="Times New Roman" w:hAnsi="Times New Roman"/>
          <w:sz w:val="22"/>
        </w:rPr>
        <w:tab/>
        <w:t>(1)</w:t>
      </w:r>
      <w:r>
        <w:rPr>
          <w:rFonts w:ascii="Times New Roman" w:hAnsi="Times New Roman"/>
          <w:sz w:val="22"/>
        </w:rPr>
        <w:tab/>
        <w:t>An audit provides reasonable assurance of detecting misstatements due to fraud, regardless of whether due to fraudulent financial reporting or misappropriation of assets.</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(j)</w:t>
      </w:r>
      <w:r>
        <w:rPr>
          <w:rFonts w:ascii="Times New Roman" w:hAnsi="Times New Roman"/>
          <w:sz w:val="22"/>
        </w:rPr>
        <w:tab/>
        <w:t>(1)</w:t>
      </w:r>
      <w:r>
        <w:rPr>
          <w:rFonts w:ascii="Times New Roman" w:hAnsi="Times New Roman"/>
          <w:sz w:val="22"/>
        </w:rPr>
        <w:tab/>
        <w:t>An integrated audit report on the financial statements of a public company states that the audit was performed in accordance with Public Company Accounting Oversight Board standards, not AICPA standards.</w:t>
      </w:r>
    </w:p>
    <w:p w:rsidR="003D4C71" w:rsidRDefault="003D4C71" w:rsidP="00AD6C54">
      <w:pPr>
        <w:widowControl/>
        <w:ind w:left="1440" w:hanging="720"/>
        <w:rPr>
          <w:rFonts w:ascii="Times New Roman" w:hAnsi="Times New Roman"/>
          <w:sz w:val="22"/>
        </w:rPr>
      </w:pPr>
    </w:p>
    <w:p w:rsidR="003D4C71" w:rsidRDefault="003D4C71" w:rsidP="00AD6C54">
      <w:pPr>
        <w:widowControl/>
        <w:ind w:left="1440" w:hanging="720"/>
        <w:rPr>
          <w:rFonts w:ascii="Times New Roman" w:hAnsi="Times New Roman"/>
          <w:sz w:val="22"/>
        </w:rPr>
      </w:pPr>
      <w:r>
        <w:rPr>
          <w:rFonts w:ascii="Times New Roman" w:hAnsi="Times New Roman"/>
          <w:sz w:val="22"/>
        </w:rPr>
        <w:t>(k)</w:t>
      </w:r>
      <w:r>
        <w:rPr>
          <w:rFonts w:ascii="Times New Roman" w:hAnsi="Times New Roman"/>
          <w:sz w:val="22"/>
        </w:rPr>
        <w:tab/>
        <w:t>(3)</w:t>
      </w:r>
      <w:r>
        <w:rPr>
          <w:rFonts w:ascii="Times New Roman" w:hAnsi="Times New Roman"/>
          <w:sz w:val="22"/>
        </w:rPr>
        <w:tab/>
        <w:t xml:space="preserve">The  PCAOB staff performs inspections of audit firms that are registered with the PCAOB.  In order to perform an audit of a public client an audit firm must be registered.  </w:t>
      </w:r>
    </w:p>
    <w:p w:rsidR="003D4C71" w:rsidRDefault="003D4C71" w:rsidP="00AD6C54">
      <w:pPr>
        <w:widowControl/>
        <w:ind w:left="1440" w:hanging="720"/>
        <w:rPr>
          <w:rFonts w:ascii="Times New Roman" w:hAnsi="Times New Roman"/>
          <w:sz w:val="22"/>
        </w:rPr>
      </w:pPr>
    </w:p>
    <w:p w:rsidR="003D4C71" w:rsidRDefault="003D4C71" w:rsidP="00F932AF">
      <w:pPr>
        <w:widowControl/>
        <w:ind w:left="1440" w:hanging="720"/>
        <w:rPr>
          <w:rFonts w:ascii="Times New Roman" w:hAnsi="Times New Roman"/>
          <w:sz w:val="22"/>
        </w:rPr>
      </w:pPr>
      <w:r>
        <w:rPr>
          <w:rFonts w:ascii="Times New Roman" w:hAnsi="Times New Roman"/>
          <w:sz w:val="22"/>
        </w:rPr>
        <w:t>(l)</w:t>
      </w:r>
      <w:r w:rsidR="00F932AF">
        <w:rPr>
          <w:rFonts w:ascii="Times New Roman" w:hAnsi="Times New Roman"/>
          <w:sz w:val="22"/>
        </w:rPr>
        <w:tab/>
      </w:r>
      <w:r>
        <w:rPr>
          <w:rFonts w:ascii="Times New Roman" w:hAnsi="Times New Roman"/>
          <w:sz w:val="22"/>
        </w:rPr>
        <w:t>(</w:t>
      </w:r>
      <w:r w:rsidR="001B16AA">
        <w:rPr>
          <w:rFonts w:ascii="Times New Roman" w:hAnsi="Times New Roman"/>
          <w:sz w:val="22"/>
        </w:rPr>
        <w:t>1</w:t>
      </w:r>
      <w:r>
        <w:rPr>
          <w:rFonts w:ascii="Times New Roman" w:hAnsi="Times New Roman"/>
          <w:sz w:val="22"/>
        </w:rPr>
        <w:t>)</w:t>
      </w:r>
      <w:r>
        <w:rPr>
          <w:rFonts w:ascii="Times New Roman" w:hAnsi="Times New Roman"/>
          <w:sz w:val="22"/>
        </w:rPr>
        <w:tab/>
      </w:r>
      <w:r w:rsidR="001B16AA">
        <w:rPr>
          <w:rFonts w:ascii="Times New Roman" w:hAnsi="Times New Roman"/>
          <w:sz w:val="22"/>
        </w:rPr>
        <w:t>An adve</w:t>
      </w:r>
      <w:r w:rsidR="0019318D">
        <w:rPr>
          <w:rFonts w:ascii="Times New Roman" w:hAnsi="Times New Roman"/>
          <w:sz w:val="22"/>
        </w:rPr>
        <w:t>r</w:t>
      </w:r>
      <w:r w:rsidR="001B16AA">
        <w:rPr>
          <w:rFonts w:ascii="Times New Roman" w:hAnsi="Times New Roman"/>
          <w:sz w:val="22"/>
        </w:rPr>
        <w:t>se opin</w:t>
      </w:r>
      <w:r w:rsidR="00795A30">
        <w:rPr>
          <w:rFonts w:ascii="Times New Roman" w:hAnsi="Times New Roman"/>
          <w:sz w:val="22"/>
        </w:rPr>
        <w:t>i</w:t>
      </w:r>
      <w:r w:rsidR="001B16AA">
        <w:rPr>
          <w:rFonts w:ascii="Times New Roman" w:hAnsi="Times New Roman"/>
          <w:sz w:val="22"/>
        </w:rPr>
        <w:t>on is appropriate when financial st</w:t>
      </w:r>
      <w:r w:rsidR="00795A30">
        <w:rPr>
          <w:rFonts w:ascii="Times New Roman" w:hAnsi="Times New Roman"/>
          <w:sz w:val="22"/>
        </w:rPr>
        <w:t>a</w:t>
      </w:r>
      <w:r w:rsidR="001B16AA">
        <w:rPr>
          <w:rFonts w:ascii="Times New Roman" w:hAnsi="Times New Roman"/>
          <w:sz w:val="22"/>
        </w:rPr>
        <w:t>te</w:t>
      </w:r>
      <w:r w:rsidR="00795A30">
        <w:rPr>
          <w:rFonts w:ascii="Times New Roman" w:hAnsi="Times New Roman"/>
          <w:sz w:val="22"/>
        </w:rPr>
        <w:t>m</w:t>
      </w:r>
      <w:r w:rsidR="001B16AA">
        <w:rPr>
          <w:rFonts w:ascii="Times New Roman" w:hAnsi="Times New Roman"/>
          <w:sz w:val="22"/>
        </w:rPr>
        <w:t>ents ar</w:t>
      </w:r>
      <w:r w:rsidR="00795A30">
        <w:rPr>
          <w:rFonts w:ascii="Times New Roman" w:hAnsi="Times New Roman"/>
          <w:sz w:val="22"/>
        </w:rPr>
        <w:t>e</w:t>
      </w:r>
      <w:r w:rsidR="001B16AA">
        <w:rPr>
          <w:rFonts w:ascii="Times New Roman" w:hAnsi="Times New Roman"/>
          <w:sz w:val="22"/>
        </w:rPr>
        <w:t xml:space="preserve"> pervasively misstated.</w:t>
      </w:r>
    </w:p>
    <w:p w:rsidR="003D4C71" w:rsidRDefault="003D4C71" w:rsidP="003D4C71">
      <w:pPr>
        <w:widowControl/>
        <w:rPr>
          <w:rFonts w:ascii="Times New Roman" w:eastAsia="Calibri" w:hAnsi="Times New Roman"/>
          <w:snapToGrid/>
          <w:sz w:val="22"/>
          <w:szCs w:val="22"/>
        </w:rPr>
      </w:pPr>
    </w:p>
    <w:p w:rsidR="003D4C71" w:rsidRPr="0019318D" w:rsidRDefault="003D4C71" w:rsidP="00AD6C54">
      <w:pPr>
        <w:keepNext/>
        <w:keepLines/>
        <w:widowControl/>
        <w:rPr>
          <w:rFonts w:ascii="Times New Roman" w:eastAsia="Calibri" w:hAnsi="Times New Roman"/>
          <w:snapToGrid/>
          <w:sz w:val="22"/>
          <w:szCs w:val="22"/>
        </w:rPr>
      </w:pPr>
      <w:r w:rsidRPr="0019318D">
        <w:rPr>
          <w:rFonts w:ascii="Times New Roman" w:eastAsia="Calibri" w:hAnsi="Times New Roman"/>
          <w:snapToGrid/>
          <w:sz w:val="22"/>
          <w:szCs w:val="22"/>
        </w:rPr>
        <w:lastRenderedPageBreak/>
        <w:t>2-31</w:t>
      </w:r>
      <w:r w:rsidRPr="0019318D">
        <w:rPr>
          <w:rFonts w:ascii="Times New Roman" w:eastAsia="Calibri" w:hAnsi="Times New Roman"/>
          <w:snapToGrid/>
          <w:sz w:val="22"/>
          <w:szCs w:val="22"/>
        </w:rPr>
        <w:tab/>
      </w:r>
      <w:r w:rsidR="00E9581B" w:rsidRPr="0019318D">
        <w:rPr>
          <w:rFonts w:ascii="Times New Roman" w:eastAsia="Calibri" w:hAnsi="Times New Roman"/>
          <w:snapToGrid/>
          <w:sz w:val="22"/>
          <w:szCs w:val="22"/>
        </w:rPr>
        <w:t>Adapted AICPA Task-Based Simulation</w:t>
      </w:r>
    </w:p>
    <w:p w:rsidR="003D4C71" w:rsidRPr="0019318D" w:rsidRDefault="003D4C71" w:rsidP="00AD6C54">
      <w:pPr>
        <w:keepNext/>
        <w:keepLines/>
        <w:widowControl/>
        <w:rPr>
          <w:rFonts w:ascii="Times New Roman" w:eastAsia="Calibri" w:hAnsi="Times New Roman"/>
          <w:snapToGrid/>
          <w:sz w:val="22"/>
          <w:szCs w:val="22"/>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170"/>
        <w:gridCol w:w="3168"/>
      </w:tblGrid>
      <w:tr w:rsidR="003D4C71" w:rsidRPr="00E77B99">
        <w:tc>
          <w:tcPr>
            <w:tcW w:w="4140" w:type="dxa"/>
          </w:tcPr>
          <w:p w:rsidR="003D4C71" w:rsidRPr="00632B5A" w:rsidRDefault="003D4C71" w:rsidP="00AD6C54">
            <w:pPr>
              <w:keepNext/>
              <w:keepLines/>
              <w:widowControl/>
              <w:jc w:val="center"/>
              <w:rPr>
                <w:rFonts w:ascii="Times New Roman" w:eastAsia="Calibri" w:hAnsi="Times New Roman"/>
                <w:b/>
                <w:snapToGrid/>
                <w:sz w:val="20"/>
              </w:rPr>
            </w:pPr>
            <w:r w:rsidRPr="00632B5A">
              <w:rPr>
                <w:rFonts w:ascii="Times New Roman" w:eastAsia="Calibri" w:hAnsi="Times New Roman"/>
                <w:b/>
                <w:snapToGrid/>
                <w:sz w:val="20"/>
              </w:rPr>
              <w:t>Reviewer’s Comments</w:t>
            </w:r>
          </w:p>
        </w:tc>
        <w:tc>
          <w:tcPr>
            <w:tcW w:w="1170" w:type="dxa"/>
          </w:tcPr>
          <w:p w:rsidR="003D4C71" w:rsidRPr="00F4546C" w:rsidRDefault="003D4C71" w:rsidP="00AD6C54">
            <w:pPr>
              <w:keepNext/>
              <w:keepLines/>
              <w:widowControl/>
              <w:jc w:val="center"/>
              <w:rPr>
                <w:rFonts w:ascii="Times New Roman" w:eastAsia="Calibri" w:hAnsi="Times New Roman"/>
                <w:b/>
                <w:snapToGrid/>
                <w:sz w:val="20"/>
              </w:rPr>
            </w:pPr>
            <w:r w:rsidRPr="00F4546C">
              <w:rPr>
                <w:rFonts w:ascii="Times New Roman" w:eastAsia="Calibri" w:hAnsi="Times New Roman"/>
                <w:b/>
                <w:snapToGrid/>
                <w:sz w:val="20"/>
              </w:rPr>
              <w:t>Comment is correct (yes or no)</w:t>
            </w:r>
          </w:p>
        </w:tc>
        <w:tc>
          <w:tcPr>
            <w:tcW w:w="3168" w:type="dxa"/>
          </w:tcPr>
          <w:p w:rsidR="003D4C71" w:rsidRPr="00A14A02" w:rsidRDefault="003D4C71" w:rsidP="00AD6C54">
            <w:pPr>
              <w:keepNext/>
              <w:keepLines/>
              <w:widowControl/>
              <w:jc w:val="center"/>
              <w:rPr>
                <w:rFonts w:ascii="Times New Roman" w:eastAsia="Calibri" w:hAnsi="Times New Roman"/>
                <w:b/>
                <w:snapToGrid/>
                <w:sz w:val="20"/>
              </w:rPr>
            </w:pPr>
            <w:r w:rsidRPr="00A14A02">
              <w:rPr>
                <w:rFonts w:ascii="Times New Roman" w:eastAsia="Calibri" w:hAnsi="Times New Roman"/>
                <w:b/>
                <w:snapToGrid/>
                <w:sz w:val="20"/>
              </w:rPr>
              <w:t>Explanation of incorrect comments (not required)</w:t>
            </w:r>
          </w:p>
        </w:tc>
      </w:tr>
      <w:tr w:rsidR="003D4C71" w:rsidRPr="00E77B99">
        <w:tc>
          <w:tcPr>
            <w:tcW w:w="4140" w:type="dxa"/>
          </w:tcPr>
          <w:p w:rsidR="003D4C71" w:rsidRPr="00BA2542" w:rsidRDefault="00BA2542" w:rsidP="00AD6C54">
            <w:pPr>
              <w:keepNext/>
              <w:keepLines/>
              <w:widowControl/>
              <w:numPr>
                <w:ilvl w:val="0"/>
                <w:numId w:val="23"/>
              </w:numPr>
              <w:ind w:left="360"/>
              <w:rPr>
                <w:rFonts w:ascii="Times New Roman" w:eastAsia="Calibri" w:hAnsi="Times New Roman"/>
                <w:snapToGrid/>
                <w:sz w:val="20"/>
              </w:rPr>
            </w:pPr>
            <w:r>
              <w:rPr>
                <w:rFonts w:ascii="Times New Roman" w:eastAsia="Calibri" w:hAnsi="Times New Roman"/>
                <w:snapToGrid/>
                <w:sz w:val="20"/>
              </w:rPr>
              <w:t>The report should not include the word “Registered.”</w:t>
            </w:r>
          </w:p>
        </w:tc>
        <w:tc>
          <w:tcPr>
            <w:tcW w:w="1170" w:type="dxa"/>
          </w:tcPr>
          <w:p w:rsidR="003D4C71" w:rsidRPr="00BA2542" w:rsidRDefault="00BA2542" w:rsidP="00AD6C54">
            <w:pPr>
              <w:keepNext/>
              <w:keepLines/>
              <w:widowControl/>
              <w:jc w:val="center"/>
              <w:rPr>
                <w:rFonts w:ascii="Times New Roman" w:eastAsia="Calibri" w:hAnsi="Times New Roman"/>
                <w:snapToGrid/>
                <w:sz w:val="20"/>
              </w:rPr>
            </w:pPr>
            <w:r>
              <w:rPr>
                <w:rFonts w:ascii="Times New Roman" w:eastAsia="Calibri" w:hAnsi="Times New Roman"/>
                <w:snapToGrid/>
                <w:sz w:val="20"/>
              </w:rPr>
              <w:t>No</w:t>
            </w:r>
          </w:p>
        </w:tc>
        <w:tc>
          <w:tcPr>
            <w:tcW w:w="3168" w:type="dxa"/>
          </w:tcPr>
          <w:p w:rsidR="003D4C71" w:rsidRPr="00BA2542" w:rsidRDefault="00180C92" w:rsidP="00AD6C54">
            <w:pPr>
              <w:keepNext/>
              <w:keepLines/>
              <w:widowControl/>
              <w:rPr>
                <w:rFonts w:ascii="Times New Roman" w:eastAsia="Calibri" w:hAnsi="Times New Roman"/>
                <w:snapToGrid/>
                <w:sz w:val="20"/>
              </w:rPr>
            </w:pPr>
            <w:r>
              <w:rPr>
                <w:rFonts w:ascii="Times New Roman" w:eastAsia="Calibri" w:hAnsi="Times New Roman"/>
                <w:snapToGrid/>
                <w:sz w:val="20"/>
              </w:rPr>
              <w:t>The term is “registered” should be  included.</w:t>
            </w:r>
          </w:p>
        </w:tc>
      </w:tr>
      <w:tr w:rsidR="003D4C71" w:rsidRPr="00E77B99">
        <w:tc>
          <w:tcPr>
            <w:tcW w:w="4140" w:type="dxa"/>
          </w:tcPr>
          <w:p w:rsidR="003D4C71" w:rsidRPr="00BA2542" w:rsidRDefault="003D4C71" w:rsidP="00AD6C54">
            <w:pPr>
              <w:keepNext/>
              <w:keepLines/>
              <w:widowControl/>
              <w:numPr>
                <w:ilvl w:val="0"/>
                <w:numId w:val="23"/>
              </w:numPr>
              <w:ind w:left="360"/>
              <w:rPr>
                <w:rFonts w:ascii="Times New Roman" w:eastAsia="Calibri" w:hAnsi="Times New Roman"/>
                <w:snapToGrid/>
                <w:sz w:val="20"/>
              </w:rPr>
            </w:pPr>
            <w:r w:rsidRPr="00E77B99">
              <w:rPr>
                <w:rFonts w:ascii="Times New Roman" w:eastAsia="Calibri" w:hAnsi="Times New Roman"/>
                <w:snapToGrid/>
                <w:sz w:val="20"/>
              </w:rPr>
              <w:t xml:space="preserve">The report </w:t>
            </w:r>
            <w:r w:rsidR="00883E74">
              <w:rPr>
                <w:rFonts w:ascii="Times New Roman" w:eastAsia="Calibri" w:hAnsi="Times New Roman"/>
                <w:snapToGrid/>
                <w:sz w:val="20"/>
              </w:rPr>
              <w:t>must</w:t>
            </w:r>
            <w:r w:rsidR="00883E74" w:rsidRPr="00895CF6">
              <w:rPr>
                <w:rFonts w:ascii="Times New Roman" w:eastAsia="Calibri" w:hAnsi="Times New Roman"/>
                <w:snapToGrid/>
                <w:sz w:val="20"/>
              </w:rPr>
              <w:t xml:space="preserve"> </w:t>
            </w:r>
            <w:r w:rsidR="00BA2542">
              <w:rPr>
                <w:rFonts w:ascii="Times New Roman" w:eastAsia="Calibri" w:hAnsi="Times New Roman"/>
                <w:snapToGrid/>
                <w:sz w:val="20"/>
              </w:rPr>
              <w:t>also be addressed to management.</w:t>
            </w:r>
          </w:p>
        </w:tc>
        <w:tc>
          <w:tcPr>
            <w:tcW w:w="1170" w:type="dxa"/>
          </w:tcPr>
          <w:p w:rsidR="003D4C71" w:rsidRPr="00BA2542" w:rsidRDefault="00BA2542" w:rsidP="00AD6C54">
            <w:pPr>
              <w:keepNext/>
              <w:keepLines/>
              <w:widowControl/>
              <w:jc w:val="center"/>
              <w:rPr>
                <w:rFonts w:ascii="Times New Roman" w:eastAsia="Calibri" w:hAnsi="Times New Roman"/>
                <w:snapToGrid/>
                <w:sz w:val="20"/>
              </w:rPr>
            </w:pPr>
            <w:r>
              <w:rPr>
                <w:rFonts w:ascii="Times New Roman" w:eastAsia="Calibri" w:hAnsi="Times New Roman"/>
                <w:snapToGrid/>
                <w:sz w:val="20"/>
              </w:rPr>
              <w:t>No</w:t>
            </w:r>
          </w:p>
        </w:tc>
        <w:tc>
          <w:tcPr>
            <w:tcW w:w="3168" w:type="dxa"/>
          </w:tcPr>
          <w:p w:rsidR="003D4C71" w:rsidRPr="00BA2542" w:rsidRDefault="00BA2542" w:rsidP="00AD6C54">
            <w:pPr>
              <w:keepNext/>
              <w:keepLines/>
              <w:widowControl/>
              <w:rPr>
                <w:rFonts w:ascii="Times New Roman" w:eastAsia="Calibri" w:hAnsi="Times New Roman"/>
                <w:snapToGrid/>
                <w:sz w:val="20"/>
              </w:rPr>
            </w:pPr>
            <w:r>
              <w:rPr>
                <w:rFonts w:ascii="Times New Roman" w:eastAsia="Calibri" w:hAnsi="Times New Roman"/>
                <w:snapToGrid/>
                <w:sz w:val="20"/>
              </w:rPr>
              <w:t xml:space="preserve">The report must be addressed to the shareholders and the board of directors.  Although others may be added, </w:t>
            </w:r>
            <w:r w:rsidR="00180C92">
              <w:rPr>
                <w:rFonts w:ascii="Times New Roman" w:eastAsia="Calibri" w:hAnsi="Times New Roman"/>
                <w:snapToGrid/>
                <w:sz w:val="20"/>
              </w:rPr>
              <w:t xml:space="preserve">it is not required.  Also, </w:t>
            </w:r>
            <w:r>
              <w:rPr>
                <w:rFonts w:ascii="Times New Roman" w:eastAsia="Calibri" w:hAnsi="Times New Roman"/>
                <w:snapToGrid/>
                <w:sz w:val="20"/>
              </w:rPr>
              <w:t>management is not ordinarily added.</w:t>
            </w:r>
          </w:p>
        </w:tc>
      </w:tr>
      <w:tr w:rsidR="003D4C71" w:rsidRPr="00E77B99">
        <w:tc>
          <w:tcPr>
            <w:tcW w:w="4140" w:type="dxa"/>
          </w:tcPr>
          <w:p w:rsidR="003D4C71" w:rsidRPr="00BA2542" w:rsidRDefault="003D4C71" w:rsidP="00AD6C54">
            <w:pPr>
              <w:keepNext/>
              <w:keepLines/>
              <w:widowControl/>
              <w:numPr>
                <w:ilvl w:val="0"/>
                <w:numId w:val="23"/>
              </w:numPr>
              <w:ind w:left="360"/>
              <w:rPr>
                <w:rFonts w:ascii="Times New Roman" w:eastAsia="Calibri" w:hAnsi="Times New Roman"/>
                <w:snapToGrid/>
                <w:sz w:val="20"/>
              </w:rPr>
            </w:pPr>
            <w:r w:rsidRPr="00E77B99">
              <w:rPr>
                <w:rFonts w:ascii="Times New Roman" w:eastAsia="Calibri" w:hAnsi="Times New Roman"/>
                <w:snapToGrid/>
                <w:sz w:val="20"/>
              </w:rPr>
              <w:t xml:space="preserve">The report should </w:t>
            </w:r>
            <w:r w:rsidR="00BA2542">
              <w:rPr>
                <w:rFonts w:ascii="Times New Roman" w:eastAsia="Calibri" w:hAnsi="Times New Roman"/>
                <w:snapToGrid/>
                <w:sz w:val="20"/>
              </w:rPr>
              <w:t>say in “all material respects.”</w:t>
            </w:r>
          </w:p>
        </w:tc>
        <w:tc>
          <w:tcPr>
            <w:tcW w:w="1170" w:type="dxa"/>
          </w:tcPr>
          <w:p w:rsidR="003D4C71" w:rsidRPr="00BA2542" w:rsidRDefault="00BA2542" w:rsidP="00AD6C54">
            <w:pPr>
              <w:keepNext/>
              <w:keepLines/>
              <w:widowControl/>
              <w:jc w:val="center"/>
              <w:rPr>
                <w:rFonts w:ascii="Times New Roman" w:eastAsia="Calibri" w:hAnsi="Times New Roman"/>
                <w:snapToGrid/>
                <w:sz w:val="20"/>
              </w:rPr>
            </w:pPr>
            <w:r>
              <w:rPr>
                <w:rFonts w:ascii="Times New Roman" w:eastAsia="Calibri" w:hAnsi="Times New Roman"/>
                <w:snapToGrid/>
                <w:sz w:val="20"/>
              </w:rPr>
              <w:t>Yes</w:t>
            </w:r>
          </w:p>
        </w:tc>
        <w:tc>
          <w:tcPr>
            <w:tcW w:w="3168" w:type="dxa"/>
          </w:tcPr>
          <w:p w:rsidR="003D4C71" w:rsidRPr="00BA2542" w:rsidRDefault="003D4C71" w:rsidP="00AD6C54">
            <w:pPr>
              <w:keepNext/>
              <w:keepLines/>
              <w:widowControl/>
              <w:rPr>
                <w:rFonts w:ascii="Times New Roman" w:eastAsia="Calibri" w:hAnsi="Times New Roman"/>
                <w:snapToGrid/>
                <w:sz w:val="20"/>
              </w:rPr>
            </w:pPr>
          </w:p>
        </w:tc>
      </w:tr>
      <w:tr w:rsidR="003D4C71" w:rsidRPr="00E77B99">
        <w:tc>
          <w:tcPr>
            <w:tcW w:w="4140" w:type="dxa"/>
          </w:tcPr>
          <w:p w:rsidR="003D4C71" w:rsidRPr="00BA2542" w:rsidRDefault="003D4C71" w:rsidP="00AD6C54">
            <w:pPr>
              <w:keepNext/>
              <w:keepLines/>
              <w:widowControl/>
              <w:numPr>
                <w:ilvl w:val="0"/>
                <w:numId w:val="23"/>
              </w:numPr>
              <w:ind w:left="360"/>
              <w:rPr>
                <w:rFonts w:ascii="Times New Roman" w:eastAsia="Calibri" w:hAnsi="Times New Roman"/>
                <w:snapToGrid/>
                <w:sz w:val="20"/>
              </w:rPr>
            </w:pPr>
            <w:r w:rsidRPr="00E77B99">
              <w:rPr>
                <w:rFonts w:ascii="Times New Roman" w:eastAsia="Calibri" w:hAnsi="Times New Roman"/>
                <w:snapToGrid/>
                <w:sz w:val="20"/>
              </w:rPr>
              <w:t xml:space="preserve">The </w:t>
            </w:r>
            <w:r w:rsidR="00BA2542">
              <w:rPr>
                <w:rFonts w:ascii="Times New Roman" w:eastAsia="Calibri" w:hAnsi="Times New Roman"/>
                <w:snapToGrid/>
                <w:sz w:val="20"/>
              </w:rPr>
              <w:t xml:space="preserve">basis for opinion section should precede the </w:t>
            </w:r>
            <w:r w:rsidR="00883E74">
              <w:rPr>
                <w:rFonts w:ascii="Times New Roman" w:eastAsia="Calibri" w:hAnsi="Times New Roman"/>
                <w:snapToGrid/>
                <w:sz w:val="20"/>
              </w:rPr>
              <w:t>opinion</w:t>
            </w:r>
            <w:r w:rsidR="00BA2542">
              <w:rPr>
                <w:rFonts w:ascii="Times New Roman" w:eastAsia="Calibri" w:hAnsi="Times New Roman"/>
                <w:snapToGrid/>
                <w:sz w:val="20"/>
              </w:rPr>
              <w:t xml:space="preserve"> section.</w:t>
            </w:r>
          </w:p>
        </w:tc>
        <w:tc>
          <w:tcPr>
            <w:tcW w:w="1170" w:type="dxa"/>
          </w:tcPr>
          <w:p w:rsidR="003D4C71" w:rsidRPr="00BA2542" w:rsidRDefault="003D4C71" w:rsidP="00AD6C54">
            <w:pPr>
              <w:keepNext/>
              <w:keepLines/>
              <w:widowControl/>
              <w:jc w:val="center"/>
              <w:rPr>
                <w:rFonts w:ascii="Times New Roman" w:eastAsia="Calibri" w:hAnsi="Times New Roman"/>
                <w:snapToGrid/>
                <w:sz w:val="20"/>
              </w:rPr>
            </w:pPr>
            <w:r w:rsidRPr="00BA2542">
              <w:rPr>
                <w:rFonts w:ascii="Times New Roman" w:eastAsia="Calibri" w:hAnsi="Times New Roman"/>
                <w:snapToGrid/>
                <w:sz w:val="20"/>
              </w:rPr>
              <w:t>No</w:t>
            </w:r>
          </w:p>
        </w:tc>
        <w:tc>
          <w:tcPr>
            <w:tcW w:w="3168" w:type="dxa"/>
          </w:tcPr>
          <w:p w:rsidR="003D4C71" w:rsidRPr="00BA2542" w:rsidRDefault="00BA2542" w:rsidP="00AD6C54">
            <w:pPr>
              <w:keepNext/>
              <w:keepLines/>
              <w:widowControl/>
              <w:rPr>
                <w:rFonts w:ascii="Times New Roman" w:eastAsia="Calibri" w:hAnsi="Times New Roman"/>
                <w:snapToGrid/>
                <w:sz w:val="20"/>
              </w:rPr>
            </w:pPr>
            <w:r>
              <w:rPr>
                <w:rFonts w:ascii="Times New Roman" w:eastAsia="Calibri" w:hAnsi="Times New Roman"/>
                <w:snapToGrid/>
                <w:sz w:val="20"/>
              </w:rPr>
              <w:t>The report is correct in that the opinion section is first</w:t>
            </w:r>
            <w:r w:rsidR="003D4C71" w:rsidRPr="00BA2542">
              <w:rPr>
                <w:rFonts w:ascii="Times New Roman" w:eastAsia="Calibri" w:hAnsi="Times New Roman"/>
                <w:snapToGrid/>
                <w:sz w:val="20"/>
              </w:rPr>
              <w:t>.</w:t>
            </w:r>
          </w:p>
        </w:tc>
      </w:tr>
      <w:tr w:rsidR="003D4C71" w:rsidRPr="00E77B99">
        <w:tc>
          <w:tcPr>
            <w:tcW w:w="4140" w:type="dxa"/>
          </w:tcPr>
          <w:p w:rsidR="003D4C71" w:rsidRPr="00BA2542" w:rsidRDefault="00BA2542" w:rsidP="00AD6C54">
            <w:pPr>
              <w:keepNext/>
              <w:keepLines/>
              <w:widowControl/>
              <w:numPr>
                <w:ilvl w:val="0"/>
                <w:numId w:val="23"/>
              </w:numPr>
              <w:ind w:left="360"/>
              <w:rPr>
                <w:rFonts w:ascii="Times New Roman" w:eastAsia="Calibri" w:hAnsi="Times New Roman"/>
                <w:snapToGrid/>
                <w:sz w:val="20"/>
              </w:rPr>
            </w:pPr>
            <w:r>
              <w:rPr>
                <w:rFonts w:ascii="Times New Roman" w:eastAsia="Calibri" w:hAnsi="Times New Roman"/>
                <w:snapToGrid/>
                <w:sz w:val="20"/>
              </w:rPr>
              <w:t>“Reasonable assurance” should be</w:t>
            </w:r>
            <w:r w:rsidR="00180C92">
              <w:rPr>
                <w:rFonts w:ascii="Times New Roman" w:eastAsia="Calibri" w:hAnsi="Times New Roman"/>
                <w:snapToGrid/>
                <w:sz w:val="20"/>
              </w:rPr>
              <w:t xml:space="preserve"> replaced with</w:t>
            </w:r>
            <w:r>
              <w:rPr>
                <w:rFonts w:ascii="Times New Roman" w:eastAsia="Calibri" w:hAnsi="Times New Roman"/>
                <w:snapToGrid/>
                <w:sz w:val="20"/>
              </w:rPr>
              <w:t xml:space="preserve"> “an opinion.”</w:t>
            </w:r>
            <w:r w:rsidR="003D4C71" w:rsidRPr="00BA2542">
              <w:rPr>
                <w:rFonts w:ascii="Times New Roman" w:eastAsia="Calibri" w:hAnsi="Times New Roman"/>
                <w:snapToGrid/>
                <w:sz w:val="20"/>
              </w:rPr>
              <w:t xml:space="preserve"> </w:t>
            </w:r>
          </w:p>
        </w:tc>
        <w:tc>
          <w:tcPr>
            <w:tcW w:w="1170" w:type="dxa"/>
          </w:tcPr>
          <w:p w:rsidR="003D4C71" w:rsidRPr="00BA2542" w:rsidRDefault="003D4C71" w:rsidP="00AD6C54">
            <w:pPr>
              <w:keepNext/>
              <w:keepLines/>
              <w:widowControl/>
              <w:jc w:val="center"/>
              <w:rPr>
                <w:rFonts w:ascii="Times New Roman" w:eastAsia="Calibri" w:hAnsi="Times New Roman"/>
                <w:snapToGrid/>
                <w:sz w:val="20"/>
              </w:rPr>
            </w:pPr>
            <w:r w:rsidRPr="00BA2542">
              <w:rPr>
                <w:rFonts w:ascii="Times New Roman" w:eastAsia="Calibri" w:hAnsi="Times New Roman"/>
                <w:snapToGrid/>
                <w:sz w:val="20"/>
              </w:rPr>
              <w:t>Yes</w:t>
            </w:r>
          </w:p>
        </w:tc>
        <w:tc>
          <w:tcPr>
            <w:tcW w:w="3168" w:type="dxa"/>
          </w:tcPr>
          <w:p w:rsidR="003D4C71" w:rsidRPr="00FF17BE" w:rsidRDefault="00883E74" w:rsidP="00AD6C54">
            <w:pPr>
              <w:keepNext/>
              <w:keepLines/>
              <w:widowControl/>
              <w:rPr>
                <w:rFonts w:ascii="Times New Roman" w:eastAsia="Calibri" w:hAnsi="Times New Roman"/>
                <w:snapToGrid/>
                <w:sz w:val="20"/>
              </w:rPr>
            </w:pPr>
            <w:r>
              <w:rPr>
                <w:rFonts w:ascii="Times New Roman" w:eastAsia="Calibri" w:hAnsi="Times New Roman"/>
                <w:snapToGrid/>
                <w:sz w:val="20"/>
              </w:rPr>
              <w:t>Although audits obtain reasonable assurance, the term “an opinion” is in the audit report.</w:t>
            </w:r>
          </w:p>
        </w:tc>
      </w:tr>
      <w:tr w:rsidR="003D4C71" w:rsidRPr="00E77B99">
        <w:tc>
          <w:tcPr>
            <w:tcW w:w="4140" w:type="dxa"/>
          </w:tcPr>
          <w:p w:rsidR="003D4C71" w:rsidRPr="00BA2542" w:rsidRDefault="00BA2542" w:rsidP="00AD6C54">
            <w:pPr>
              <w:keepNext/>
              <w:keepLines/>
              <w:widowControl/>
              <w:numPr>
                <w:ilvl w:val="0"/>
                <w:numId w:val="23"/>
              </w:numPr>
              <w:ind w:left="360"/>
              <w:rPr>
                <w:rFonts w:ascii="Times New Roman" w:eastAsia="Calibri" w:hAnsi="Times New Roman"/>
                <w:snapToGrid/>
                <w:sz w:val="20"/>
              </w:rPr>
            </w:pPr>
            <w:r>
              <w:rPr>
                <w:rFonts w:ascii="Times New Roman" w:eastAsia="Calibri" w:hAnsi="Times New Roman"/>
                <w:snapToGrid/>
                <w:sz w:val="20"/>
              </w:rPr>
              <w:t xml:space="preserve">“Generally accepted auditing standards” should be replaced by “the standards </w:t>
            </w:r>
            <w:r w:rsidR="00883E74">
              <w:rPr>
                <w:rFonts w:ascii="Times New Roman" w:eastAsia="Calibri" w:hAnsi="Times New Roman"/>
                <w:snapToGrid/>
                <w:sz w:val="20"/>
              </w:rPr>
              <w:t>of</w:t>
            </w:r>
            <w:r>
              <w:rPr>
                <w:rFonts w:ascii="Times New Roman" w:eastAsia="Calibri" w:hAnsi="Times New Roman"/>
                <w:snapToGrid/>
                <w:sz w:val="20"/>
              </w:rPr>
              <w:t xml:space="preserve"> the PCAOB.</w:t>
            </w:r>
          </w:p>
        </w:tc>
        <w:tc>
          <w:tcPr>
            <w:tcW w:w="1170" w:type="dxa"/>
          </w:tcPr>
          <w:p w:rsidR="003D4C71" w:rsidRPr="00BA2542" w:rsidRDefault="00BA2542" w:rsidP="00AD6C54">
            <w:pPr>
              <w:keepNext/>
              <w:keepLines/>
              <w:widowControl/>
              <w:jc w:val="center"/>
              <w:rPr>
                <w:rFonts w:ascii="Times New Roman" w:eastAsia="Calibri" w:hAnsi="Times New Roman"/>
                <w:snapToGrid/>
                <w:sz w:val="20"/>
              </w:rPr>
            </w:pPr>
            <w:r>
              <w:rPr>
                <w:rFonts w:ascii="Times New Roman" w:eastAsia="Calibri" w:hAnsi="Times New Roman"/>
                <w:snapToGrid/>
                <w:sz w:val="20"/>
              </w:rPr>
              <w:t>Yes</w:t>
            </w:r>
          </w:p>
        </w:tc>
        <w:tc>
          <w:tcPr>
            <w:tcW w:w="3168" w:type="dxa"/>
          </w:tcPr>
          <w:p w:rsidR="003D4C71" w:rsidRPr="00FF17BE" w:rsidRDefault="00895CF6" w:rsidP="00AD6C54">
            <w:pPr>
              <w:keepNext/>
              <w:keepLines/>
              <w:widowControl/>
              <w:rPr>
                <w:rFonts w:ascii="Times New Roman" w:eastAsia="Calibri" w:hAnsi="Times New Roman"/>
                <w:snapToGrid/>
                <w:sz w:val="20"/>
              </w:rPr>
            </w:pPr>
            <w:r>
              <w:rPr>
                <w:rFonts w:ascii="Times New Roman" w:eastAsia="Calibri" w:hAnsi="Times New Roman"/>
                <w:snapToGrid/>
                <w:sz w:val="20"/>
              </w:rPr>
              <w:t>Nonpublic company audits are performed in accordance with generally accepted auditing standards.</w:t>
            </w:r>
          </w:p>
        </w:tc>
      </w:tr>
      <w:tr w:rsidR="003D4C71" w:rsidRPr="00E77B99">
        <w:tc>
          <w:tcPr>
            <w:tcW w:w="4140" w:type="dxa"/>
          </w:tcPr>
          <w:p w:rsidR="003D4C71" w:rsidRPr="00BA2542" w:rsidRDefault="00BA2542" w:rsidP="00AD6C54">
            <w:pPr>
              <w:keepNext/>
              <w:keepLines/>
              <w:widowControl/>
              <w:numPr>
                <w:ilvl w:val="0"/>
                <w:numId w:val="23"/>
              </w:numPr>
              <w:ind w:left="360"/>
              <w:rPr>
                <w:rFonts w:ascii="Times New Roman" w:eastAsia="Calibri" w:hAnsi="Times New Roman"/>
                <w:snapToGrid/>
                <w:sz w:val="20"/>
              </w:rPr>
            </w:pPr>
            <w:r>
              <w:rPr>
                <w:rFonts w:ascii="Times New Roman" w:eastAsia="Calibri" w:hAnsi="Times New Roman"/>
                <w:snapToGrid/>
                <w:sz w:val="20"/>
              </w:rPr>
              <w:t>“All” should be replaced by “material.”</w:t>
            </w:r>
          </w:p>
        </w:tc>
        <w:tc>
          <w:tcPr>
            <w:tcW w:w="1170" w:type="dxa"/>
          </w:tcPr>
          <w:p w:rsidR="003D4C71" w:rsidRPr="00BA2542" w:rsidRDefault="003D4C71" w:rsidP="00AD6C54">
            <w:pPr>
              <w:keepNext/>
              <w:keepLines/>
              <w:widowControl/>
              <w:jc w:val="center"/>
              <w:rPr>
                <w:rFonts w:ascii="Times New Roman" w:eastAsia="Calibri" w:hAnsi="Times New Roman"/>
                <w:snapToGrid/>
                <w:sz w:val="20"/>
              </w:rPr>
            </w:pPr>
            <w:r w:rsidRPr="00BA2542">
              <w:rPr>
                <w:rFonts w:ascii="Times New Roman" w:eastAsia="Calibri" w:hAnsi="Times New Roman"/>
                <w:snapToGrid/>
                <w:sz w:val="20"/>
              </w:rPr>
              <w:t>Yes</w:t>
            </w:r>
          </w:p>
        </w:tc>
        <w:tc>
          <w:tcPr>
            <w:tcW w:w="3168" w:type="dxa"/>
          </w:tcPr>
          <w:p w:rsidR="003D4C71" w:rsidRPr="00BA2542" w:rsidRDefault="003D4C71" w:rsidP="00AD6C54">
            <w:pPr>
              <w:keepNext/>
              <w:keepLines/>
              <w:widowControl/>
              <w:rPr>
                <w:rFonts w:ascii="Times New Roman" w:eastAsia="Calibri" w:hAnsi="Times New Roman"/>
                <w:snapToGrid/>
                <w:sz w:val="20"/>
              </w:rPr>
            </w:pPr>
          </w:p>
        </w:tc>
      </w:tr>
      <w:tr w:rsidR="003D4C71" w:rsidRPr="00E77B99">
        <w:tc>
          <w:tcPr>
            <w:tcW w:w="4140" w:type="dxa"/>
          </w:tcPr>
          <w:p w:rsidR="003D4C71" w:rsidRPr="00BA2542" w:rsidRDefault="00BA2542" w:rsidP="00AD6C54">
            <w:pPr>
              <w:keepNext/>
              <w:keepLines/>
              <w:widowControl/>
              <w:numPr>
                <w:ilvl w:val="0"/>
                <w:numId w:val="23"/>
              </w:numPr>
              <w:ind w:left="360"/>
              <w:rPr>
                <w:rFonts w:ascii="Times New Roman" w:eastAsia="Calibri" w:hAnsi="Times New Roman"/>
                <w:snapToGrid/>
                <w:sz w:val="20"/>
              </w:rPr>
            </w:pPr>
            <w:r>
              <w:rPr>
                <w:rFonts w:ascii="Times New Roman" w:eastAsia="Calibri" w:hAnsi="Times New Roman"/>
                <w:snapToGrid/>
                <w:sz w:val="20"/>
              </w:rPr>
              <w:t xml:space="preserve">“Accounts that are material” should be replaced by “accounts </w:t>
            </w:r>
            <w:r w:rsidRPr="00E77B99">
              <w:rPr>
                <w:rFonts w:ascii="Times New Roman" w:eastAsia="Calibri" w:hAnsi="Times New Roman"/>
                <w:b/>
                <w:snapToGrid/>
                <w:sz w:val="20"/>
              </w:rPr>
              <w:t>or disclosures</w:t>
            </w:r>
            <w:r>
              <w:rPr>
                <w:rFonts w:ascii="Times New Roman" w:eastAsia="Calibri" w:hAnsi="Times New Roman"/>
                <w:snapToGrid/>
                <w:sz w:val="20"/>
              </w:rPr>
              <w:t xml:space="preserve"> that are material.</w:t>
            </w:r>
          </w:p>
        </w:tc>
        <w:tc>
          <w:tcPr>
            <w:tcW w:w="1170" w:type="dxa"/>
          </w:tcPr>
          <w:p w:rsidR="003D4C71" w:rsidRPr="00BA2542" w:rsidRDefault="003D4C71" w:rsidP="00AD6C54">
            <w:pPr>
              <w:keepNext/>
              <w:keepLines/>
              <w:widowControl/>
              <w:jc w:val="center"/>
              <w:rPr>
                <w:rFonts w:ascii="Times New Roman" w:eastAsia="Calibri" w:hAnsi="Times New Roman"/>
                <w:snapToGrid/>
                <w:sz w:val="20"/>
              </w:rPr>
            </w:pPr>
            <w:r w:rsidRPr="00BA2542">
              <w:rPr>
                <w:rFonts w:ascii="Times New Roman" w:eastAsia="Calibri" w:hAnsi="Times New Roman"/>
                <w:snapToGrid/>
                <w:sz w:val="20"/>
              </w:rPr>
              <w:t>No</w:t>
            </w:r>
          </w:p>
        </w:tc>
        <w:tc>
          <w:tcPr>
            <w:tcW w:w="3168" w:type="dxa"/>
          </w:tcPr>
          <w:p w:rsidR="003D4C71" w:rsidRPr="00883E74" w:rsidRDefault="00883E74" w:rsidP="00AD6C54">
            <w:pPr>
              <w:keepNext/>
              <w:keepLines/>
              <w:widowControl/>
              <w:rPr>
                <w:rFonts w:ascii="Times New Roman" w:eastAsia="Calibri" w:hAnsi="Times New Roman"/>
                <w:snapToGrid/>
                <w:sz w:val="20"/>
              </w:rPr>
            </w:pPr>
            <w:r>
              <w:rPr>
                <w:rFonts w:ascii="Times New Roman" w:eastAsia="Calibri" w:hAnsi="Times New Roman"/>
                <w:snapToGrid/>
                <w:sz w:val="20"/>
              </w:rPr>
              <w:t>The term “or disclosures” is in the report.</w:t>
            </w:r>
          </w:p>
        </w:tc>
      </w:tr>
      <w:tr w:rsidR="003D4C71" w:rsidRPr="00E77B99">
        <w:tc>
          <w:tcPr>
            <w:tcW w:w="4140" w:type="dxa"/>
          </w:tcPr>
          <w:p w:rsidR="003D4C71" w:rsidRPr="00BA2542" w:rsidRDefault="00BA2542" w:rsidP="00BA2542">
            <w:pPr>
              <w:widowControl/>
              <w:numPr>
                <w:ilvl w:val="0"/>
                <w:numId w:val="23"/>
              </w:numPr>
              <w:ind w:left="360"/>
              <w:rPr>
                <w:rFonts w:ascii="Times New Roman" w:eastAsia="Calibri" w:hAnsi="Times New Roman"/>
                <w:snapToGrid/>
                <w:sz w:val="20"/>
              </w:rPr>
            </w:pPr>
            <w:r>
              <w:rPr>
                <w:rFonts w:ascii="Times New Roman" w:eastAsia="Calibri" w:hAnsi="Times New Roman"/>
                <w:snapToGrid/>
                <w:sz w:val="20"/>
              </w:rPr>
              <w:t>“Ying and Company” should be replaced with “Howard Smythe,” the engagement partner.</w:t>
            </w:r>
          </w:p>
        </w:tc>
        <w:tc>
          <w:tcPr>
            <w:tcW w:w="1170" w:type="dxa"/>
          </w:tcPr>
          <w:p w:rsidR="003D4C71" w:rsidRPr="00BA2542" w:rsidRDefault="00BA2542" w:rsidP="003D4C71">
            <w:pPr>
              <w:widowControl/>
              <w:jc w:val="center"/>
              <w:rPr>
                <w:rFonts w:ascii="Times New Roman" w:eastAsia="Calibri" w:hAnsi="Times New Roman"/>
                <w:snapToGrid/>
                <w:sz w:val="20"/>
              </w:rPr>
            </w:pPr>
            <w:r>
              <w:rPr>
                <w:rFonts w:ascii="Times New Roman" w:eastAsia="Calibri" w:hAnsi="Times New Roman"/>
                <w:snapToGrid/>
                <w:sz w:val="20"/>
              </w:rPr>
              <w:t>No</w:t>
            </w:r>
          </w:p>
        </w:tc>
        <w:tc>
          <w:tcPr>
            <w:tcW w:w="3168" w:type="dxa"/>
          </w:tcPr>
          <w:p w:rsidR="003D4C71" w:rsidRPr="00BA2542" w:rsidRDefault="00BA2542" w:rsidP="003D4C71">
            <w:pPr>
              <w:widowControl/>
              <w:rPr>
                <w:rFonts w:ascii="Times New Roman" w:eastAsia="Calibri" w:hAnsi="Times New Roman"/>
                <w:snapToGrid/>
                <w:sz w:val="20"/>
              </w:rPr>
            </w:pPr>
            <w:r>
              <w:rPr>
                <w:rFonts w:ascii="Times New Roman" w:eastAsia="Calibri" w:hAnsi="Times New Roman"/>
                <w:snapToGrid/>
                <w:sz w:val="20"/>
              </w:rPr>
              <w:t>While the audit partner may sign the report, this is not required as that partner is ordinarily named in PCAOB Form AP</w:t>
            </w:r>
            <w:r w:rsidR="003D4C71" w:rsidRPr="00BA2542">
              <w:rPr>
                <w:rFonts w:ascii="Times New Roman" w:eastAsia="Calibri" w:hAnsi="Times New Roman"/>
                <w:snapToGrid/>
                <w:sz w:val="20"/>
              </w:rPr>
              <w:t>.</w:t>
            </w:r>
          </w:p>
        </w:tc>
      </w:tr>
      <w:tr w:rsidR="003D4C71" w:rsidRPr="00E77B99">
        <w:tc>
          <w:tcPr>
            <w:tcW w:w="4140" w:type="dxa"/>
          </w:tcPr>
          <w:p w:rsidR="003D4C71" w:rsidRPr="009D75B2" w:rsidRDefault="003D4C71" w:rsidP="009D75B2">
            <w:pPr>
              <w:widowControl/>
              <w:numPr>
                <w:ilvl w:val="0"/>
                <w:numId w:val="23"/>
              </w:numPr>
              <w:ind w:left="360"/>
              <w:rPr>
                <w:rFonts w:ascii="Times New Roman" w:eastAsia="Calibri" w:hAnsi="Times New Roman"/>
                <w:snapToGrid/>
                <w:sz w:val="20"/>
              </w:rPr>
            </w:pPr>
            <w:r w:rsidRPr="00E77B99">
              <w:rPr>
                <w:rFonts w:ascii="Times New Roman" w:eastAsia="Calibri" w:hAnsi="Times New Roman"/>
                <w:snapToGrid/>
                <w:sz w:val="20"/>
              </w:rPr>
              <w:t xml:space="preserve">The </w:t>
            </w:r>
            <w:r w:rsidR="009D75B2">
              <w:rPr>
                <w:rFonts w:ascii="Times New Roman" w:eastAsia="Calibri" w:hAnsi="Times New Roman"/>
                <w:snapToGrid/>
                <w:sz w:val="20"/>
              </w:rPr>
              <w:t xml:space="preserve">report should include a statement of when the firm began serving </w:t>
            </w:r>
            <w:r w:rsidR="00883E74">
              <w:rPr>
                <w:rFonts w:ascii="Times New Roman" w:eastAsia="Calibri" w:hAnsi="Times New Roman"/>
                <w:snapToGrid/>
                <w:sz w:val="20"/>
              </w:rPr>
              <w:t>as</w:t>
            </w:r>
            <w:r w:rsidR="009D75B2">
              <w:rPr>
                <w:rFonts w:ascii="Times New Roman" w:eastAsia="Calibri" w:hAnsi="Times New Roman"/>
                <w:snapToGrid/>
                <w:sz w:val="20"/>
              </w:rPr>
              <w:t xml:space="preserve"> the corporation’s auditor.</w:t>
            </w:r>
          </w:p>
        </w:tc>
        <w:tc>
          <w:tcPr>
            <w:tcW w:w="1170" w:type="dxa"/>
          </w:tcPr>
          <w:p w:rsidR="003D4C71" w:rsidRPr="009D75B2" w:rsidRDefault="003D4C71" w:rsidP="003D4C71">
            <w:pPr>
              <w:widowControl/>
              <w:jc w:val="center"/>
              <w:rPr>
                <w:rFonts w:ascii="Times New Roman" w:eastAsia="Calibri" w:hAnsi="Times New Roman"/>
                <w:snapToGrid/>
                <w:sz w:val="20"/>
              </w:rPr>
            </w:pPr>
            <w:r w:rsidRPr="009D75B2">
              <w:rPr>
                <w:rFonts w:ascii="Times New Roman" w:eastAsia="Calibri" w:hAnsi="Times New Roman"/>
                <w:snapToGrid/>
                <w:sz w:val="20"/>
              </w:rPr>
              <w:t>Yes</w:t>
            </w:r>
          </w:p>
        </w:tc>
        <w:tc>
          <w:tcPr>
            <w:tcW w:w="3168" w:type="dxa"/>
          </w:tcPr>
          <w:p w:rsidR="003D4C71" w:rsidRPr="009D75B2" w:rsidRDefault="009D75B2" w:rsidP="009D75B2">
            <w:pPr>
              <w:widowControl/>
              <w:rPr>
                <w:rFonts w:ascii="Times New Roman" w:eastAsia="Calibri" w:hAnsi="Times New Roman"/>
                <w:snapToGrid/>
                <w:sz w:val="20"/>
              </w:rPr>
            </w:pPr>
            <w:r>
              <w:rPr>
                <w:rFonts w:ascii="Times New Roman" w:eastAsia="Calibri" w:hAnsi="Times New Roman"/>
                <w:snapToGrid/>
                <w:sz w:val="20"/>
              </w:rPr>
              <w:t>This is required for public company audit reports.</w:t>
            </w:r>
          </w:p>
        </w:tc>
      </w:tr>
    </w:tbl>
    <w:p w:rsidR="003D4C71" w:rsidRPr="00E77B99" w:rsidRDefault="003D4C71" w:rsidP="003D4C71">
      <w:pPr>
        <w:widowControl/>
        <w:rPr>
          <w:rFonts w:ascii="Times New Roman" w:eastAsia="Calibri" w:hAnsi="Times New Roman"/>
          <w:snapToGrid/>
          <w:sz w:val="20"/>
        </w:rPr>
      </w:pPr>
    </w:p>
    <w:p w:rsidR="003D4C71" w:rsidRPr="00E77B99" w:rsidRDefault="003D4C71" w:rsidP="003D4C71">
      <w:pPr>
        <w:widowControl/>
        <w:rPr>
          <w:rFonts w:ascii="Times New Roman" w:eastAsia="Calibri" w:hAnsi="Times New Roman"/>
          <w:snapToGrid/>
          <w:sz w:val="20"/>
        </w:rPr>
      </w:pPr>
    </w:p>
    <w:p w:rsidR="003D4C71" w:rsidRPr="00E77B99" w:rsidRDefault="003D4C71" w:rsidP="00E77B99">
      <w:pPr>
        <w:keepNext/>
        <w:keepLines/>
        <w:widowControl/>
        <w:rPr>
          <w:rFonts w:ascii="Times New Roman" w:eastAsia="Calibri" w:hAnsi="Times New Roman"/>
          <w:snapToGrid/>
          <w:sz w:val="22"/>
          <w:szCs w:val="22"/>
        </w:rPr>
      </w:pPr>
      <w:r w:rsidRPr="00E77B99">
        <w:rPr>
          <w:rFonts w:ascii="Times New Roman" w:eastAsia="Calibri" w:hAnsi="Times New Roman"/>
          <w:snapToGrid/>
          <w:sz w:val="22"/>
          <w:szCs w:val="22"/>
        </w:rPr>
        <w:t>2-32</w:t>
      </w:r>
    </w:p>
    <w:p w:rsidR="003D4C71" w:rsidRPr="00E77B99" w:rsidRDefault="003D4C71" w:rsidP="00E77B99">
      <w:pPr>
        <w:keepNext/>
        <w:keepLines/>
        <w:widowControl/>
        <w:rPr>
          <w:rFonts w:ascii="Times New Roman" w:eastAsia="Calibri" w:hAnsi="Times New Roman"/>
          <w:snapToGrid/>
          <w:sz w:val="22"/>
          <w:szCs w:val="22"/>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620"/>
        <w:gridCol w:w="2718"/>
      </w:tblGrid>
      <w:tr w:rsidR="003D4C71" w:rsidRPr="00E77B99">
        <w:tc>
          <w:tcPr>
            <w:tcW w:w="4230" w:type="dxa"/>
          </w:tcPr>
          <w:p w:rsidR="003D4C71" w:rsidRPr="00E77B99" w:rsidRDefault="003D4C71" w:rsidP="00E77B99">
            <w:pPr>
              <w:keepNext/>
              <w:keepLines/>
              <w:widowControl/>
              <w:jc w:val="center"/>
              <w:rPr>
                <w:rFonts w:ascii="Times New Roman" w:eastAsia="Calibri" w:hAnsi="Times New Roman"/>
                <w:b/>
                <w:snapToGrid/>
                <w:sz w:val="20"/>
              </w:rPr>
            </w:pPr>
            <w:r w:rsidRPr="00E77B99">
              <w:rPr>
                <w:rFonts w:ascii="Times New Roman" w:eastAsia="Calibri" w:hAnsi="Times New Roman"/>
                <w:b/>
                <w:snapToGrid/>
                <w:sz w:val="20"/>
              </w:rPr>
              <w:t>Statement</w:t>
            </w:r>
          </w:p>
        </w:tc>
        <w:tc>
          <w:tcPr>
            <w:tcW w:w="1620" w:type="dxa"/>
          </w:tcPr>
          <w:p w:rsidR="003D4C71" w:rsidRPr="00E77B99" w:rsidRDefault="003D4C71" w:rsidP="00E77B99">
            <w:pPr>
              <w:keepNext/>
              <w:keepLines/>
              <w:widowControl/>
              <w:jc w:val="center"/>
              <w:rPr>
                <w:rFonts w:ascii="Times New Roman" w:eastAsia="Calibri" w:hAnsi="Times New Roman"/>
                <w:b/>
                <w:snapToGrid/>
                <w:sz w:val="20"/>
              </w:rPr>
            </w:pPr>
            <w:r w:rsidRPr="00E77B99">
              <w:rPr>
                <w:rFonts w:ascii="Times New Roman" w:eastAsia="Calibri" w:hAnsi="Times New Roman"/>
                <w:b/>
                <w:snapToGrid/>
                <w:sz w:val="20"/>
              </w:rPr>
              <w:t>Agree (A) or Disagree (D)</w:t>
            </w:r>
          </w:p>
        </w:tc>
        <w:tc>
          <w:tcPr>
            <w:tcW w:w="2718" w:type="dxa"/>
          </w:tcPr>
          <w:p w:rsidR="003D4C71" w:rsidRPr="00E77B99" w:rsidRDefault="003D4C71" w:rsidP="00E77B99">
            <w:pPr>
              <w:keepNext/>
              <w:keepLines/>
              <w:widowControl/>
              <w:jc w:val="center"/>
              <w:rPr>
                <w:rFonts w:ascii="Times New Roman" w:eastAsia="Calibri" w:hAnsi="Times New Roman"/>
                <w:b/>
                <w:snapToGrid/>
                <w:sz w:val="20"/>
              </w:rPr>
            </w:pPr>
            <w:r w:rsidRPr="00E77B99">
              <w:rPr>
                <w:rFonts w:ascii="Times New Roman" w:eastAsia="Calibri" w:hAnsi="Times New Roman"/>
                <w:b/>
                <w:snapToGrid/>
                <w:sz w:val="20"/>
              </w:rPr>
              <w:t>Comment</w:t>
            </w:r>
          </w:p>
        </w:tc>
      </w:tr>
      <w:tr w:rsidR="003D4C71" w:rsidRPr="00E77B99">
        <w:tc>
          <w:tcPr>
            <w:tcW w:w="4230" w:type="dxa"/>
          </w:tcPr>
          <w:p w:rsidR="003D4C71" w:rsidRPr="00E77B99" w:rsidRDefault="003D4C71" w:rsidP="00E77B99">
            <w:pPr>
              <w:keepNext/>
              <w:keepLines/>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The report must begin with “CPA’s Report” at the top.</w:t>
            </w:r>
          </w:p>
        </w:tc>
        <w:tc>
          <w:tcPr>
            <w:tcW w:w="1620" w:type="dxa"/>
          </w:tcPr>
          <w:p w:rsidR="003D4C71" w:rsidRPr="00E77B99" w:rsidRDefault="003D4C71" w:rsidP="00E77B99">
            <w:pPr>
              <w:keepNext/>
              <w:keepLines/>
              <w:widowControl/>
              <w:jc w:val="center"/>
              <w:rPr>
                <w:rFonts w:ascii="Times New Roman" w:eastAsia="Calibri" w:hAnsi="Times New Roman"/>
                <w:snapToGrid/>
                <w:sz w:val="20"/>
              </w:rPr>
            </w:pPr>
            <w:r w:rsidRPr="00E77B99">
              <w:rPr>
                <w:rFonts w:ascii="Times New Roman" w:eastAsia="Calibri" w:hAnsi="Times New Roman"/>
                <w:snapToGrid/>
                <w:sz w:val="20"/>
              </w:rPr>
              <w:t>D</w:t>
            </w:r>
          </w:p>
        </w:tc>
        <w:tc>
          <w:tcPr>
            <w:tcW w:w="2718" w:type="dxa"/>
          </w:tcPr>
          <w:p w:rsidR="003D4C71" w:rsidRPr="00FA1FBC" w:rsidRDefault="003D4C71" w:rsidP="00E77B99">
            <w:pPr>
              <w:keepNext/>
              <w:keepLines/>
              <w:widowControl/>
              <w:rPr>
                <w:rFonts w:ascii="Times New Roman" w:eastAsia="Calibri" w:hAnsi="Times New Roman"/>
                <w:snapToGrid/>
                <w:sz w:val="20"/>
              </w:rPr>
            </w:pPr>
            <w:r w:rsidRPr="00E77B99">
              <w:rPr>
                <w:rFonts w:ascii="Times New Roman" w:eastAsia="Calibri" w:hAnsi="Times New Roman"/>
                <w:snapToGrid/>
                <w:sz w:val="20"/>
              </w:rPr>
              <w:t xml:space="preserve">The top must have a title that includes the </w:t>
            </w:r>
            <w:r w:rsidR="00FA1FBC">
              <w:rPr>
                <w:rFonts w:ascii="Times New Roman" w:eastAsia="Calibri" w:hAnsi="Times New Roman"/>
                <w:snapToGrid/>
                <w:sz w:val="20"/>
              </w:rPr>
              <w:t>phrase “</w:t>
            </w:r>
            <w:r w:rsidR="00F60E3C">
              <w:rPr>
                <w:rFonts w:ascii="Times New Roman" w:eastAsia="Calibri" w:hAnsi="Times New Roman"/>
                <w:snapToGrid/>
                <w:sz w:val="20"/>
              </w:rPr>
              <w:t xml:space="preserve">Report of </w:t>
            </w:r>
            <w:r w:rsidR="00FA1FBC">
              <w:rPr>
                <w:rFonts w:ascii="Times New Roman" w:eastAsia="Calibri" w:hAnsi="Times New Roman"/>
                <w:snapToGrid/>
                <w:sz w:val="20"/>
              </w:rPr>
              <w:t xml:space="preserve">Independent Registered </w:t>
            </w:r>
            <w:r w:rsidR="00F60E3C">
              <w:rPr>
                <w:rFonts w:ascii="Times New Roman" w:eastAsia="Calibri" w:hAnsi="Times New Roman"/>
                <w:snapToGrid/>
                <w:sz w:val="20"/>
              </w:rPr>
              <w:t>Public Accountant.”</w:t>
            </w:r>
          </w:p>
        </w:tc>
      </w:tr>
      <w:tr w:rsidR="003D4C71" w:rsidRPr="00E77B99">
        <w:tc>
          <w:tcPr>
            <w:tcW w:w="4230" w:type="dxa"/>
          </w:tcPr>
          <w:p w:rsidR="003D4C71" w:rsidRPr="00E77B99"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The report is ordinarily addressed “to whom it may concern.”</w:t>
            </w:r>
          </w:p>
        </w:tc>
        <w:tc>
          <w:tcPr>
            <w:tcW w:w="1620" w:type="dxa"/>
          </w:tcPr>
          <w:p w:rsidR="003D4C71" w:rsidRPr="00E77B99" w:rsidRDefault="003D4C71" w:rsidP="003D4C71">
            <w:pPr>
              <w:widowControl/>
              <w:jc w:val="center"/>
              <w:rPr>
                <w:rFonts w:ascii="Times New Roman" w:eastAsia="Calibri" w:hAnsi="Times New Roman"/>
                <w:snapToGrid/>
                <w:sz w:val="20"/>
              </w:rPr>
            </w:pPr>
            <w:r w:rsidRPr="00E77B99">
              <w:rPr>
                <w:rFonts w:ascii="Times New Roman" w:eastAsia="Calibri" w:hAnsi="Times New Roman"/>
                <w:snapToGrid/>
                <w:sz w:val="20"/>
              </w:rPr>
              <w:t>D</w:t>
            </w:r>
          </w:p>
        </w:tc>
        <w:tc>
          <w:tcPr>
            <w:tcW w:w="2718" w:type="dxa"/>
          </w:tcPr>
          <w:p w:rsidR="003D4C71" w:rsidRPr="00F60E3C" w:rsidRDefault="003D4C71" w:rsidP="003D4C71">
            <w:pPr>
              <w:widowControl/>
              <w:rPr>
                <w:rFonts w:ascii="Times New Roman" w:eastAsia="Calibri" w:hAnsi="Times New Roman"/>
                <w:snapToGrid/>
                <w:sz w:val="20"/>
              </w:rPr>
            </w:pPr>
            <w:r w:rsidRPr="00E77B99">
              <w:rPr>
                <w:rFonts w:ascii="Times New Roman" w:eastAsia="Calibri" w:hAnsi="Times New Roman"/>
                <w:snapToGrid/>
                <w:sz w:val="20"/>
              </w:rPr>
              <w:t xml:space="preserve">It </w:t>
            </w:r>
            <w:r w:rsidR="00F60E3C">
              <w:rPr>
                <w:rFonts w:ascii="Times New Roman" w:eastAsia="Calibri" w:hAnsi="Times New Roman"/>
                <w:snapToGrid/>
                <w:sz w:val="20"/>
              </w:rPr>
              <w:t>must be</w:t>
            </w:r>
            <w:r w:rsidRPr="00F60E3C">
              <w:rPr>
                <w:rFonts w:ascii="Times New Roman" w:eastAsia="Calibri" w:hAnsi="Times New Roman"/>
                <w:snapToGrid/>
                <w:sz w:val="20"/>
              </w:rPr>
              <w:t xml:space="preserve"> addressed to the </w:t>
            </w:r>
            <w:r w:rsidR="00F60E3C">
              <w:rPr>
                <w:rFonts w:ascii="Times New Roman" w:eastAsia="Calibri" w:hAnsi="Times New Roman"/>
                <w:snapToGrid/>
                <w:sz w:val="20"/>
              </w:rPr>
              <w:t>shareholders and the board of directors (or equivalents).</w:t>
            </w:r>
          </w:p>
        </w:tc>
      </w:tr>
      <w:tr w:rsidR="003D4C71" w:rsidRPr="00E77B99">
        <w:tc>
          <w:tcPr>
            <w:tcW w:w="4230" w:type="dxa"/>
          </w:tcPr>
          <w:p w:rsidR="003D4C71" w:rsidRPr="00E77B99"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The report indicates that management is responsible for the preparation of the financial statements.</w:t>
            </w:r>
          </w:p>
        </w:tc>
        <w:tc>
          <w:tcPr>
            <w:tcW w:w="1620" w:type="dxa"/>
          </w:tcPr>
          <w:p w:rsidR="003D4C71" w:rsidRPr="00E77B99" w:rsidRDefault="003D4C71" w:rsidP="003D4C71">
            <w:pPr>
              <w:widowControl/>
              <w:jc w:val="center"/>
              <w:rPr>
                <w:rFonts w:ascii="Times New Roman" w:eastAsia="Calibri" w:hAnsi="Times New Roman"/>
                <w:snapToGrid/>
                <w:sz w:val="20"/>
              </w:rPr>
            </w:pPr>
            <w:r w:rsidRPr="00E77B99">
              <w:rPr>
                <w:rFonts w:ascii="Times New Roman" w:eastAsia="Calibri" w:hAnsi="Times New Roman"/>
                <w:snapToGrid/>
                <w:sz w:val="20"/>
              </w:rPr>
              <w:t>A</w:t>
            </w:r>
          </w:p>
        </w:tc>
        <w:tc>
          <w:tcPr>
            <w:tcW w:w="2718" w:type="dxa"/>
          </w:tcPr>
          <w:p w:rsidR="003D4C71" w:rsidRPr="00E77B99" w:rsidRDefault="003D4C71" w:rsidP="003D4C71">
            <w:pPr>
              <w:widowControl/>
              <w:rPr>
                <w:rFonts w:ascii="Times New Roman" w:eastAsia="Calibri" w:hAnsi="Times New Roman"/>
                <w:snapToGrid/>
                <w:sz w:val="20"/>
              </w:rPr>
            </w:pPr>
          </w:p>
        </w:tc>
      </w:tr>
      <w:tr w:rsidR="003D4C71" w:rsidRPr="00E77B99">
        <w:tc>
          <w:tcPr>
            <w:tcW w:w="4230" w:type="dxa"/>
          </w:tcPr>
          <w:p w:rsidR="003D4C71" w:rsidRPr="00E77B99"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The report indicates that the auditor’s responsibility is to obtain particular assurance about whether the financial statements are free of material misstatements.</w:t>
            </w:r>
          </w:p>
        </w:tc>
        <w:tc>
          <w:tcPr>
            <w:tcW w:w="1620" w:type="dxa"/>
          </w:tcPr>
          <w:p w:rsidR="003D4C71" w:rsidRPr="00E77B99" w:rsidRDefault="003D4C71" w:rsidP="003D4C71">
            <w:pPr>
              <w:widowControl/>
              <w:jc w:val="center"/>
              <w:rPr>
                <w:rFonts w:ascii="Times New Roman" w:eastAsia="Calibri" w:hAnsi="Times New Roman"/>
                <w:snapToGrid/>
                <w:sz w:val="20"/>
              </w:rPr>
            </w:pPr>
            <w:r w:rsidRPr="00E77B99">
              <w:rPr>
                <w:rFonts w:ascii="Times New Roman" w:eastAsia="Calibri" w:hAnsi="Times New Roman"/>
                <w:snapToGrid/>
                <w:sz w:val="20"/>
              </w:rPr>
              <w:t>D</w:t>
            </w:r>
          </w:p>
        </w:tc>
        <w:tc>
          <w:tcPr>
            <w:tcW w:w="2718" w:type="dxa"/>
          </w:tcPr>
          <w:p w:rsidR="003D4C71" w:rsidRPr="00E77B99" w:rsidRDefault="003D4C71" w:rsidP="003D4C71">
            <w:pPr>
              <w:widowControl/>
              <w:rPr>
                <w:rFonts w:ascii="Times New Roman" w:eastAsia="Calibri" w:hAnsi="Times New Roman"/>
                <w:snapToGrid/>
                <w:sz w:val="20"/>
              </w:rPr>
            </w:pPr>
            <w:r w:rsidRPr="00E77B99">
              <w:rPr>
                <w:rFonts w:ascii="Times New Roman" w:eastAsia="Calibri" w:hAnsi="Times New Roman"/>
                <w:snapToGrid/>
                <w:sz w:val="20"/>
              </w:rPr>
              <w:t>Reasonable assurance is obtained.</w:t>
            </w:r>
          </w:p>
        </w:tc>
      </w:tr>
      <w:tr w:rsidR="003D4C71" w:rsidRPr="00E77B99">
        <w:tc>
          <w:tcPr>
            <w:tcW w:w="4230" w:type="dxa"/>
          </w:tcPr>
          <w:p w:rsidR="003D4C71" w:rsidRPr="00E77B99"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lastRenderedPageBreak/>
              <w:t>The report ordinarily concludes on whether the financial statements are in conformity with generally accepted auditing standards.</w:t>
            </w:r>
          </w:p>
        </w:tc>
        <w:tc>
          <w:tcPr>
            <w:tcW w:w="1620" w:type="dxa"/>
          </w:tcPr>
          <w:p w:rsidR="003D4C71" w:rsidRPr="00E77B99" w:rsidRDefault="003D4C71" w:rsidP="003D4C71">
            <w:pPr>
              <w:widowControl/>
              <w:jc w:val="center"/>
              <w:rPr>
                <w:rFonts w:ascii="Times New Roman" w:eastAsia="Calibri" w:hAnsi="Times New Roman"/>
                <w:snapToGrid/>
                <w:sz w:val="20"/>
              </w:rPr>
            </w:pPr>
            <w:r w:rsidRPr="00E77B99">
              <w:rPr>
                <w:rFonts w:ascii="Times New Roman" w:eastAsia="Calibri" w:hAnsi="Times New Roman"/>
                <w:snapToGrid/>
                <w:sz w:val="20"/>
              </w:rPr>
              <w:t>D</w:t>
            </w:r>
          </w:p>
        </w:tc>
        <w:tc>
          <w:tcPr>
            <w:tcW w:w="2718" w:type="dxa"/>
          </w:tcPr>
          <w:p w:rsidR="003D4C71" w:rsidRPr="00E77B99" w:rsidRDefault="003D4C71" w:rsidP="003D4C71">
            <w:pPr>
              <w:widowControl/>
              <w:rPr>
                <w:rFonts w:ascii="Times New Roman" w:eastAsia="Calibri" w:hAnsi="Times New Roman"/>
                <w:snapToGrid/>
                <w:sz w:val="20"/>
              </w:rPr>
            </w:pPr>
            <w:r w:rsidRPr="00E77B99">
              <w:rPr>
                <w:rFonts w:ascii="Times New Roman" w:eastAsia="Calibri" w:hAnsi="Times New Roman"/>
                <w:snapToGrid/>
                <w:sz w:val="20"/>
              </w:rPr>
              <w:t>It concludes on whether the financial statements are in conformity with generally accepted accounting principles.</w:t>
            </w:r>
          </w:p>
        </w:tc>
      </w:tr>
      <w:tr w:rsidR="003D4C71" w:rsidRPr="00E77B99">
        <w:tc>
          <w:tcPr>
            <w:tcW w:w="4230" w:type="dxa"/>
          </w:tcPr>
          <w:p w:rsidR="003D4C71" w:rsidRPr="00E77B99"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The report indicates that the audit procedures selected depend on the auditor’s judgment.</w:t>
            </w:r>
          </w:p>
        </w:tc>
        <w:tc>
          <w:tcPr>
            <w:tcW w:w="1620" w:type="dxa"/>
          </w:tcPr>
          <w:p w:rsidR="003D4C71" w:rsidRPr="00E77B99" w:rsidRDefault="003D4C71" w:rsidP="003D4C71">
            <w:pPr>
              <w:widowControl/>
              <w:jc w:val="center"/>
              <w:rPr>
                <w:rFonts w:ascii="Times New Roman" w:eastAsia="Calibri" w:hAnsi="Times New Roman"/>
                <w:snapToGrid/>
                <w:sz w:val="20"/>
              </w:rPr>
            </w:pPr>
            <w:r w:rsidRPr="00E77B99">
              <w:rPr>
                <w:rFonts w:ascii="Times New Roman" w:eastAsia="Calibri" w:hAnsi="Times New Roman"/>
                <w:snapToGrid/>
                <w:sz w:val="20"/>
              </w:rPr>
              <w:t>A</w:t>
            </w:r>
          </w:p>
        </w:tc>
        <w:tc>
          <w:tcPr>
            <w:tcW w:w="2718" w:type="dxa"/>
          </w:tcPr>
          <w:p w:rsidR="003D4C71" w:rsidRPr="00E77B99" w:rsidRDefault="003D4C71" w:rsidP="003D4C71">
            <w:pPr>
              <w:widowControl/>
              <w:rPr>
                <w:rFonts w:ascii="Times New Roman" w:eastAsia="Calibri" w:hAnsi="Times New Roman"/>
                <w:snapToGrid/>
                <w:sz w:val="20"/>
              </w:rPr>
            </w:pPr>
          </w:p>
        </w:tc>
      </w:tr>
      <w:tr w:rsidR="003D4C71" w:rsidRPr="00E77B99">
        <w:tc>
          <w:tcPr>
            <w:tcW w:w="4230" w:type="dxa"/>
          </w:tcPr>
          <w:p w:rsidR="003D4C71" w:rsidRPr="00E77B99"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The report indicates that the audit evidence obtained is sufficient and appropriate to provide a basis for the audit opinion.</w:t>
            </w:r>
          </w:p>
        </w:tc>
        <w:tc>
          <w:tcPr>
            <w:tcW w:w="1620" w:type="dxa"/>
          </w:tcPr>
          <w:p w:rsidR="003D4C71" w:rsidRPr="00E77B99" w:rsidRDefault="003D4C71" w:rsidP="003D4C71">
            <w:pPr>
              <w:widowControl/>
              <w:jc w:val="center"/>
              <w:rPr>
                <w:rFonts w:ascii="Times New Roman" w:eastAsia="Calibri" w:hAnsi="Times New Roman"/>
                <w:snapToGrid/>
                <w:sz w:val="20"/>
              </w:rPr>
            </w:pPr>
            <w:r w:rsidRPr="00E77B99">
              <w:rPr>
                <w:rFonts w:ascii="Times New Roman" w:eastAsia="Calibri" w:hAnsi="Times New Roman"/>
                <w:snapToGrid/>
                <w:sz w:val="20"/>
              </w:rPr>
              <w:t>A</w:t>
            </w:r>
          </w:p>
        </w:tc>
        <w:tc>
          <w:tcPr>
            <w:tcW w:w="2718" w:type="dxa"/>
          </w:tcPr>
          <w:p w:rsidR="003D4C71" w:rsidRPr="00E77B99" w:rsidRDefault="003D4C71" w:rsidP="003D4C71">
            <w:pPr>
              <w:widowControl/>
              <w:rPr>
                <w:rFonts w:ascii="Times New Roman" w:eastAsia="Calibri" w:hAnsi="Times New Roman"/>
                <w:snapToGrid/>
                <w:sz w:val="20"/>
              </w:rPr>
            </w:pPr>
          </w:p>
        </w:tc>
      </w:tr>
      <w:tr w:rsidR="003D4C71" w:rsidRPr="00002118">
        <w:tc>
          <w:tcPr>
            <w:tcW w:w="4230" w:type="dxa"/>
          </w:tcPr>
          <w:p w:rsidR="003D4C71" w:rsidRPr="00F60E3C" w:rsidRDefault="003D4C71" w:rsidP="003D4C71">
            <w:pPr>
              <w:widowControl/>
              <w:numPr>
                <w:ilvl w:val="0"/>
                <w:numId w:val="25"/>
              </w:numPr>
              <w:contextualSpacing/>
              <w:rPr>
                <w:rFonts w:ascii="Times New Roman" w:eastAsia="Calibri" w:hAnsi="Times New Roman"/>
                <w:snapToGrid/>
                <w:sz w:val="20"/>
              </w:rPr>
            </w:pPr>
            <w:r w:rsidRPr="00E77B99">
              <w:rPr>
                <w:rFonts w:ascii="Times New Roman" w:eastAsia="Calibri" w:hAnsi="Times New Roman"/>
                <w:snapToGrid/>
                <w:sz w:val="20"/>
              </w:rPr>
              <w:t xml:space="preserve">The report indicates that the auditor considers and provides an opinion on </w:t>
            </w:r>
            <w:r w:rsidR="00F60E3C">
              <w:rPr>
                <w:rFonts w:ascii="Times New Roman" w:eastAsia="Calibri" w:hAnsi="Times New Roman"/>
                <w:snapToGrid/>
                <w:sz w:val="20"/>
              </w:rPr>
              <w:t>compliance with major laws and regulations.</w:t>
            </w:r>
            <w:r w:rsidRPr="00F60E3C">
              <w:rPr>
                <w:rFonts w:ascii="Times New Roman" w:eastAsia="Calibri" w:hAnsi="Times New Roman"/>
                <w:snapToGrid/>
                <w:sz w:val="20"/>
              </w:rPr>
              <w:t>.</w:t>
            </w:r>
          </w:p>
        </w:tc>
        <w:tc>
          <w:tcPr>
            <w:tcW w:w="1620" w:type="dxa"/>
          </w:tcPr>
          <w:p w:rsidR="003D4C71" w:rsidRPr="006F21AB" w:rsidRDefault="003D4C71" w:rsidP="003D4C71">
            <w:pPr>
              <w:widowControl/>
              <w:jc w:val="center"/>
              <w:rPr>
                <w:rFonts w:ascii="Times New Roman" w:eastAsia="Calibri" w:hAnsi="Times New Roman"/>
                <w:snapToGrid/>
                <w:sz w:val="20"/>
              </w:rPr>
            </w:pPr>
            <w:r w:rsidRPr="006F21AB">
              <w:rPr>
                <w:rFonts w:ascii="Times New Roman" w:eastAsia="Calibri" w:hAnsi="Times New Roman"/>
                <w:snapToGrid/>
                <w:sz w:val="20"/>
              </w:rPr>
              <w:t>D</w:t>
            </w:r>
          </w:p>
        </w:tc>
        <w:tc>
          <w:tcPr>
            <w:tcW w:w="2718" w:type="dxa"/>
          </w:tcPr>
          <w:p w:rsidR="003D4C71" w:rsidRPr="00655100" w:rsidRDefault="00F60E3C" w:rsidP="003D4C71">
            <w:pPr>
              <w:widowControl/>
              <w:rPr>
                <w:rFonts w:ascii="Times New Roman" w:eastAsia="Calibri" w:hAnsi="Times New Roman"/>
                <w:snapToGrid/>
                <w:sz w:val="20"/>
              </w:rPr>
            </w:pPr>
            <w:r>
              <w:rPr>
                <w:rFonts w:ascii="Times New Roman" w:eastAsia="Calibri" w:hAnsi="Times New Roman"/>
                <w:snapToGrid/>
                <w:sz w:val="20"/>
              </w:rPr>
              <w:t>The report should indicate that the auditor provided an opinion on internal control.</w:t>
            </w:r>
            <w:r w:rsidR="003D4C71" w:rsidRPr="00F60E3C">
              <w:rPr>
                <w:rFonts w:ascii="Times New Roman" w:eastAsia="Calibri" w:hAnsi="Times New Roman"/>
                <w:snapToGrid/>
                <w:sz w:val="20"/>
              </w:rPr>
              <w:t>.</w:t>
            </w:r>
          </w:p>
        </w:tc>
      </w:tr>
    </w:tbl>
    <w:p w:rsidR="003D4C71" w:rsidRPr="00655100" w:rsidRDefault="003D4C71" w:rsidP="003D4C71">
      <w:pPr>
        <w:widowControl/>
        <w:rPr>
          <w:rFonts w:ascii="Times New Roman" w:eastAsia="Calibri" w:hAnsi="Times New Roman"/>
          <w:snapToGrid/>
          <w:sz w:val="22"/>
          <w:szCs w:val="22"/>
        </w:rPr>
      </w:pPr>
    </w:p>
    <w:p w:rsidR="003D4C71" w:rsidRPr="00655100" w:rsidRDefault="003D4C71" w:rsidP="003D4C71">
      <w:pPr>
        <w:widowControl/>
        <w:rPr>
          <w:rFonts w:ascii="Times New Roman" w:eastAsia="Calibri" w:hAnsi="Times New Roman"/>
          <w:snapToGrid/>
          <w:sz w:val="22"/>
          <w:szCs w:val="22"/>
        </w:rPr>
      </w:pPr>
      <w:r w:rsidRPr="00655100">
        <w:rPr>
          <w:rFonts w:ascii="Times New Roman" w:eastAsia="Calibri" w:hAnsi="Times New Roman"/>
          <w:snapToGrid/>
          <w:sz w:val="22"/>
          <w:szCs w:val="22"/>
        </w:rPr>
        <w:t>2-3</w:t>
      </w:r>
      <w:r>
        <w:rPr>
          <w:rFonts w:ascii="Times New Roman" w:eastAsia="Calibri" w:hAnsi="Times New Roman"/>
          <w:snapToGrid/>
          <w:sz w:val="22"/>
          <w:szCs w:val="22"/>
        </w:rPr>
        <w:t>3</w:t>
      </w:r>
    </w:p>
    <w:p w:rsidR="003D4C71" w:rsidRPr="00655100" w:rsidRDefault="003D4C71" w:rsidP="003D4C71">
      <w:pPr>
        <w:widowControl/>
        <w:rPr>
          <w:rFonts w:ascii="Times New Roman" w:eastAsia="Calibri" w:hAnsi="Times New Roman"/>
          <w:snapToGrid/>
          <w:sz w:val="22"/>
          <w:szCs w:val="22"/>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0"/>
        <w:gridCol w:w="1080"/>
      </w:tblGrid>
      <w:tr w:rsidR="003D4C71" w:rsidRPr="00655100">
        <w:tc>
          <w:tcPr>
            <w:tcW w:w="6930" w:type="dxa"/>
          </w:tcPr>
          <w:p w:rsidR="003D4C71" w:rsidRPr="00655100" w:rsidRDefault="003D4C71" w:rsidP="003D4C71">
            <w:pPr>
              <w:widowControl/>
              <w:jc w:val="center"/>
              <w:rPr>
                <w:rFonts w:ascii="Times New Roman" w:eastAsia="Calibri" w:hAnsi="Times New Roman"/>
                <w:b/>
                <w:snapToGrid/>
                <w:sz w:val="20"/>
              </w:rPr>
            </w:pPr>
            <w:r w:rsidRPr="00655100">
              <w:rPr>
                <w:rFonts w:ascii="Times New Roman" w:eastAsia="Calibri" w:hAnsi="Times New Roman"/>
                <w:b/>
                <w:snapToGrid/>
                <w:sz w:val="20"/>
              </w:rPr>
              <w:t>Statement</w:t>
            </w:r>
          </w:p>
        </w:tc>
        <w:tc>
          <w:tcPr>
            <w:tcW w:w="1080" w:type="dxa"/>
          </w:tcPr>
          <w:p w:rsidR="003D4C71" w:rsidRPr="00655100" w:rsidRDefault="003D4C71" w:rsidP="003D4C71">
            <w:pPr>
              <w:widowControl/>
              <w:jc w:val="center"/>
              <w:rPr>
                <w:rFonts w:ascii="Times New Roman" w:eastAsia="Calibri" w:hAnsi="Times New Roman"/>
                <w:b/>
                <w:snapToGrid/>
                <w:sz w:val="20"/>
              </w:rPr>
            </w:pPr>
            <w:r w:rsidRPr="00655100">
              <w:rPr>
                <w:rFonts w:ascii="Times New Roman" w:eastAsia="Calibri" w:hAnsi="Times New Roman"/>
                <w:b/>
                <w:snapToGrid/>
                <w:sz w:val="20"/>
              </w:rPr>
              <w:t>Type of Audit Report</w:t>
            </w:r>
          </w:p>
        </w:tc>
      </w:tr>
      <w:tr w:rsidR="003D4C71" w:rsidRPr="00655100">
        <w:tc>
          <w:tcPr>
            <w:tcW w:w="6930" w:type="dxa"/>
          </w:tcPr>
          <w:p w:rsidR="003D4C71" w:rsidRPr="00655100" w:rsidRDefault="003D4C71" w:rsidP="003D4C71">
            <w:pPr>
              <w:widowControl/>
              <w:numPr>
                <w:ilvl w:val="0"/>
                <w:numId w:val="26"/>
              </w:numPr>
              <w:contextualSpacing/>
              <w:rPr>
                <w:rFonts w:ascii="Times New Roman" w:eastAsia="Calibri" w:hAnsi="Times New Roman"/>
                <w:snapToGrid/>
                <w:sz w:val="20"/>
              </w:rPr>
            </w:pPr>
            <w:r w:rsidRPr="00655100">
              <w:rPr>
                <w:rFonts w:ascii="Times New Roman" w:eastAsia="Calibri" w:hAnsi="Times New Roman"/>
                <w:snapToGrid/>
                <w:sz w:val="20"/>
              </w:rPr>
              <w:t>The auditors are unable to determine the overall fairness of the financial statements.</w:t>
            </w:r>
          </w:p>
        </w:tc>
        <w:tc>
          <w:tcPr>
            <w:tcW w:w="108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D</w:t>
            </w:r>
          </w:p>
        </w:tc>
      </w:tr>
      <w:tr w:rsidR="003D4C71" w:rsidRPr="00655100">
        <w:tc>
          <w:tcPr>
            <w:tcW w:w="6930" w:type="dxa"/>
          </w:tcPr>
          <w:p w:rsidR="003D4C71" w:rsidRPr="00655100" w:rsidRDefault="003D4C71" w:rsidP="003D4C71">
            <w:pPr>
              <w:widowControl/>
              <w:numPr>
                <w:ilvl w:val="0"/>
                <w:numId w:val="26"/>
              </w:numPr>
              <w:contextualSpacing/>
              <w:rPr>
                <w:rFonts w:ascii="Times New Roman" w:eastAsia="Calibri" w:hAnsi="Times New Roman"/>
                <w:snapToGrid/>
                <w:sz w:val="20"/>
              </w:rPr>
            </w:pPr>
            <w:r w:rsidRPr="00655100">
              <w:rPr>
                <w:rFonts w:ascii="Times New Roman" w:eastAsia="Calibri" w:hAnsi="Times New Roman"/>
                <w:snapToGrid/>
                <w:sz w:val="20"/>
              </w:rPr>
              <w:t>This is the report most clients prefer.</w:t>
            </w:r>
          </w:p>
        </w:tc>
        <w:tc>
          <w:tcPr>
            <w:tcW w:w="108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S</w:t>
            </w:r>
          </w:p>
        </w:tc>
      </w:tr>
      <w:tr w:rsidR="003D4C71" w:rsidRPr="00655100">
        <w:tc>
          <w:tcPr>
            <w:tcW w:w="6930" w:type="dxa"/>
          </w:tcPr>
          <w:p w:rsidR="003D4C71" w:rsidRPr="00655100" w:rsidRDefault="003D4C71" w:rsidP="003D4C71">
            <w:pPr>
              <w:widowControl/>
              <w:numPr>
                <w:ilvl w:val="0"/>
                <w:numId w:val="26"/>
              </w:numPr>
              <w:contextualSpacing/>
              <w:rPr>
                <w:rFonts w:ascii="Times New Roman" w:eastAsia="Calibri" w:hAnsi="Times New Roman"/>
                <w:snapToGrid/>
                <w:sz w:val="20"/>
              </w:rPr>
            </w:pPr>
            <w:r w:rsidRPr="00655100">
              <w:rPr>
                <w:rFonts w:ascii="Times New Roman" w:eastAsia="Calibri" w:hAnsi="Times New Roman"/>
                <w:snapToGrid/>
                <w:sz w:val="20"/>
              </w:rPr>
              <w:t>A limitation on the scope of the audit is significant, but not so as to overshadow an overall opinion.</w:t>
            </w:r>
          </w:p>
        </w:tc>
        <w:tc>
          <w:tcPr>
            <w:tcW w:w="108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Q</w:t>
            </w:r>
          </w:p>
        </w:tc>
      </w:tr>
      <w:tr w:rsidR="003D4C71" w:rsidRPr="00655100">
        <w:tc>
          <w:tcPr>
            <w:tcW w:w="6930" w:type="dxa"/>
          </w:tcPr>
          <w:p w:rsidR="003D4C71" w:rsidRPr="00655100" w:rsidRDefault="003D4C71" w:rsidP="003D4C71">
            <w:pPr>
              <w:widowControl/>
              <w:numPr>
                <w:ilvl w:val="0"/>
                <w:numId w:val="26"/>
              </w:numPr>
              <w:contextualSpacing/>
              <w:rPr>
                <w:rFonts w:ascii="Times New Roman" w:eastAsia="Calibri" w:hAnsi="Times New Roman"/>
                <w:snapToGrid/>
                <w:sz w:val="20"/>
              </w:rPr>
            </w:pPr>
            <w:r w:rsidRPr="00655100">
              <w:rPr>
                <w:rFonts w:ascii="Times New Roman" w:eastAsia="Calibri" w:hAnsi="Times New Roman"/>
                <w:snapToGrid/>
                <w:sz w:val="20"/>
              </w:rPr>
              <w:t>The financial statements are not fairly presented.</w:t>
            </w:r>
          </w:p>
        </w:tc>
        <w:tc>
          <w:tcPr>
            <w:tcW w:w="108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A</w:t>
            </w:r>
          </w:p>
        </w:tc>
      </w:tr>
      <w:tr w:rsidR="003D4C71" w:rsidRPr="00655100">
        <w:tc>
          <w:tcPr>
            <w:tcW w:w="6930" w:type="dxa"/>
          </w:tcPr>
          <w:p w:rsidR="003D4C71" w:rsidRPr="00655100" w:rsidRDefault="003D4C71" w:rsidP="003D4C71">
            <w:pPr>
              <w:widowControl/>
              <w:numPr>
                <w:ilvl w:val="0"/>
                <w:numId w:val="26"/>
              </w:numPr>
              <w:contextualSpacing/>
              <w:rPr>
                <w:rFonts w:ascii="Times New Roman" w:eastAsia="Calibri" w:hAnsi="Times New Roman"/>
                <w:snapToGrid/>
                <w:sz w:val="20"/>
              </w:rPr>
            </w:pPr>
            <w:r w:rsidRPr="00655100">
              <w:rPr>
                <w:rFonts w:ascii="Times New Roman" w:eastAsia="Calibri" w:hAnsi="Times New Roman"/>
                <w:snapToGrid/>
                <w:sz w:val="20"/>
              </w:rPr>
              <w:t>A material departure from GAAP exists, but not so material as to overshadow an overall opinion.</w:t>
            </w:r>
          </w:p>
        </w:tc>
        <w:tc>
          <w:tcPr>
            <w:tcW w:w="108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Q</w:t>
            </w:r>
          </w:p>
        </w:tc>
      </w:tr>
    </w:tbl>
    <w:p w:rsidR="003D4C71" w:rsidRPr="00655100" w:rsidRDefault="003D4C71" w:rsidP="003D4C71">
      <w:pPr>
        <w:widowControl/>
        <w:rPr>
          <w:rFonts w:ascii="Times New Roman" w:eastAsia="Calibri" w:hAnsi="Times New Roman"/>
          <w:snapToGrid/>
          <w:sz w:val="22"/>
          <w:szCs w:val="22"/>
        </w:rPr>
      </w:pPr>
    </w:p>
    <w:p w:rsidR="003D4C71" w:rsidRPr="00655100" w:rsidRDefault="003D4C71" w:rsidP="003D4C71">
      <w:pPr>
        <w:widowControl/>
        <w:rPr>
          <w:rFonts w:ascii="Times New Roman" w:eastAsia="Calibri" w:hAnsi="Times New Roman"/>
          <w:snapToGrid/>
          <w:sz w:val="22"/>
          <w:szCs w:val="22"/>
        </w:rPr>
      </w:pPr>
      <w:r w:rsidRPr="00655100">
        <w:rPr>
          <w:rFonts w:ascii="Times New Roman" w:eastAsia="Calibri" w:hAnsi="Times New Roman"/>
          <w:snapToGrid/>
          <w:sz w:val="22"/>
          <w:szCs w:val="22"/>
        </w:rPr>
        <w:t>2-3</w:t>
      </w:r>
      <w:r>
        <w:rPr>
          <w:rFonts w:ascii="Times New Roman" w:eastAsia="Calibri" w:hAnsi="Times New Roman"/>
          <w:snapToGrid/>
          <w:sz w:val="22"/>
          <w:szCs w:val="22"/>
        </w:rPr>
        <w:t>4</w:t>
      </w:r>
    </w:p>
    <w:p w:rsidR="003D4C71" w:rsidRPr="00655100" w:rsidRDefault="003D4C71" w:rsidP="003D4C71">
      <w:pPr>
        <w:widowControl/>
        <w:rPr>
          <w:rFonts w:ascii="Times New Roman" w:eastAsia="Calibri" w:hAnsi="Times New Roman"/>
          <w:snapToGrid/>
          <w:sz w:val="22"/>
          <w:szCs w:val="22"/>
        </w:rPr>
      </w:pPr>
    </w:p>
    <w:p w:rsidR="003D4C71" w:rsidRPr="00655100" w:rsidRDefault="003D4C71" w:rsidP="003D4C71">
      <w:pPr>
        <w:widowControl/>
        <w:rPr>
          <w:rFonts w:ascii="Times New Roman" w:eastAsia="Calibri" w:hAnsi="Times New Roman"/>
          <w:snapToGrid/>
          <w:sz w:val="22"/>
          <w:szCs w:val="22"/>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990"/>
        <w:gridCol w:w="1368"/>
      </w:tblGrid>
      <w:tr w:rsidR="003D4C71" w:rsidRPr="00002118">
        <w:tc>
          <w:tcPr>
            <w:tcW w:w="6210" w:type="dxa"/>
          </w:tcPr>
          <w:p w:rsidR="003D4C71" w:rsidRPr="00655100" w:rsidRDefault="003D4C71" w:rsidP="003D4C71">
            <w:pPr>
              <w:widowControl/>
              <w:jc w:val="center"/>
              <w:rPr>
                <w:rFonts w:ascii="Times New Roman" w:eastAsia="Calibri" w:hAnsi="Times New Roman"/>
                <w:b/>
                <w:snapToGrid/>
                <w:sz w:val="20"/>
              </w:rPr>
            </w:pPr>
            <w:r w:rsidRPr="00655100">
              <w:rPr>
                <w:rFonts w:ascii="Times New Roman" w:eastAsia="Calibri" w:hAnsi="Times New Roman"/>
                <w:b/>
                <w:snapToGrid/>
                <w:sz w:val="20"/>
              </w:rPr>
              <w:t>Principles</w:t>
            </w:r>
          </w:p>
        </w:tc>
        <w:tc>
          <w:tcPr>
            <w:tcW w:w="990" w:type="dxa"/>
          </w:tcPr>
          <w:p w:rsidR="003D4C71" w:rsidRPr="00655100" w:rsidRDefault="003D4C71" w:rsidP="003D4C71">
            <w:pPr>
              <w:widowControl/>
              <w:jc w:val="center"/>
              <w:rPr>
                <w:rFonts w:ascii="Times New Roman" w:eastAsia="Calibri" w:hAnsi="Times New Roman"/>
                <w:b/>
                <w:snapToGrid/>
                <w:sz w:val="20"/>
              </w:rPr>
            </w:pPr>
            <w:r w:rsidRPr="00655100">
              <w:rPr>
                <w:rFonts w:ascii="Times New Roman" w:eastAsia="Calibri" w:hAnsi="Times New Roman"/>
                <w:b/>
                <w:snapToGrid/>
                <w:sz w:val="20"/>
              </w:rPr>
              <w:t>Yes (Y)  or</w:t>
            </w:r>
          </w:p>
          <w:p w:rsidR="003D4C71" w:rsidRPr="00655100" w:rsidRDefault="003D4C71" w:rsidP="003D4C71">
            <w:pPr>
              <w:widowControl/>
              <w:jc w:val="center"/>
              <w:rPr>
                <w:rFonts w:ascii="Times New Roman" w:eastAsia="Calibri" w:hAnsi="Times New Roman"/>
                <w:b/>
                <w:snapToGrid/>
                <w:sz w:val="20"/>
              </w:rPr>
            </w:pPr>
            <w:r w:rsidRPr="00655100">
              <w:rPr>
                <w:rFonts w:ascii="Times New Roman" w:eastAsia="Calibri" w:hAnsi="Times New Roman"/>
                <w:b/>
                <w:snapToGrid/>
                <w:sz w:val="20"/>
              </w:rPr>
              <w:t>No (N)</w:t>
            </w:r>
          </w:p>
        </w:tc>
        <w:tc>
          <w:tcPr>
            <w:tcW w:w="1368" w:type="dxa"/>
          </w:tcPr>
          <w:p w:rsidR="003D4C71" w:rsidRPr="00655100" w:rsidRDefault="003D4C71" w:rsidP="003D4C71">
            <w:pPr>
              <w:widowControl/>
              <w:jc w:val="center"/>
              <w:rPr>
                <w:rFonts w:ascii="Times New Roman" w:eastAsia="Calibri" w:hAnsi="Times New Roman"/>
                <w:b/>
                <w:snapToGrid/>
                <w:sz w:val="20"/>
              </w:rPr>
            </w:pPr>
            <w:r w:rsidRPr="00655100">
              <w:rPr>
                <w:rFonts w:ascii="Times New Roman" w:eastAsia="Calibri" w:hAnsi="Times New Roman"/>
                <w:b/>
                <w:snapToGrid/>
                <w:sz w:val="20"/>
              </w:rPr>
              <w:t>Comment</w:t>
            </w:r>
          </w:p>
        </w:tc>
      </w:tr>
      <w:tr w:rsidR="003D4C71" w:rsidRPr="00002118">
        <w:tc>
          <w:tcPr>
            <w:tcW w:w="6210" w:type="dxa"/>
          </w:tcPr>
          <w:p w:rsidR="003D4C71" w:rsidRPr="00655100" w:rsidRDefault="003D4C71" w:rsidP="003D4C71">
            <w:pPr>
              <w:widowControl/>
              <w:numPr>
                <w:ilvl w:val="0"/>
                <w:numId w:val="24"/>
              </w:numPr>
              <w:contextualSpacing/>
              <w:rPr>
                <w:rFonts w:ascii="Times New Roman" w:eastAsia="Calibri" w:hAnsi="Times New Roman"/>
                <w:snapToGrid/>
                <w:sz w:val="20"/>
              </w:rPr>
            </w:pPr>
            <w:r w:rsidRPr="00655100">
              <w:rPr>
                <w:rFonts w:ascii="Times New Roman" w:eastAsia="Calibri" w:hAnsi="Times New Roman"/>
                <w:snapToGrid/>
                <w:sz w:val="20"/>
              </w:rPr>
              <w:t>The purpose of an audit is to provide financial statement users with an opinion by the auditor on whether the financial statements are presented fairly, in all material and immaterial respects, in accordance with the applicable financial reporting framework.</w:t>
            </w:r>
          </w:p>
        </w:tc>
        <w:tc>
          <w:tcPr>
            <w:tcW w:w="990" w:type="dxa"/>
          </w:tcPr>
          <w:p w:rsidR="003D4C71" w:rsidRPr="00655100" w:rsidRDefault="003D4C71" w:rsidP="003D4C71">
            <w:pPr>
              <w:widowControl/>
              <w:jc w:val="center"/>
              <w:rPr>
                <w:rFonts w:ascii="Times New Roman" w:eastAsia="Calibri" w:hAnsi="Times New Roman"/>
                <w:snapToGrid/>
                <w:sz w:val="20"/>
              </w:rPr>
            </w:pPr>
            <w:r>
              <w:rPr>
                <w:rFonts w:ascii="Times New Roman" w:eastAsia="Calibri" w:hAnsi="Times New Roman"/>
                <w:snapToGrid/>
                <w:sz w:val="20"/>
              </w:rPr>
              <w:t>N</w:t>
            </w:r>
          </w:p>
        </w:tc>
        <w:tc>
          <w:tcPr>
            <w:tcW w:w="1368" w:type="dxa"/>
          </w:tcPr>
          <w:p w:rsidR="003D4C71" w:rsidRPr="00655100" w:rsidRDefault="003D4C71" w:rsidP="003D4C71">
            <w:pPr>
              <w:widowControl/>
              <w:rPr>
                <w:rFonts w:ascii="Times New Roman" w:eastAsia="Calibri" w:hAnsi="Times New Roman"/>
                <w:snapToGrid/>
                <w:sz w:val="20"/>
              </w:rPr>
            </w:pPr>
            <w:r w:rsidRPr="00655100">
              <w:rPr>
                <w:rFonts w:ascii="Times New Roman" w:eastAsia="Calibri" w:hAnsi="Times New Roman"/>
                <w:snapToGrid/>
                <w:sz w:val="20"/>
              </w:rPr>
              <w:t>Not “immaterial”</w:t>
            </w:r>
          </w:p>
        </w:tc>
      </w:tr>
      <w:tr w:rsidR="003D4C71" w:rsidRPr="00002118">
        <w:tc>
          <w:tcPr>
            <w:tcW w:w="6210" w:type="dxa"/>
          </w:tcPr>
          <w:p w:rsidR="003D4C71" w:rsidRPr="00655100" w:rsidRDefault="003D4C71" w:rsidP="003D4C71">
            <w:pPr>
              <w:widowControl/>
              <w:numPr>
                <w:ilvl w:val="0"/>
                <w:numId w:val="24"/>
              </w:numPr>
              <w:contextualSpacing/>
              <w:rPr>
                <w:rFonts w:ascii="Times New Roman" w:eastAsia="Calibri" w:hAnsi="Times New Roman"/>
                <w:snapToGrid/>
                <w:sz w:val="20"/>
              </w:rPr>
            </w:pPr>
            <w:r w:rsidRPr="00655100">
              <w:rPr>
                <w:rFonts w:ascii="Times New Roman" w:eastAsia="Calibri" w:hAnsi="Times New Roman"/>
                <w:snapToGrid/>
                <w:sz w:val="20"/>
              </w:rPr>
              <w:t>The auditors are responsible for having appropriate competence and capabilities to perform the audit.</w:t>
            </w:r>
          </w:p>
        </w:tc>
        <w:tc>
          <w:tcPr>
            <w:tcW w:w="99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Y</w:t>
            </w:r>
          </w:p>
        </w:tc>
        <w:tc>
          <w:tcPr>
            <w:tcW w:w="1368" w:type="dxa"/>
          </w:tcPr>
          <w:p w:rsidR="003D4C71" w:rsidRPr="00655100" w:rsidRDefault="003D4C71" w:rsidP="003D4C71">
            <w:pPr>
              <w:widowControl/>
              <w:rPr>
                <w:rFonts w:ascii="Times New Roman" w:eastAsia="Calibri" w:hAnsi="Times New Roman"/>
                <w:snapToGrid/>
                <w:sz w:val="20"/>
              </w:rPr>
            </w:pPr>
          </w:p>
        </w:tc>
      </w:tr>
      <w:tr w:rsidR="003D4C71" w:rsidRPr="00002118">
        <w:tc>
          <w:tcPr>
            <w:tcW w:w="6210" w:type="dxa"/>
          </w:tcPr>
          <w:p w:rsidR="003D4C71" w:rsidRPr="00655100" w:rsidRDefault="003D4C71" w:rsidP="003D4C71">
            <w:pPr>
              <w:widowControl/>
              <w:numPr>
                <w:ilvl w:val="0"/>
                <w:numId w:val="24"/>
              </w:numPr>
              <w:contextualSpacing/>
              <w:rPr>
                <w:rFonts w:ascii="Times New Roman" w:eastAsia="Calibri" w:hAnsi="Times New Roman"/>
                <w:snapToGrid/>
                <w:sz w:val="20"/>
              </w:rPr>
            </w:pPr>
            <w:r w:rsidRPr="00655100">
              <w:rPr>
                <w:rFonts w:ascii="Times New Roman" w:eastAsia="Calibri" w:hAnsi="Times New Roman"/>
                <w:snapToGrid/>
                <w:sz w:val="20"/>
              </w:rPr>
              <w:t>The auditor is unable to obtain absolute assurance that the financial statements are free from material misstatement.</w:t>
            </w:r>
          </w:p>
        </w:tc>
        <w:tc>
          <w:tcPr>
            <w:tcW w:w="99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Y</w:t>
            </w:r>
          </w:p>
        </w:tc>
        <w:tc>
          <w:tcPr>
            <w:tcW w:w="1368" w:type="dxa"/>
          </w:tcPr>
          <w:p w:rsidR="003D4C71" w:rsidRPr="00655100" w:rsidRDefault="003D4C71" w:rsidP="003D4C71">
            <w:pPr>
              <w:widowControl/>
              <w:rPr>
                <w:rFonts w:ascii="Times New Roman" w:eastAsia="Calibri" w:hAnsi="Times New Roman"/>
                <w:snapToGrid/>
                <w:sz w:val="20"/>
              </w:rPr>
            </w:pPr>
          </w:p>
        </w:tc>
      </w:tr>
      <w:tr w:rsidR="003D4C71" w:rsidRPr="00002118">
        <w:tc>
          <w:tcPr>
            <w:tcW w:w="6210" w:type="dxa"/>
          </w:tcPr>
          <w:p w:rsidR="003D4C71" w:rsidRPr="00655100" w:rsidRDefault="003D4C71" w:rsidP="003D4C71">
            <w:pPr>
              <w:widowControl/>
              <w:numPr>
                <w:ilvl w:val="0"/>
                <w:numId w:val="24"/>
              </w:numPr>
              <w:contextualSpacing/>
              <w:rPr>
                <w:rFonts w:ascii="Times New Roman" w:eastAsia="Calibri" w:hAnsi="Times New Roman"/>
                <w:snapToGrid/>
                <w:sz w:val="20"/>
              </w:rPr>
            </w:pPr>
            <w:r w:rsidRPr="00655100">
              <w:rPr>
                <w:rFonts w:ascii="Times New Roman" w:eastAsia="Calibri" w:hAnsi="Times New Roman"/>
                <w:snapToGrid/>
                <w:sz w:val="20"/>
              </w:rPr>
              <w:t>The opinion states whether the financial statements are presented fairly, in all material respects, in accordance with the applicable financial reporting framework.</w:t>
            </w:r>
          </w:p>
        </w:tc>
        <w:tc>
          <w:tcPr>
            <w:tcW w:w="99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Y</w:t>
            </w:r>
          </w:p>
        </w:tc>
        <w:tc>
          <w:tcPr>
            <w:tcW w:w="1368" w:type="dxa"/>
          </w:tcPr>
          <w:p w:rsidR="003D4C71" w:rsidRPr="00655100" w:rsidRDefault="003D4C71" w:rsidP="003D4C71">
            <w:pPr>
              <w:widowControl/>
              <w:rPr>
                <w:rFonts w:ascii="Times New Roman" w:eastAsia="Calibri" w:hAnsi="Times New Roman"/>
                <w:snapToGrid/>
                <w:sz w:val="20"/>
              </w:rPr>
            </w:pPr>
          </w:p>
        </w:tc>
      </w:tr>
      <w:tr w:rsidR="003D4C71" w:rsidRPr="00002118">
        <w:tc>
          <w:tcPr>
            <w:tcW w:w="6210" w:type="dxa"/>
          </w:tcPr>
          <w:p w:rsidR="003D4C71" w:rsidRPr="00655100" w:rsidRDefault="003D4C71" w:rsidP="003D4C71">
            <w:pPr>
              <w:widowControl/>
              <w:numPr>
                <w:ilvl w:val="0"/>
                <w:numId w:val="24"/>
              </w:numPr>
              <w:contextualSpacing/>
              <w:rPr>
                <w:rFonts w:ascii="Times New Roman" w:eastAsia="Calibri" w:hAnsi="Times New Roman"/>
                <w:snapToGrid/>
                <w:sz w:val="20"/>
              </w:rPr>
            </w:pPr>
            <w:r w:rsidRPr="00655100">
              <w:rPr>
                <w:rFonts w:ascii="Times New Roman" w:eastAsia="Calibri" w:hAnsi="Times New Roman"/>
                <w:snapToGrid/>
                <w:sz w:val="20"/>
              </w:rPr>
              <w:t>Inherent limitations of an audit include the need to conduct an audit to achieve a balance between the benefit to management and the benefit to the auditors.</w:t>
            </w:r>
          </w:p>
        </w:tc>
        <w:tc>
          <w:tcPr>
            <w:tcW w:w="990" w:type="dxa"/>
          </w:tcPr>
          <w:p w:rsidR="003D4C71" w:rsidRPr="00655100" w:rsidRDefault="003D4C71" w:rsidP="003D4C71">
            <w:pPr>
              <w:widowControl/>
              <w:jc w:val="center"/>
              <w:rPr>
                <w:rFonts w:ascii="Times New Roman" w:eastAsia="Calibri" w:hAnsi="Times New Roman"/>
                <w:snapToGrid/>
                <w:sz w:val="20"/>
              </w:rPr>
            </w:pPr>
            <w:r w:rsidRPr="00655100">
              <w:rPr>
                <w:rFonts w:ascii="Times New Roman" w:eastAsia="Calibri" w:hAnsi="Times New Roman"/>
                <w:snapToGrid/>
                <w:sz w:val="20"/>
              </w:rPr>
              <w:t>N</w:t>
            </w:r>
          </w:p>
        </w:tc>
        <w:tc>
          <w:tcPr>
            <w:tcW w:w="1368" w:type="dxa"/>
          </w:tcPr>
          <w:p w:rsidR="003D4C71" w:rsidRPr="00655100" w:rsidRDefault="003D4C71" w:rsidP="00F932AF">
            <w:pPr>
              <w:widowControl/>
              <w:rPr>
                <w:rFonts w:ascii="Times New Roman" w:eastAsia="Calibri" w:hAnsi="Times New Roman"/>
                <w:snapToGrid/>
                <w:sz w:val="20"/>
              </w:rPr>
            </w:pPr>
            <w:r w:rsidRPr="00655100">
              <w:rPr>
                <w:rFonts w:ascii="Times New Roman" w:eastAsia="Calibri" w:hAnsi="Times New Roman"/>
                <w:snapToGrid/>
                <w:sz w:val="20"/>
              </w:rPr>
              <w:t>The balance is proper between benefit and cost.</w:t>
            </w:r>
          </w:p>
        </w:tc>
      </w:tr>
    </w:tbl>
    <w:p w:rsidR="003D4C71" w:rsidRPr="00655100" w:rsidRDefault="003D4C71" w:rsidP="003D4C71">
      <w:pPr>
        <w:widowControl/>
        <w:rPr>
          <w:rFonts w:ascii="Times New Roman" w:eastAsia="Calibri" w:hAnsi="Times New Roman"/>
          <w:snapToGrid/>
          <w:sz w:val="22"/>
          <w:szCs w:val="22"/>
        </w:rPr>
      </w:pPr>
    </w:p>
    <w:p w:rsidR="003D4C71" w:rsidRPr="00655100" w:rsidRDefault="003D4C71" w:rsidP="009C005C">
      <w:pPr>
        <w:keepNext/>
        <w:keepLines/>
        <w:widowControl/>
        <w:rPr>
          <w:rFonts w:ascii="Times New Roman" w:eastAsia="Calibri" w:hAnsi="Times New Roman"/>
          <w:snapToGrid/>
          <w:sz w:val="22"/>
          <w:szCs w:val="22"/>
        </w:rPr>
      </w:pPr>
      <w:r w:rsidRPr="00655100">
        <w:rPr>
          <w:rFonts w:ascii="Times New Roman" w:eastAsia="Calibri" w:hAnsi="Times New Roman"/>
          <w:snapToGrid/>
          <w:sz w:val="22"/>
          <w:szCs w:val="22"/>
        </w:rPr>
        <w:lastRenderedPageBreak/>
        <w:t>2-3</w:t>
      </w:r>
      <w:r>
        <w:rPr>
          <w:rFonts w:ascii="Times New Roman" w:eastAsia="Calibri" w:hAnsi="Times New Roman"/>
          <w:snapToGrid/>
          <w:sz w:val="22"/>
          <w:szCs w:val="22"/>
        </w:rPr>
        <w:t>5</w:t>
      </w:r>
      <w:r w:rsidR="00E9581B">
        <w:rPr>
          <w:rFonts w:ascii="Times New Roman" w:eastAsia="Calibri" w:hAnsi="Times New Roman"/>
          <w:snapToGrid/>
          <w:sz w:val="22"/>
          <w:szCs w:val="22"/>
        </w:rPr>
        <w:tab/>
        <w:t>Definitions</w:t>
      </w:r>
    </w:p>
    <w:p w:rsidR="003D4C71" w:rsidRPr="00655100" w:rsidRDefault="003D4C71" w:rsidP="009C005C">
      <w:pPr>
        <w:keepNext/>
        <w:keepLines/>
        <w:widowControl/>
        <w:ind w:left="720"/>
        <w:rPr>
          <w:rFonts w:ascii="Times New Roman" w:eastAsia="Calibri" w:hAnsi="Times New Roman"/>
          <w:snapToGrid/>
          <w:sz w:val="22"/>
          <w:szCs w:val="22"/>
        </w:rPr>
      </w:pPr>
      <w:r>
        <w:rPr>
          <w:rFonts w:ascii="Times New Roman" w:eastAsia="Calibri" w:hAnsi="Times New Roman"/>
          <w:snapToGrid/>
          <w:sz w:val="22"/>
          <w:szCs w:val="22"/>
        </w:rPr>
        <w:t>a</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3</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ab/>
        <w:t xml:space="preserve">  </w:t>
      </w:r>
      <w:r w:rsidRPr="00655100">
        <w:rPr>
          <w:rFonts w:ascii="Times New Roman" w:eastAsia="Calibri" w:hAnsi="Times New Roman"/>
          <w:snapToGrid/>
          <w:sz w:val="22"/>
          <w:szCs w:val="22"/>
        </w:rPr>
        <w:t>Agreed-upon procedures report</w:t>
      </w:r>
      <w:r>
        <w:rPr>
          <w:rFonts w:ascii="Times New Roman" w:eastAsia="Calibri" w:hAnsi="Times New Roman"/>
          <w:snapToGrid/>
          <w:sz w:val="22"/>
          <w:szCs w:val="22"/>
        </w:rPr>
        <w:t>.</w:t>
      </w:r>
    </w:p>
    <w:p w:rsidR="003D4C71" w:rsidRPr="00655100" w:rsidRDefault="003D4C71" w:rsidP="009C005C">
      <w:pPr>
        <w:keepNext/>
        <w:keepLines/>
        <w:widowControl/>
        <w:ind w:left="720"/>
        <w:rPr>
          <w:rFonts w:ascii="Times New Roman" w:eastAsia="Calibri" w:hAnsi="Times New Roman"/>
          <w:snapToGrid/>
          <w:sz w:val="22"/>
          <w:szCs w:val="22"/>
        </w:rPr>
      </w:pPr>
      <w:r>
        <w:rPr>
          <w:rFonts w:ascii="Times New Roman" w:eastAsia="Calibri" w:hAnsi="Times New Roman"/>
          <w:snapToGrid/>
          <w:sz w:val="22"/>
          <w:szCs w:val="22"/>
        </w:rPr>
        <w:t>b</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 xml:space="preserve">7 </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655100">
        <w:rPr>
          <w:rFonts w:ascii="Times New Roman" w:eastAsia="Calibri" w:hAnsi="Times New Roman"/>
          <w:snapToGrid/>
          <w:sz w:val="22"/>
          <w:szCs w:val="22"/>
        </w:rPr>
        <w:t>Audit report.</w:t>
      </w:r>
    </w:p>
    <w:p w:rsidR="003D4C71" w:rsidRPr="00655100" w:rsidRDefault="003D4C71" w:rsidP="009C005C">
      <w:pPr>
        <w:keepNext/>
        <w:keepLines/>
        <w:widowControl/>
        <w:ind w:left="720"/>
        <w:rPr>
          <w:rFonts w:ascii="Times New Roman" w:eastAsia="Calibri" w:hAnsi="Times New Roman"/>
          <w:snapToGrid/>
          <w:sz w:val="22"/>
          <w:szCs w:val="22"/>
        </w:rPr>
      </w:pPr>
      <w:r>
        <w:rPr>
          <w:rFonts w:ascii="Times New Roman" w:eastAsia="Calibri" w:hAnsi="Times New Roman"/>
          <w:snapToGrid/>
          <w:sz w:val="22"/>
          <w:szCs w:val="22"/>
        </w:rPr>
        <w:t>c</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6</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655100">
        <w:rPr>
          <w:rFonts w:ascii="Times New Roman" w:eastAsia="Calibri" w:hAnsi="Times New Roman"/>
          <w:snapToGrid/>
          <w:sz w:val="22"/>
          <w:szCs w:val="22"/>
        </w:rPr>
        <w:t xml:space="preserve"> An unintentional misstatement.</w:t>
      </w:r>
    </w:p>
    <w:p w:rsidR="003D4C71" w:rsidRPr="00655100" w:rsidRDefault="003D4C71" w:rsidP="009C005C">
      <w:pPr>
        <w:keepNext/>
        <w:keepLines/>
        <w:widowControl/>
        <w:ind w:left="720"/>
        <w:rPr>
          <w:rFonts w:ascii="Times New Roman" w:eastAsia="Calibri" w:hAnsi="Times New Roman"/>
          <w:snapToGrid/>
          <w:sz w:val="22"/>
          <w:szCs w:val="22"/>
        </w:rPr>
      </w:pPr>
      <w:r>
        <w:rPr>
          <w:rFonts w:ascii="Times New Roman" w:eastAsia="Calibri" w:hAnsi="Times New Roman"/>
          <w:snapToGrid/>
          <w:sz w:val="22"/>
          <w:szCs w:val="22"/>
        </w:rPr>
        <w:t>d</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8</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655100">
        <w:rPr>
          <w:rFonts w:ascii="Times New Roman" w:eastAsia="Calibri" w:hAnsi="Times New Roman"/>
          <w:snapToGrid/>
          <w:sz w:val="22"/>
          <w:szCs w:val="22"/>
        </w:rPr>
        <w:t xml:space="preserve">  Generally accepted accounting principles.</w:t>
      </w:r>
    </w:p>
    <w:p w:rsidR="003D4C71" w:rsidRPr="00655100" w:rsidRDefault="003D4C71" w:rsidP="009C005C">
      <w:pPr>
        <w:keepNext/>
        <w:keepLines/>
        <w:widowControl/>
        <w:ind w:left="720"/>
        <w:rPr>
          <w:rFonts w:ascii="Times New Roman" w:eastAsia="Calibri" w:hAnsi="Times New Roman"/>
          <w:snapToGrid/>
          <w:sz w:val="22"/>
          <w:szCs w:val="22"/>
        </w:rPr>
      </w:pPr>
      <w:r>
        <w:rPr>
          <w:rFonts w:ascii="Times New Roman" w:eastAsia="Calibri" w:hAnsi="Times New Roman"/>
          <w:snapToGrid/>
          <w:sz w:val="22"/>
          <w:szCs w:val="22"/>
        </w:rPr>
        <w:t>e</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12</w:t>
      </w:r>
      <w:r w:rsidRPr="00655100">
        <w:rPr>
          <w:rFonts w:ascii="Times New Roman" w:eastAsia="Calibri" w:hAnsi="Times New Roman"/>
          <w:snapToGrid/>
          <w:sz w:val="22"/>
          <w:szCs w:val="22"/>
        </w:rPr>
        <w:t xml:space="preserve">    Misappropriation of ass</w:t>
      </w:r>
      <w:r>
        <w:rPr>
          <w:rFonts w:ascii="Times New Roman" w:eastAsia="Calibri" w:hAnsi="Times New Roman"/>
          <w:snapToGrid/>
          <w:sz w:val="22"/>
          <w:szCs w:val="22"/>
        </w:rPr>
        <w:t>e</w:t>
      </w:r>
      <w:r w:rsidRPr="00655100">
        <w:rPr>
          <w:rFonts w:ascii="Times New Roman" w:eastAsia="Calibri" w:hAnsi="Times New Roman"/>
          <w:snapToGrid/>
          <w:sz w:val="22"/>
          <w:szCs w:val="22"/>
        </w:rPr>
        <w:t>ts.</w:t>
      </w:r>
    </w:p>
    <w:p w:rsidR="003D4C71" w:rsidRPr="00655100" w:rsidRDefault="003D4C71" w:rsidP="009C005C">
      <w:pPr>
        <w:keepNext/>
        <w:keepLines/>
        <w:widowControl/>
        <w:ind w:left="720"/>
        <w:rPr>
          <w:rFonts w:ascii="Times New Roman" w:eastAsia="Calibri" w:hAnsi="Times New Roman"/>
          <w:snapToGrid/>
          <w:sz w:val="22"/>
          <w:szCs w:val="22"/>
        </w:rPr>
      </w:pPr>
      <w:r>
        <w:rPr>
          <w:rFonts w:ascii="Times New Roman" w:eastAsia="Calibri" w:hAnsi="Times New Roman"/>
          <w:snapToGrid/>
          <w:sz w:val="22"/>
          <w:szCs w:val="22"/>
        </w:rPr>
        <w:t>f</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4</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655100">
        <w:rPr>
          <w:rFonts w:ascii="Times New Roman" w:eastAsia="Calibri" w:hAnsi="Times New Roman"/>
          <w:snapToGrid/>
          <w:sz w:val="22"/>
          <w:szCs w:val="22"/>
        </w:rPr>
        <w:t xml:space="preserve"> A review of a CPA firm conducted by PCAOB.</w:t>
      </w:r>
    </w:p>
    <w:p w:rsidR="003D4C71" w:rsidRPr="00655100" w:rsidRDefault="003D4C71" w:rsidP="003D4C71">
      <w:pPr>
        <w:widowControl/>
        <w:ind w:left="720"/>
        <w:rPr>
          <w:rFonts w:ascii="Times New Roman" w:eastAsia="Calibri" w:hAnsi="Times New Roman"/>
          <w:snapToGrid/>
          <w:sz w:val="22"/>
          <w:szCs w:val="22"/>
        </w:rPr>
      </w:pPr>
      <w:r>
        <w:rPr>
          <w:rFonts w:ascii="Times New Roman" w:eastAsia="Calibri" w:hAnsi="Times New Roman"/>
          <w:snapToGrid/>
          <w:sz w:val="22"/>
          <w:szCs w:val="22"/>
        </w:rPr>
        <w:t>g</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10</w:t>
      </w:r>
      <w:r w:rsidRPr="00655100">
        <w:rPr>
          <w:rFonts w:ascii="Times New Roman" w:eastAsia="Calibri" w:hAnsi="Times New Roman"/>
          <w:snapToGrid/>
          <w:sz w:val="22"/>
          <w:szCs w:val="22"/>
        </w:rPr>
        <w:t xml:space="preserve">     Human resources and monitoring.</w:t>
      </w:r>
    </w:p>
    <w:p w:rsidR="003D4C71" w:rsidRPr="00655100" w:rsidRDefault="003D4C71" w:rsidP="003D4C71">
      <w:pPr>
        <w:widowControl/>
        <w:ind w:left="720"/>
        <w:rPr>
          <w:rFonts w:ascii="Times New Roman" w:eastAsia="Calibri" w:hAnsi="Times New Roman"/>
          <w:snapToGrid/>
          <w:sz w:val="22"/>
          <w:szCs w:val="22"/>
        </w:rPr>
      </w:pPr>
      <w:r>
        <w:rPr>
          <w:rFonts w:ascii="Times New Roman" w:eastAsia="Calibri" w:hAnsi="Times New Roman"/>
          <w:snapToGrid/>
          <w:sz w:val="22"/>
          <w:szCs w:val="22"/>
        </w:rPr>
        <w:t>h</w:t>
      </w:r>
      <w:r w:rsidRPr="00655100">
        <w:rPr>
          <w:rFonts w:ascii="Times New Roman" w:eastAsia="Calibri" w:hAnsi="Times New Roman"/>
          <w:snapToGrid/>
          <w:sz w:val="22"/>
          <w:szCs w:val="22"/>
        </w:rPr>
        <w:t>.</w:t>
      </w:r>
      <w:r w:rsidRPr="00655100">
        <w:rPr>
          <w:rFonts w:ascii="Times New Roman" w:eastAsia="Calibri" w:hAnsi="Times New Roman"/>
          <w:snapToGrid/>
          <w:sz w:val="22"/>
          <w:szCs w:val="22"/>
        </w:rPr>
        <w:tab/>
      </w:r>
      <w:r>
        <w:rPr>
          <w:rFonts w:ascii="Times New Roman" w:eastAsia="Calibri" w:hAnsi="Times New Roman"/>
          <w:snapToGrid/>
          <w:sz w:val="22"/>
          <w:szCs w:val="22"/>
        </w:rPr>
        <w:t>2</w:t>
      </w:r>
      <w:r w:rsidRPr="00655100">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655100">
        <w:rPr>
          <w:rFonts w:ascii="Times New Roman" w:eastAsia="Calibri" w:hAnsi="Times New Roman"/>
          <w:snapToGrid/>
          <w:sz w:val="22"/>
          <w:szCs w:val="22"/>
        </w:rPr>
        <w:t>A CPA firm that may conduct audits of public or nonpublic companies.</w:t>
      </w:r>
    </w:p>
    <w:p w:rsidR="003D4C71" w:rsidRPr="00655100" w:rsidRDefault="003D4C71" w:rsidP="003D4C71">
      <w:pPr>
        <w:widowControl/>
        <w:rPr>
          <w:rFonts w:ascii="Times New Roman" w:eastAsia="Calibri" w:hAnsi="Times New Roman"/>
          <w:snapToGrid/>
          <w:sz w:val="22"/>
          <w:szCs w:val="22"/>
        </w:rPr>
      </w:pPr>
    </w:p>
    <w:p w:rsidR="003D4C71" w:rsidRPr="00002118" w:rsidRDefault="003D4C71" w:rsidP="0040727A">
      <w:pPr>
        <w:keepNext/>
        <w:keepLines/>
        <w:widowControl/>
        <w:rPr>
          <w:rFonts w:ascii="Times New Roman" w:hAnsi="Times New Roman"/>
          <w:sz w:val="22"/>
          <w:szCs w:val="22"/>
        </w:rPr>
      </w:pPr>
      <w:r>
        <w:rPr>
          <w:rFonts w:ascii="Times New Roman" w:hAnsi="Times New Roman"/>
          <w:b/>
          <w:sz w:val="22"/>
          <w:szCs w:val="22"/>
        </w:rPr>
        <w:t>P</w:t>
      </w:r>
      <w:r w:rsidRPr="00002118">
        <w:rPr>
          <w:rFonts w:ascii="Times New Roman" w:hAnsi="Times New Roman"/>
          <w:b/>
          <w:sz w:val="22"/>
          <w:szCs w:val="22"/>
        </w:rPr>
        <w:t>roblems</w:t>
      </w:r>
    </w:p>
    <w:p w:rsidR="003D4C71" w:rsidRPr="00002118" w:rsidRDefault="003D4C71" w:rsidP="0040727A">
      <w:pPr>
        <w:keepNext/>
        <w:keepLines/>
        <w:widowControl/>
        <w:ind w:left="720" w:hanging="720"/>
        <w:rPr>
          <w:rFonts w:ascii="Times New Roman" w:hAnsi="Times New Roman"/>
          <w:sz w:val="22"/>
          <w:szCs w:val="22"/>
        </w:rPr>
      </w:pPr>
      <w:r w:rsidRPr="00002118">
        <w:rPr>
          <w:rFonts w:ascii="Times New Roman" w:hAnsi="Times New Roman"/>
          <w:sz w:val="22"/>
          <w:szCs w:val="22"/>
        </w:rPr>
        <w:t>2-3</w:t>
      </w:r>
      <w:r>
        <w:rPr>
          <w:rFonts w:ascii="Times New Roman" w:hAnsi="Times New Roman"/>
          <w:sz w:val="22"/>
          <w:szCs w:val="22"/>
        </w:rPr>
        <w:t>6</w:t>
      </w:r>
      <w:r w:rsidRPr="00002118">
        <w:rPr>
          <w:rFonts w:ascii="Times New Roman" w:hAnsi="Times New Roman"/>
          <w:sz w:val="22"/>
          <w:szCs w:val="22"/>
        </w:rPr>
        <w:tab/>
        <w:t>SOLUTION:  White Company (Estimated time:  20 minutes)</w:t>
      </w:r>
    </w:p>
    <w:p w:rsidR="003D4C71" w:rsidRPr="00002118" w:rsidRDefault="003D4C71" w:rsidP="0040727A">
      <w:pPr>
        <w:keepNext/>
        <w:keepLines/>
        <w:widowControl/>
        <w:rPr>
          <w:rFonts w:ascii="Times New Roman" w:hAnsi="Times New Roman"/>
          <w:sz w:val="22"/>
          <w:szCs w:val="22"/>
        </w:rPr>
      </w:pPr>
    </w:p>
    <w:p w:rsidR="003D4C71" w:rsidRPr="00002118" w:rsidRDefault="003D4C71" w:rsidP="00AD6C54">
      <w:pPr>
        <w:keepNext/>
        <w:keepLines/>
        <w:widowControl/>
        <w:spacing w:after="120"/>
        <w:ind w:left="1440" w:hanging="720"/>
        <w:rPr>
          <w:rFonts w:ascii="Times New Roman" w:hAnsi="Times New Roman"/>
          <w:sz w:val="22"/>
          <w:szCs w:val="22"/>
        </w:rPr>
      </w:pPr>
      <w:r w:rsidRPr="00002118">
        <w:rPr>
          <w:rFonts w:ascii="Times New Roman" w:hAnsi="Times New Roman"/>
          <w:sz w:val="22"/>
          <w:szCs w:val="22"/>
        </w:rPr>
        <w:t>(a)</w:t>
      </w:r>
      <w:r w:rsidRPr="00002118">
        <w:rPr>
          <w:rFonts w:ascii="Times New Roman" w:hAnsi="Times New Roman"/>
          <w:sz w:val="22"/>
          <w:szCs w:val="22"/>
        </w:rPr>
        <w:tab/>
        <w:t>No, Rezzo would not be justified in complying with White's request.  Although Rezzo is a CPA, he has not audited the financial statements of White Company in accordance with generally accepted auditing standards.  Preparation of financial statements cannot be construed as synonymous with auditing the statements.  Furthermore, because of Rezzo's deep involvement with White Company, it is questionable whether he could maintain an independence of mental attitude if he did audit the financial statements.</w:t>
      </w:r>
    </w:p>
    <w:p w:rsidR="003D4C71" w:rsidRPr="00002118" w:rsidRDefault="003D4C71" w:rsidP="00AD6C54">
      <w:pPr>
        <w:widowControl/>
        <w:spacing w:after="120"/>
        <w:ind w:left="1440" w:hanging="720"/>
        <w:rPr>
          <w:rFonts w:ascii="Times New Roman" w:hAnsi="Times New Roman"/>
          <w:sz w:val="22"/>
          <w:szCs w:val="22"/>
        </w:rPr>
      </w:pPr>
      <w:r w:rsidRPr="00002118">
        <w:rPr>
          <w:rFonts w:ascii="Times New Roman" w:hAnsi="Times New Roman"/>
          <w:sz w:val="22"/>
          <w:szCs w:val="22"/>
        </w:rPr>
        <w:t>(b)</w:t>
      </w:r>
      <w:r w:rsidRPr="00002118">
        <w:rPr>
          <w:rFonts w:ascii="Times New Roman" w:hAnsi="Times New Roman"/>
          <w:sz w:val="22"/>
          <w:szCs w:val="22"/>
        </w:rPr>
        <w:tab/>
        <w:t>If Rezzo were justified in issuing a standard audit report on the financial statements of White Company, he should not do so until he has completed an audit of the financial statements.  The auditor does not express an opinion on financial statements without first performing an audit.</w:t>
      </w:r>
    </w:p>
    <w:p w:rsidR="003D4C71" w:rsidRPr="00002118" w:rsidRDefault="003D4C71" w:rsidP="00AD6C54">
      <w:pPr>
        <w:widowControl/>
        <w:spacing w:after="120"/>
        <w:ind w:left="1440" w:hanging="720"/>
        <w:rPr>
          <w:rFonts w:ascii="Times New Roman" w:hAnsi="Times New Roman"/>
          <w:sz w:val="22"/>
          <w:szCs w:val="22"/>
        </w:rPr>
      </w:pPr>
      <w:r w:rsidRPr="00002118">
        <w:rPr>
          <w:rFonts w:ascii="Times New Roman" w:hAnsi="Times New Roman"/>
          <w:sz w:val="22"/>
          <w:szCs w:val="22"/>
        </w:rPr>
        <w:t>(c)</w:t>
      </w:r>
      <w:r w:rsidRPr="00002118">
        <w:rPr>
          <w:rFonts w:ascii="Times New Roman" w:hAnsi="Times New Roman"/>
          <w:sz w:val="22"/>
          <w:szCs w:val="22"/>
        </w:rPr>
        <w:tab/>
        <w:t>No, it would not be reasonable for the public accounting firm employing Rezzo to assign him to the audit of the White Company financial statements.  Having himself prepared the financial statements, Rezzo would be in the position of attempting to independently evaluate the products of his own work.  Independence of mental attitude in the appraisal of one's own work is extremely doubtful.</w:t>
      </w:r>
    </w:p>
    <w:p w:rsidR="003D4C71" w:rsidRPr="00002118" w:rsidRDefault="003D4C71">
      <w:pPr>
        <w:widowControl/>
        <w:rPr>
          <w:rFonts w:ascii="Times New Roman" w:hAnsi="Times New Roman"/>
          <w:sz w:val="22"/>
          <w:szCs w:val="22"/>
        </w:rPr>
      </w:pPr>
    </w:p>
    <w:p w:rsidR="003D4C71" w:rsidRDefault="003D4C71">
      <w:pPr>
        <w:widowControl/>
        <w:rPr>
          <w:rFonts w:ascii="Times New Roman" w:hAnsi="Times New Roman"/>
          <w:sz w:val="22"/>
        </w:rPr>
      </w:pPr>
    </w:p>
    <w:p w:rsidR="003D4C71" w:rsidRDefault="003D4C71">
      <w:pPr>
        <w:widowControl/>
        <w:ind w:left="720" w:hanging="720"/>
        <w:rPr>
          <w:rFonts w:ascii="Times New Roman" w:hAnsi="Times New Roman"/>
          <w:sz w:val="22"/>
        </w:rPr>
      </w:pPr>
      <w:r>
        <w:rPr>
          <w:rFonts w:ascii="Times New Roman" w:hAnsi="Times New Roman"/>
          <w:sz w:val="22"/>
        </w:rPr>
        <w:t>2-37</w:t>
      </w:r>
      <w:r>
        <w:rPr>
          <w:rFonts w:ascii="Times New Roman" w:hAnsi="Times New Roman"/>
          <w:sz w:val="22"/>
        </w:rPr>
        <w:tab/>
        <w:t>SOLUTION:  Gray Manufacturing Corporation (Estimated time:  25 minutes)</w:t>
      </w:r>
    </w:p>
    <w:p w:rsidR="003D4C71" w:rsidRDefault="003D4C71">
      <w:pPr>
        <w:widowControl/>
        <w:rPr>
          <w:rFonts w:ascii="Times New Roman" w:hAnsi="Times New Roman"/>
          <w:sz w:val="22"/>
        </w:rPr>
      </w:pPr>
    </w:p>
    <w:p w:rsidR="003D4C71" w:rsidRDefault="003D4C71">
      <w:pPr>
        <w:widowControl/>
        <w:ind w:left="864"/>
        <w:rPr>
          <w:rFonts w:ascii="Times New Roman" w:hAnsi="Times New Roman"/>
          <w:sz w:val="22"/>
        </w:rPr>
      </w:pPr>
      <w:r>
        <w:rPr>
          <w:rFonts w:ascii="Times New Roman" w:hAnsi="Times New Roman"/>
          <w:sz w:val="22"/>
        </w:rPr>
        <w:t>The following memorandum summarizes the response of Bart James, CPA, to the request of a client for extension of the attest function to the problem of pollution control.</w:t>
      </w:r>
    </w:p>
    <w:p w:rsidR="003D4C71" w:rsidRDefault="003D4C71">
      <w:pPr>
        <w:widowControl/>
        <w:rPr>
          <w:rFonts w:ascii="Times New Roman" w:hAnsi="Times New Roman"/>
          <w:sz w:val="22"/>
        </w:rPr>
      </w:pPr>
    </w:p>
    <w:p w:rsidR="003D4C71" w:rsidRDefault="003D4C71" w:rsidP="00586A35">
      <w:pPr>
        <w:keepNext/>
        <w:keepLines/>
        <w:widowControl/>
        <w:ind w:firstLine="864"/>
        <w:rPr>
          <w:rFonts w:ascii="Times New Roman" w:hAnsi="Times New Roman"/>
          <w:sz w:val="22"/>
        </w:rPr>
      </w:pPr>
      <w:r>
        <w:rPr>
          <w:rFonts w:ascii="Times New Roman" w:hAnsi="Times New Roman"/>
          <w:sz w:val="22"/>
        </w:rPr>
        <w:t>Dear John:</w:t>
      </w:r>
    </w:p>
    <w:p w:rsidR="003D4C71" w:rsidRDefault="003D4C71" w:rsidP="00586A35">
      <w:pPr>
        <w:keepNext/>
        <w:keepLines/>
        <w:widowControl/>
        <w:rPr>
          <w:rFonts w:ascii="Times New Roman" w:hAnsi="Times New Roman"/>
          <w:sz w:val="22"/>
        </w:rPr>
      </w:pPr>
    </w:p>
    <w:p w:rsidR="003D4C71" w:rsidRDefault="003D4C71" w:rsidP="00586A35">
      <w:pPr>
        <w:pStyle w:val="BodyTextIndent2"/>
        <w:keepNext/>
        <w:keepLines/>
        <w:ind w:left="864"/>
      </w:pPr>
      <w:r>
        <w:t>As much as I support your strenuous efforts to minimize air and water pollution from the manufacturing operations of your company, there are specific reasons which make it impossible for me as a CPA to attest to the extent of your accomplishments in this area along the lines you have suggested.  When we perform the attest function with respect to your financial statements each year, we are expressing our professional opinion that your financial statements are prepared in conformity with certain standards, which we call "generally accepted accounting principles." In order for us to attest to the effectiveness of your pollution control program, recognized standards would have to be established in this field.  No such standards presently exist for a factory to the best of my knowledge.  Of course the federal government has set standards for exhaust emissions on automobile engines and we could, by retaining independent consulting engineers, obtain a basis for attesting to the compliance of a given automobile engine to those standards.</w:t>
      </w:r>
    </w:p>
    <w:p w:rsidR="003D4C71" w:rsidRDefault="003D4C71" w:rsidP="003D4C71">
      <w:pPr>
        <w:widowControl/>
        <w:ind w:left="864" w:firstLine="720"/>
        <w:rPr>
          <w:rFonts w:ascii="Times New Roman" w:hAnsi="Times New Roman"/>
          <w:sz w:val="22"/>
        </w:rPr>
      </w:pPr>
      <w:r>
        <w:rPr>
          <w:rFonts w:ascii="Times New Roman" w:hAnsi="Times New Roman"/>
          <w:sz w:val="22"/>
        </w:rPr>
        <w:t xml:space="preserve">We are quite willing to extend the attest function in various directions if we can find a basis for objective comparison of a given operation with a clearly defined standard.  Perhaps your engineering department can develop some specific quantitative data on the industrial waste from </w:t>
      </w:r>
      <w:r>
        <w:rPr>
          <w:rFonts w:ascii="Times New Roman" w:hAnsi="Times New Roman"/>
          <w:sz w:val="22"/>
        </w:rPr>
        <w:lastRenderedPageBreak/>
        <w:t>your operations.  We might then be able to perform the necessary examination of such data to enable us to attest to the validity of your representations as to your operations.  Of course, this would not be the same thing as providing your relative position in the industry.  After reviewing this possibility with your engineering staff, if you would like to discuss the matter further with us, we will be glad to meet with you.</w:t>
      </w:r>
    </w:p>
    <w:p w:rsidR="003D4C71" w:rsidRDefault="003D4C71">
      <w:pPr>
        <w:widowControl/>
        <w:rPr>
          <w:rFonts w:ascii="Times New Roman" w:hAnsi="Times New Roman"/>
          <w:sz w:val="22"/>
        </w:rPr>
      </w:pPr>
    </w:p>
    <w:p w:rsidR="003D4C71" w:rsidRDefault="003D4C71">
      <w:pPr>
        <w:widowControl/>
        <w:ind w:firstLine="4896"/>
        <w:rPr>
          <w:rFonts w:ascii="Times New Roman" w:hAnsi="Times New Roman"/>
          <w:sz w:val="22"/>
        </w:rPr>
      </w:pPr>
      <w:r>
        <w:rPr>
          <w:rFonts w:ascii="Times New Roman" w:hAnsi="Times New Roman"/>
          <w:sz w:val="22"/>
        </w:rPr>
        <w:t>Sincerely,</w:t>
      </w:r>
    </w:p>
    <w:p w:rsidR="003D4C71" w:rsidRDefault="003D4C71">
      <w:pPr>
        <w:widowControl/>
        <w:rPr>
          <w:rFonts w:ascii="Times New Roman" w:hAnsi="Times New Roman"/>
          <w:sz w:val="22"/>
        </w:rPr>
      </w:pPr>
    </w:p>
    <w:p w:rsidR="003D4C71" w:rsidRDefault="003D4C71">
      <w:pPr>
        <w:widowControl/>
        <w:ind w:firstLine="4896"/>
        <w:rPr>
          <w:rFonts w:ascii="Times New Roman" w:hAnsi="Times New Roman"/>
          <w:sz w:val="22"/>
        </w:rPr>
      </w:pPr>
      <w:r>
        <w:rPr>
          <w:rFonts w:ascii="Times New Roman" w:hAnsi="Times New Roman"/>
          <w:sz w:val="22"/>
        </w:rPr>
        <w:t>Bart James</w:t>
      </w:r>
    </w:p>
    <w:p w:rsidR="003D4C71" w:rsidRDefault="003D4C71">
      <w:pPr>
        <w:widowControl/>
        <w:rPr>
          <w:rFonts w:ascii="Times New Roman" w:hAnsi="Times New Roman"/>
          <w:sz w:val="22"/>
        </w:rPr>
      </w:pPr>
    </w:p>
    <w:p w:rsidR="003D4C71" w:rsidRDefault="003D4C71">
      <w:pPr>
        <w:widowControl/>
        <w:rPr>
          <w:rFonts w:ascii="Times New Roman" w:hAnsi="Times New Roman"/>
          <w:b/>
          <w:sz w:val="22"/>
        </w:rPr>
      </w:pPr>
      <w:r>
        <w:rPr>
          <w:rFonts w:ascii="Times New Roman" w:hAnsi="Times New Roman"/>
          <w:b/>
          <w:sz w:val="22"/>
        </w:rPr>
        <w:t>In-Class Team Case</w:t>
      </w:r>
    </w:p>
    <w:p w:rsidR="003D4C71" w:rsidRDefault="003D4C71">
      <w:pPr>
        <w:widowControl/>
        <w:rPr>
          <w:rFonts w:ascii="Times New Roman" w:hAnsi="Times New Roman"/>
          <w:b/>
          <w:sz w:val="22"/>
        </w:rPr>
      </w:pPr>
    </w:p>
    <w:p w:rsidR="003D4C71" w:rsidRDefault="003D4C71">
      <w:pPr>
        <w:widowControl/>
        <w:rPr>
          <w:rFonts w:ascii="Times New Roman" w:hAnsi="Times New Roman"/>
          <w:sz w:val="22"/>
        </w:rPr>
      </w:pPr>
      <w:r>
        <w:rPr>
          <w:rFonts w:ascii="Times New Roman" w:hAnsi="Times New Roman"/>
          <w:sz w:val="22"/>
        </w:rPr>
        <w:t>2-38</w:t>
      </w:r>
      <w:r>
        <w:rPr>
          <w:rFonts w:ascii="Times New Roman" w:hAnsi="Times New Roman"/>
          <w:sz w:val="22"/>
        </w:rPr>
        <w:tab/>
        <w:t>SOLUTION:</w:t>
      </w:r>
      <w:r>
        <w:rPr>
          <w:rFonts w:ascii="Times New Roman" w:hAnsi="Times New Roman"/>
          <w:sz w:val="22"/>
        </w:rPr>
        <w:tab/>
        <w:t>Hide It   (Estimated time:  25 minutes)</w:t>
      </w:r>
    </w:p>
    <w:p w:rsidR="003D4C71" w:rsidRDefault="003D4C71">
      <w:pPr>
        <w:widowControl/>
        <w:rPr>
          <w:rFonts w:ascii="Times New Roman" w:hAnsi="Times New Roman"/>
          <w:sz w:val="22"/>
        </w:rPr>
      </w:pPr>
    </w:p>
    <w:p w:rsidR="003D4C71" w:rsidRDefault="003D4C71">
      <w:pPr>
        <w:widowControl/>
        <w:numPr>
          <w:ilvl w:val="0"/>
          <w:numId w:val="11"/>
        </w:numPr>
        <w:rPr>
          <w:rFonts w:ascii="Times New Roman" w:hAnsi="Times New Roman"/>
          <w:sz w:val="22"/>
        </w:rPr>
      </w:pPr>
      <w:r>
        <w:rPr>
          <w:rFonts w:ascii="Times New Roman" w:hAnsi="Times New Roman"/>
          <w:sz w:val="22"/>
        </w:rPr>
        <w:t>No, this is not an error since errors are unintentional.</w:t>
      </w:r>
    </w:p>
    <w:p w:rsidR="003D4C71" w:rsidRDefault="003D4C71">
      <w:pPr>
        <w:widowControl/>
        <w:rPr>
          <w:rFonts w:ascii="Times New Roman" w:hAnsi="Times New Roman"/>
          <w:sz w:val="22"/>
        </w:rPr>
      </w:pPr>
    </w:p>
    <w:p w:rsidR="003D4C71" w:rsidRDefault="003D4C71">
      <w:pPr>
        <w:widowControl/>
        <w:numPr>
          <w:ilvl w:val="0"/>
          <w:numId w:val="11"/>
        </w:numPr>
        <w:rPr>
          <w:rFonts w:ascii="Times New Roman" w:hAnsi="Times New Roman"/>
          <w:sz w:val="22"/>
        </w:rPr>
      </w:pPr>
      <w:r>
        <w:rPr>
          <w:rFonts w:ascii="Times New Roman" w:hAnsi="Times New Roman"/>
          <w:sz w:val="22"/>
        </w:rPr>
        <w:t xml:space="preserve">This situation does appear to involve misstatements due to misappropriation of assets.   It is a misstatement due to fraudulent financial reporting because of the omission of the information from the financial statements.  If the $100,000 withdrawals have been abstracted for personal use, the situation also involves a misstatement arising from misappropriation of assets.  </w:t>
      </w:r>
    </w:p>
    <w:p w:rsidR="003D4C71" w:rsidRDefault="003D4C71">
      <w:pPr>
        <w:widowControl/>
        <w:rPr>
          <w:rFonts w:ascii="Times New Roman" w:hAnsi="Times New Roman"/>
          <w:sz w:val="22"/>
        </w:rPr>
      </w:pPr>
    </w:p>
    <w:p w:rsidR="003D4C71" w:rsidRDefault="003D4C71">
      <w:pPr>
        <w:widowControl/>
        <w:numPr>
          <w:ilvl w:val="0"/>
          <w:numId w:val="11"/>
        </w:numPr>
        <w:rPr>
          <w:rFonts w:ascii="Times New Roman" w:hAnsi="Times New Roman"/>
          <w:sz w:val="22"/>
        </w:rPr>
      </w:pPr>
      <w:r>
        <w:rPr>
          <w:rFonts w:ascii="Times New Roman" w:hAnsi="Times New Roman"/>
          <w:sz w:val="22"/>
        </w:rPr>
        <w:t xml:space="preserve">Certain laws have a direct effect on the financial statement amounts and are considered on every audit. An example is income tax law that affects the amount of income tax expense in the financial statements of most clients. This situation involves what appears to be non-compliance with a law that has a "direct effect" since, at a minimum, taxes have not been paid on the income involved.  </w:t>
      </w:r>
    </w:p>
    <w:p w:rsidR="003D4C71" w:rsidRDefault="003D4C71">
      <w:pPr>
        <w:widowControl/>
        <w:rPr>
          <w:rFonts w:ascii="Times New Roman" w:hAnsi="Times New Roman"/>
          <w:sz w:val="22"/>
        </w:rPr>
      </w:pPr>
    </w:p>
    <w:p w:rsidR="003D4C71" w:rsidRDefault="003D4C71">
      <w:pPr>
        <w:widowControl/>
        <w:ind w:left="1440" w:hanging="720"/>
        <w:rPr>
          <w:rFonts w:ascii="Times New Roman" w:hAnsi="Times New Roman"/>
          <w:sz w:val="22"/>
        </w:rPr>
      </w:pPr>
      <w:r>
        <w:rPr>
          <w:rFonts w:ascii="Times New Roman" w:hAnsi="Times New Roman"/>
          <w:sz w:val="22"/>
        </w:rPr>
        <w:t>(d)</w:t>
      </w:r>
      <w:r>
        <w:rPr>
          <w:rFonts w:ascii="Times New Roman" w:hAnsi="Times New Roman"/>
          <w:sz w:val="22"/>
        </w:rPr>
        <w:tab/>
        <w:t>The auditors will need to consider whether withdrawal is necessary, perhaps after consultation with their attorney.  The case suggests that the unrecorded deposits occurred prior to current management involvement with the company.  Note, however, that interest was earned during the period this management has been with the company, and withdrawals have been made during this same period.  The auditors would wish to consider when current management became aware of the account and the nature of the withdrawals when considering whether to resign from the engagement.</w:t>
      </w:r>
    </w:p>
    <w:p w:rsidR="003D4C71" w:rsidRDefault="003D4C71">
      <w:pPr>
        <w:widowControl/>
        <w:rPr>
          <w:rFonts w:ascii="Times New Roman" w:hAnsi="Times New Roman"/>
          <w:sz w:val="22"/>
        </w:rPr>
      </w:pPr>
    </w:p>
    <w:p w:rsidR="003D4C71" w:rsidRDefault="003D4C71">
      <w:pPr>
        <w:pStyle w:val="Heading1"/>
      </w:pPr>
      <w:r>
        <w:t>Research and Discussion Case</w:t>
      </w:r>
    </w:p>
    <w:p w:rsidR="003D4C71" w:rsidRDefault="003D4C71">
      <w:pPr>
        <w:keepNext/>
        <w:keepLines/>
        <w:widowControl/>
        <w:rPr>
          <w:rFonts w:ascii="Times New Roman" w:hAnsi="Times New Roman"/>
          <w:sz w:val="22"/>
        </w:rPr>
      </w:pPr>
    </w:p>
    <w:p w:rsidR="003D4C71" w:rsidRDefault="003D4C71">
      <w:pPr>
        <w:keepNext/>
        <w:keepLines/>
        <w:widowControl/>
        <w:ind w:left="720" w:hanging="720"/>
        <w:rPr>
          <w:rFonts w:ascii="Times New Roman" w:hAnsi="Times New Roman"/>
          <w:sz w:val="22"/>
        </w:rPr>
      </w:pPr>
      <w:r>
        <w:rPr>
          <w:rFonts w:ascii="Times New Roman" w:hAnsi="Times New Roman"/>
          <w:sz w:val="22"/>
        </w:rPr>
        <w:t>2-39</w:t>
      </w:r>
      <w:r>
        <w:rPr>
          <w:rFonts w:ascii="Times New Roman" w:hAnsi="Times New Roman"/>
          <w:sz w:val="22"/>
        </w:rPr>
        <w:tab/>
        <w:t>SOLUTION:  Enormo Corporation  (Estimated time:  45 minutes)</w:t>
      </w:r>
    </w:p>
    <w:p w:rsidR="003D4C71" w:rsidRDefault="003D4C71">
      <w:pPr>
        <w:keepNext/>
        <w:keepLines/>
        <w:widowControl/>
        <w:rPr>
          <w:rFonts w:ascii="Times New Roman" w:hAnsi="Times New Roman"/>
          <w:sz w:val="22"/>
        </w:rPr>
      </w:pPr>
    </w:p>
    <w:p w:rsidR="003D4C71" w:rsidRDefault="003D4C71">
      <w:pPr>
        <w:keepNext/>
        <w:keepLines/>
        <w:widowControl/>
        <w:ind w:left="1440" w:hanging="720"/>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ab/>
        <w:t>When the auditors discover illegal acts by a public client, they should consider three major factors.  First, the auditors should consider the effect of the acts on the client's financial statements, including the possibility of fines and loss of business.  To comply with generally accepted accounting principles, the financial statements must reflect the material effects of illegal acts.</w:t>
      </w:r>
    </w:p>
    <w:p w:rsidR="003D4C71" w:rsidRDefault="003D4C71">
      <w:pPr>
        <w:pStyle w:val="BodyTextIndent"/>
      </w:pPr>
      <w:r>
        <w:t>Second, the illegal acts may affect the auditors' assessment of the integrity of management.  In deciding whether to continue to serve the client, the auditors should consider the nature of the illegal acts and management's response to the acts after they are uncovered.</w:t>
      </w:r>
    </w:p>
    <w:p w:rsidR="003D4C71" w:rsidRDefault="003D4C71">
      <w:pPr>
        <w:pStyle w:val="BodyTextIndent"/>
      </w:pPr>
      <w:r>
        <w:t>Third, the auditors should consider whether the occurrence of the illegal act indicates that there is a material weakness in the company’s internal control over financial reporting.</w:t>
      </w:r>
    </w:p>
    <w:p w:rsidR="003D4C71" w:rsidRDefault="003D4C71">
      <w:pPr>
        <w:widowControl/>
        <w:rPr>
          <w:rFonts w:ascii="Times New Roman" w:hAnsi="Times New Roman"/>
          <w:sz w:val="22"/>
        </w:rPr>
      </w:pPr>
    </w:p>
    <w:p w:rsidR="003D4C71" w:rsidRDefault="003D4C71">
      <w:pPr>
        <w:keepNext/>
        <w:keepLines/>
        <w:widowControl/>
        <w:ind w:left="1440" w:hanging="720"/>
        <w:rPr>
          <w:rFonts w:ascii="Times New Roman" w:hAnsi="Times New Roman"/>
          <w:sz w:val="22"/>
        </w:rPr>
      </w:pPr>
      <w:r>
        <w:rPr>
          <w:rFonts w:ascii="Times New Roman" w:hAnsi="Times New Roman"/>
          <w:sz w:val="22"/>
        </w:rPr>
        <w:lastRenderedPageBreak/>
        <w:t>(b)</w:t>
      </w:r>
      <w:r>
        <w:rPr>
          <w:rFonts w:ascii="Times New Roman" w:hAnsi="Times New Roman"/>
          <w:sz w:val="22"/>
        </w:rPr>
        <w:tab/>
        <w:t>The following courses of action are available to the auditors:</w:t>
      </w:r>
    </w:p>
    <w:p w:rsidR="003D4C71" w:rsidRDefault="003D4C71">
      <w:pPr>
        <w:keepNext/>
        <w:keepLines/>
        <w:widowControl/>
        <w:rPr>
          <w:rFonts w:ascii="Times New Roman" w:hAnsi="Times New Roman"/>
          <w:sz w:val="22"/>
        </w:rPr>
      </w:pPr>
    </w:p>
    <w:p w:rsidR="003D4C71" w:rsidRDefault="003D4C71" w:rsidP="009F4577">
      <w:pPr>
        <w:keepLines/>
        <w:widowControl/>
        <w:spacing w:after="120"/>
        <w:ind w:left="2160" w:hanging="720"/>
        <w:rPr>
          <w:rFonts w:ascii="Times New Roman" w:hAnsi="Times New Roman"/>
          <w:sz w:val="22"/>
        </w:rPr>
      </w:pPr>
      <w:r>
        <w:rPr>
          <w:rFonts w:ascii="Times New Roman" w:hAnsi="Times New Roman"/>
          <w:sz w:val="22"/>
        </w:rPr>
        <w:t>(1)</w:t>
      </w:r>
      <w:r>
        <w:rPr>
          <w:rFonts w:ascii="Times New Roman" w:hAnsi="Times New Roman"/>
          <w:sz w:val="22"/>
        </w:rPr>
        <w:tab/>
        <w:t>The auditors could issue an unqualified opinion and take no further steps regarding the illegal activities.  This course of action could be argued on the basis that the effect of the acts on the financial statements is not material.  If the auditors take this course of action, they should also consider whether the illegal act and related actions by management and the board indicate a material weakness exists that would affect their report on internal control over financial reporting.</w:t>
      </w:r>
    </w:p>
    <w:p w:rsidR="003D4C71" w:rsidRDefault="003D4C71" w:rsidP="009F4577">
      <w:pPr>
        <w:widowControl/>
        <w:spacing w:after="120"/>
        <w:ind w:left="2160" w:hanging="720"/>
        <w:rPr>
          <w:rFonts w:ascii="Times New Roman" w:hAnsi="Times New Roman"/>
          <w:sz w:val="22"/>
        </w:rPr>
      </w:pPr>
      <w:r>
        <w:rPr>
          <w:rFonts w:ascii="Times New Roman" w:hAnsi="Times New Roman"/>
          <w:sz w:val="22"/>
        </w:rPr>
        <w:t>(2)</w:t>
      </w:r>
      <w:r>
        <w:rPr>
          <w:rFonts w:ascii="Times New Roman" w:hAnsi="Times New Roman"/>
          <w:sz w:val="22"/>
        </w:rPr>
        <w:tab/>
        <w:t>The auditors could issue a qualified opinion because the financial statements depart from generally accepted accounting princi</w:t>
      </w:r>
      <w:r>
        <w:rPr>
          <w:rFonts w:ascii="Times New Roman" w:hAnsi="Times New Roman"/>
          <w:sz w:val="22"/>
        </w:rPr>
        <w:softHyphen/>
        <w:t>ples, in that they fail to disclose the illegal acts.  This course of action could be argued on the basis that any illegal activities by the client are material, especially when manage</w:t>
      </w:r>
      <w:r>
        <w:rPr>
          <w:rFonts w:ascii="Times New Roman" w:hAnsi="Times New Roman"/>
          <w:sz w:val="22"/>
        </w:rPr>
        <w:softHyphen/>
        <w:t>ment fails to take any steps to prevent the acts.  If the auditors take this course of action, they should also consider whether the illegal act and related actions by management and the board indicate a material weakness exists that would affect their report on internal control over financial reporting.</w:t>
      </w:r>
    </w:p>
    <w:p w:rsidR="003D4C71" w:rsidRDefault="003D4C71">
      <w:pPr>
        <w:widowControl/>
        <w:ind w:left="2160" w:hanging="720"/>
        <w:rPr>
          <w:rFonts w:ascii="Times New Roman" w:hAnsi="Times New Roman"/>
          <w:sz w:val="22"/>
        </w:rPr>
      </w:pPr>
      <w:r>
        <w:rPr>
          <w:rFonts w:ascii="Times New Roman" w:hAnsi="Times New Roman"/>
          <w:sz w:val="22"/>
        </w:rPr>
        <w:t>(3)</w:t>
      </w:r>
      <w:r>
        <w:rPr>
          <w:rFonts w:ascii="Times New Roman" w:hAnsi="Times New Roman"/>
          <w:sz w:val="22"/>
        </w:rPr>
        <w:tab/>
        <w:t>The auditors could withdraw from the engagement, because the cli</w:t>
      </w:r>
      <w:r>
        <w:rPr>
          <w:rFonts w:ascii="Times New Roman" w:hAnsi="Times New Roman"/>
          <w:sz w:val="22"/>
        </w:rPr>
        <w:softHyphen/>
        <w:t>ent's failure to take actions to prevent such activities indicates that Enormo's management lacks sufficient integrity.</w:t>
      </w:r>
    </w:p>
    <w:p w:rsidR="003D4C71" w:rsidRDefault="003D4C71" w:rsidP="003D4C71">
      <w:pPr>
        <w:widowControl/>
        <w:ind w:left="1440"/>
        <w:rPr>
          <w:rFonts w:ascii="Times New Roman" w:hAnsi="Times New Roman"/>
          <w:sz w:val="22"/>
        </w:rPr>
      </w:pPr>
    </w:p>
    <w:p w:rsidR="003D4C71" w:rsidRDefault="003D4C71">
      <w:pPr>
        <w:widowControl/>
        <w:rPr>
          <w:rFonts w:ascii="Times New Roman" w:hAnsi="Times New Roman"/>
          <w:sz w:val="22"/>
        </w:rPr>
      </w:pPr>
    </w:p>
    <w:p w:rsidR="003D4C71" w:rsidRDefault="003D4C71">
      <w:pPr>
        <w:widowControl/>
        <w:ind w:left="1440" w:hanging="720"/>
        <w:rPr>
          <w:rFonts w:ascii="Times New Roman" w:hAnsi="Times New Roman"/>
          <w:sz w:val="22"/>
        </w:rPr>
      </w:pPr>
      <w:r>
        <w:rPr>
          <w:rFonts w:ascii="Times New Roman" w:hAnsi="Times New Roman"/>
          <w:sz w:val="22"/>
        </w:rPr>
        <w:t>(c)</w:t>
      </w:r>
      <w:r>
        <w:rPr>
          <w:rFonts w:ascii="Times New Roman" w:hAnsi="Times New Roman"/>
          <w:sz w:val="22"/>
        </w:rPr>
        <w:tab/>
        <w:t>We believe that the auditors should consider withdrawing from the engage</w:t>
      </w:r>
      <w:r>
        <w:rPr>
          <w:rFonts w:ascii="Times New Roman" w:hAnsi="Times New Roman"/>
          <w:sz w:val="22"/>
        </w:rPr>
        <w:softHyphen/>
        <w:t>ment.  Enormo's top management seems far too complacent regarding these activities.  Their refusal to take any action to prevent the acts in the future provides a signal to lower level management that top management approves of illegal acts.  The auditors clearly should question the integrity of management in this situation.</w:t>
      </w:r>
    </w:p>
    <w:sectPr w:rsidR="003D4C71" w:rsidSect="00E77B99">
      <w:footerReference w:type="even" r:id="rId8"/>
      <w:footerReference w:type="default" r:id="rId9"/>
      <w:endnotePr>
        <w:numFmt w:val="decimal"/>
      </w:endnotePr>
      <w:type w:val="continuous"/>
      <w:pgSz w:w="12240" w:h="15840"/>
      <w:pgMar w:top="1080" w:right="1080" w:bottom="1080" w:left="1440" w:header="72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64" w:rsidRDefault="009D0164">
      <w:r>
        <w:separator/>
      </w:r>
    </w:p>
  </w:endnote>
  <w:endnote w:type="continuationSeparator" w:id="0">
    <w:p w:rsidR="009D0164" w:rsidRDefault="009D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ヒラギノ角ゴ ProN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BC" w:rsidRDefault="00FA1FBC" w:rsidP="003D4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BC" w:rsidRDefault="00FA1F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BC" w:rsidRDefault="00FA1FBC">
    <w:pPr>
      <w:spacing w:line="240" w:lineRule="exact"/>
    </w:pPr>
  </w:p>
  <w:p w:rsidR="004E7E01" w:rsidRDefault="004E7E01" w:rsidP="00F56BAF">
    <w:pPr>
      <w:framePr w:wrap="around" w:vAnchor="text" w:hAnchor="margin" w:xAlign="right" w:y="1"/>
      <w:jc w:val="right"/>
      <w:rPr>
        <w:rFonts w:ascii="CG Times" w:hAnsi="CG Times"/>
        <w:sz w:val="22"/>
      </w:rPr>
    </w:pPr>
    <w:r w:rsidRPr="00FC1FC9">
      <w:rPr>
        <w:rFonts w:ascii="Times New Roman" w:hAnsi="Times New Roman"/>
        <w:i/>
        <w:sz w:val="22"/>
        <w:szCs w:val="22"/>
      </w:rPr>
      <w:t xml:space="preserve">Solutions Manual, </w:t>
    </w:r>
    <w:r w:rsidRPr="004A1E79">
      <w:rPr>
        <w:rFonts w:ascii="Times New Roman" w:hAnsi="Times New Roman"/>
        <w:i/>
        <w:sz w:val="22"/>
        <w:szCs w:val="22"/>
      </w:rPr>
      <w:t xml:space="preserve">Chapter 2, Page </w:t>
    </w:r>
    <w:r w:rsidRPr="004A1E79">
      <w:rPr>
        <w:rFonts w:ascii="Times New Roman" w:hAnsi="Times New Roman"/>
        <w:i/>
        <w:sz w:val="22"/>
        <w:szCs w:val="22"/>
      </w:rPr>
      <w:fldChar w:fldCharType="begin"/>
    </w:r>
    <w:r w:rsidRPr="004A1E79">
      <w:rPr>
        <w:rFonts w:ascii="Times New Roman" w:hAnsi="Times New Roman"/>
        <w:i/>
        <w:sz w:val="22"/>
        <w:szCs w:val="22"/>
      </w:rPr>
      <w:instrText xml:space="preserve">PAGE </w:instrText>
    </w:r>
    <w:r w:rsidRPr="004A1E79">
      <w:rPr>
        <w:rFonts w:ascii="Times New Roman" w:hAnsi="Times New Roman"/>
        <w:i/>
        <w:sz w:val="22"/>
        <w:szCs w:val="22"/>
      </w:rPr>
      <w:fldChar w:fldCharType="separate"/>
    </w:r>
    <w:r w:rsidR="00307F10">
      <w:rPr>
        <w:rFonts w:ascii="Times New Roman" w:hAnsi="Times New Roman"/>
        <w:i/>
        <w:noProof/>
        <w:sz w:val="22"/>
        <w:szCs w:val="22"/>
      </w:rPr>
      <w:t>14</w:t>
    </w:r>
    <w:r w:rsidRPr="004A1E79">
      <w:rPr>
        <w:rFonts w:ascii="Times New Roman" w:hAnsi="Times New Roman"/>
        <w:i/>
        <w:sz w:val="22"/>
        <w:szCs w:val="22"/>
      </w:rPr>
      <w:fldChar w:fldCharType="end"/>
    </w:r>
    <w:r w:rsidRPr="004A1E79">
      <w:rPr>
        <w:rFonts w:ascii="Times New Roman" w:hAnsi="Times New Roman"/>
        <w:i/>
        <w:sz w:val="22"/>
        <w:szCs w:val="22"/>
      </w:rPr>
      <w:t xml:space="preserve"> of  </w:t>
    </w:r>
    <w:r w:rsidR="00F56BAF">
      <w:rPr>
        <w:rFonts w:ascii="Times New Roman" w:hAnsi="Times New Roman"/>
        <w:i/>
        <w:sz w:val="22"/>
        <w:szCs w:val="22"/>
      </w:rPr>
      <w:t>1</w:t>
    </w:r>
    <w:r w:rsidR="009C005C">
      <w:rPr>
        <w:rFonts w:ascii="Times New Roman" w:hAnsi="Times New Roman"/>
        <w:i/>
        <w:sz w:val="22"/>
        <w:szCs w:val="22"/>
      </w:rPr>
      <w:t>4</w:t>
    </w:r>
  </w:p>
  <w:p w:rsidR="00FD5A31" w:rsidRDefault="00FD5A31" w:rsidP="00FD5A31">
    <w:pPr>
      <w:tabs>
        <w:tab w:val="left" w:pos="5843"/>
      </w:tabs>
      <w:ind w:right="360"/>
    </w:pPr>
  </w:p>
  <w:p w:rsidR="00FF17BE" w:rsidRPr="00E77B99" w:rsidRDefault="00FD5A31" w:rsidP="00FD5A31">
    <w:pPr>
      <w:ind w:right="360"/>
      <w:jc w:val="center"/>
      <w:rPr>
        <w:rFonts w:ascii="Times New Roman" w:hAnsi="Times New Roman"/>
        <w:i/>
        <w:sz w:val="22"/>
        <w:szCs w:val="22"/>
      </w:rPr>
    </w:pPr>
    <w:r w:rsidRPr="009E61D4">
      <w:rPr>
        <w:rFonts w:ascii="Calibri" w:eastAsia="ヒラギノ角ゴ ProN W3" w:hAnsi="Calibri" w:cs="ヒラギノ角ゴ ProN W3"/>
        <w:kern w:val="24"/>
        <w:sz w:val="20"/>
      </w:rPr>
      <w:t>C</w:t>
    </w:r>
    <w:r w:rsidR="00FF17BE" w:rsidRPr="009E61D4">
      <w:rPr>
        <w:rFonts w:ascii="Calibri" w:eastAsia="ヒラギノ角ゴ ProN W3" w:hAnsi="Calibri" w:cs="ヒラギノ角ゴ ProN W3"/>
        <w:kern w:val="24"/>
        <w:sz w:val="20"/>
      </w:rPr>
      <w:t>opyright © 20</w:t>
    </w:r>
    <w:r w:rsidR="00FF17BE">
      <w:rPr>
        <w:rFonts w:ascii="Calibri" w:eastAsia="ヒラギノ角ゴ ProN W3" w:hAnsi="Calibri" w:cs="ヒラギノ角ゴ ProN W3"/>
        <w:kern w:val="24"/>
        <w:sz w:val="20"/>
      </w:rPr>
      <w:t>19</w:t>
    </w:r>
    <w:r w:rsidR="00FF17BE" w:rsidRPr="009E61D4">
      <w:rPr>
        <w:rFonts w:ascii="Calibri" w:eastAsia="ヒラギノ角ゴ ProN W3" w:hAnsi="Calibri" w:cs="ヒラギノ角ゴ ProN W3"/>
        <w:kern w:val="24"/>
        <w:sz w:val="20"/>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64" w:rsidRDefault="009D0164">
      <w:r>
        <w:separator/>
      </w:r>
    </w:p>
  </w:footnote>
  <w:footnote w:type="continuationSeparator" w:id="0">
    <w:p w:rsidR="009D0164" w:rsidRDefault="009D0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B04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D0200"/>
    <w:multiLevelType w:val="hybridMultilevel"/>
    <w:tmpl w:val="DB3E69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A254BA"/>
    <w:multiLevelType w:val="multilevel"/>
    <w:tmpl w:val="43E4FB70"/>
    <w:lvl w:ilvl="0">
      <w:start w:val="2"/>
      <w:numFmt w:val="decimal"/>
      <w:lvlText w:val="%1"/>
      <w:lvlJc w:val="left"/>
      <w:pPr>
        <w:tabs>
          <w:tab w:val="num" w:pos="360"/>
        </w:tabs>
        <w:ind w:left="360" w:hanging="360"/>
      </w:pPr>
      <w:rPr>
        <w:rFonts w:hint="default"/>
      </w:rPr>
    </w:lvl>
    <w:lvl w:ilvl="1">
      <w:start w:val="2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8B182A"/>
    <w:multiLevelType w:val="hybridMultilevel"/>
    <w:tmpl w:val="7A06CD04"/>
    <w:lvl w:ilvl="0" w:tplc="33162BF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8111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59395E"/>
    <w:multiLevelType w:val="multilevel"/>
    <w:tmpl w:val="FD30C3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B2B6D6E"/>
    <w:multiLevelType w:val="hybridMultilevel"/>
    <w:tmpl w:val="616E2966"/>
    <w:lvl w:ilvl="0" w:tplc="6F2C6CF4">
      <w:start w:val="1"/>
      <w:numFmt w:val="lowerLetter"/>
      <w:lvlText w:val="%1."/>
      <w:lvlJc w:val="left"/>
      <w:pPr>
        <w:tabs>
          <w:tab w:val="num" w:pos="1800"/>
        </w:tabs>
        <w:ind w:left="1800" w:hanging="360"/>
      </w:pPr>
      <w:rPr>
        <w:rFonts w:hint="default"/>
      </w:rPr>
    </w:lvl>
    <w:lvl w:ilvl="1" w:tplc="6742BCD0">
      <w:start w:val="2"/>
      <w:numFmt w:val="lowerLetter"/>
      <w:lvlText w:val="(%2)"/>
      <w:lvlJc w:val="left"/>
      <w:pPr>
        <w:tabs>
          <w:tab w:val="num" w:pos="3000"/>
        </w:tabs>
        <w:ind w:left="3000" w:hanging="390"/>
      </w:pPr>
      <w:rPr>
        <w:rFonts w:hint="default"/>
      </w:rPr>
    </w:lvl>
    <w:lvl w:ilvl="2" w:tplc="7EF036AC">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13C2E77"/>
    <w:multiLevelType w:val="multilevel"/>
    <w:tmpl w:val="6C3A60C6"/>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E96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066722"/>
    <w:multiLevelType w:val="hybridMultilevel"/>
    <w:tmpl w:val="9C3A033A"/>
    <w:lvl w:ilvl="0" w:tplc="7C6223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FAB76EA"/>
    <w:multiLevelType w:val="multilevel"/>
    <w:tmpl w:val="8556CED0"/>
    <w:lvl w:ilvl="0">
      <w:start w:val="2"/>
      <w:numFmt w:val="decimal"/>
      <w:lvlText w:val="%1-"/>
      <w:lvlJc w:val="left"/>
      <w:pPr>
        <w:tabs>
          <w:tab w:val="num" w:pos="630"/>
        </w:tabs>
        <w:ind w:left="630" w:hanging="63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B64605"/>
    <w:multiLevelType w:val="hybridMultilevel"/>
    <w:tmpl w:val="7212B7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121257"/>
    <w:multiLevelType w:val="hybridMultilevel"/>
    <w:tmpl w:val="A1CE0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077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7B662B"/>
    <w:multiLevelType w:val="hybridMultilevel"/>
    <w:tmpl w:val="878ED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9222F1"/>
    <w:multiLevelType w:val="singleLevel"/>
    <w:tmpl w:val="7B0A9FB0"/>
    <w:lvl w:ilvl="0">
      <w:start w:val="1"/>
      <w:numFmt w:val="lowerLetter"/>
      <w:lvlText w:val="(%1)"/>
      <w:lvlJc w:val="left"/>
      <w:pPr>
        <w:tabs>
          <w:tab w:val="num" w:pos="1440"/>
        </w:tabs>
        <w:ind w:left="1440" w:hanging="720"/>
      </w:pPr>
      <w:rPr>
        <w:rFonts w:hint="default"/>
      </w:rPr>
    </w:lvl>
  </w:abstractNum>
  <w:abstractNum w:abstractNumId="17" w15:restartNumberingAfterBreak="0">
    <w:nsid w:val="44227D2B"/>
    <w:multiLevelType w:val="hybridMultilevel"/>
    <w:tmpl w:val="1F28B5C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04C4C54"/>
    <w:multiLevelType w:val="hybridMultilevel"/>
    <w:tmpl w:val="CF4AE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32152"/>
    <w:multiLevelType w:val="multilevel"/>
    <w:tmpl w:val="6C78CE34"/>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8821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E43A6C"/>
    <w:multiLevelType w:val="hybridMultilevel"/>
    <w:tmpl w:val="07A8273C"/>
    <w:lvl w:ilvl="0" w:tplc="33162B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8C6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4C7F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3F24AA"/>
    <w:multiLevelType w:val="multilevel"/>
    <w:tmpl w:val="83DC08E2"/>
    <w:lvl w:ilvl="0">
      <w:start w:val="2"/>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735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76572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6"/>
  </w:num>
  <w:num w:numId="3">
    <w:abstractNumId w:val="2"/>
  </w:num>
  <w:num w:numId="4">
    <w:abstractNumId w:val="23"/>
  </w:num>
  <w:num w:numId="5">
    <w:abstractNumId w:val="14"/>
  </w:num>
  <w:num w:numId="6">
    <w:abstractNumId w:val="9"/>
  </w:num>
  <w:num w:numId="7">
    <w:abstractNumId w:val="25"/>
  </w:num>
  <w:num w:numId="8">
    <w:abstractNumId w:val="20"/>
  </w:num>
  <w:num w:numId="9">
    <w:abstractNumId w:val="8"/>
  </w:num>
  <w:num w:numId="10">
    <w:abstractNumId w:val="5"/>
  </w:num>
  <w:num w:numId="11">
    <w:abstractNumId w:val="16"/>
  </w:num>
  <w:num w:numId="12">
    <w:abstractNumId w:val="10"/>
  </w:num>
  <w:num w:numId="13">
    <w:abstractNumId w:val="19"/>
  </w:num>
  <w:num w:numId="14">
    <w:abstractNumId w:val="3"/>
  </w:num>
  <w:num w:numId="15">
    <w:abstractNumId w:val="18"/>
  </w:num>
  <w:num w:numId="16">
    <w:abstractNumId w:val="24"/>
  </w:num>
  <w:num w:numId="17">
    <w:abstractNumId w:val="11"/>
  </w:num>
  <w:num w:numId="18">
    <w:abstractNumId w:val="7"/>
  </w:num>
  <w:num w:numId="19">
    <w:abstractNumId w:val="21"/>
  </w:num>
  <w:num w:numId="20">
    <w:abstractNumId w:val="6"/>
  </w:num>
  <w:num w:numId="21">
    <w:abstractNumId w:val="4"/>
  </w:num>
  <w:num w:numId="22">
    <w:abstractNumId w:val="15"/>
  </w:num>
  <w:num w:numId="23">
    <w:abstractNumId w:val="17"/>
  </w:num>
  <w:num w:numId="24">
    <w:abstractNumId w:val="1"/>
  </w:num>
  <w:num w:numId="25">
    <w:abstractNumId w:val="13"/>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79"/>
    <w:rsid w:val="00036FAB"/>
    <w:rsid w:val="000437F5"/>
    <w:rsid w:val="00094569"/>
    <w:rsid w:val="001007CA"/>
    <w:rsid w:val="00180C92"/>
    <w:rsid w:val="0019318D"/>
    <w:rsid w:val="0019750D"/>
    <w:rsid w:val="001B16AA"/>
    <w:rsid w:val="001C498E"/>
    <w:rsid w:val="002851BF"/>
    <w:rsid w:val="00292420"/>
    <w:rsid w:val="00307F10"/>
    <w:rsid w:val="00314CD8"/>
    <w:rsid w:val="0034309E"/>
    <w:rsid w:val="0037244E"/>
    <w:rsid w:val="003A06AF"/>
    <w:rsid w:val="003B330F"/>
    <w:rsid w:val="003D1CCD"/>
    <w:rsid w:val="003D4C71"/>
    <w:rsid w:val="0040727A"/>
    <w:rsid w:val="00474DEF"/>
    <w:rsid w:val="0049333D"/>
    <w:rsid w:val="004936F2"/>
    <w:rsid w:val="004A1E79"/>
    <w:rsid w:val="004E7E01"/>
    <w:rsid w:val="00586A35"/>
    <w:rsid w:val="00632B5A"/>
    <w:rsid w:val="00647467"/>
    <w:rsid w:val="006F21AB"/>
    <w:rsid w:val="00726D01"/>
    <w:rsid w:val="00742027"/>
    <w:rsid w:val="00746BD7"/>
    <w:rsid w:val="00785463"/>
    <w:rsid w:val="00795A30"/>
    <w:rsid w:val="007A5D8B"/>
    <w:rsid w:val="0081771A"/>
    <w:rsid w:val="0086139E"/>
    <w:rsid w:val="00883E74"/>
    <w:rsid w:val="00895CF6"/>
    <w:rsid w:val="00957A0F"/>
    <w:rsid w:val="00990A75"/>
    <w:rsid w:val="009C005C"/>
    <w:rsid w:val="009D0164"/>
    <w:rsid w:val="009D75B2"/>
    <w:rsid w:val="009E56BF"/>
    <w:rsid w:val="009F18E0"/>
    <w:rsid w:val="009F4577"/>
    <w:rsid w:val="00A14A02"/>
    <w:rsid w:val="00A20D25"/>
    <w:rsid w:val="00A54F08"/>
    <w:rsid w:val="00AD6C54"/>
    <w:rsid w:val="00AD7E2C"/>
    <w:rsid w:val="00AF6D9A"/>
    <w:rsid w:val="00B56B5F"/>
    <w:rsid w:val="00BA2542"/>
    <w:rsid w:val="00BB6E03"/>
    <w:rsid w:val="00C32354"/>
    <w:rsid w:val="00C43614"/>
    <w:rsid w:val="00C51328"/>
    <w:rsid w:val="00C86BA8"/>
    <w:rsid w:val="00CA100D"/>
    <w:rsid w:val="00CC7497"/>
    <w:rsid w:val="00CF61B2"/>
    <w:rsid w:val="00D32AF9"/>
    <w:rsid w:val="00D428F4"/>
    <w:rsid w:val="00D43B61"/>
    <w:rsid w:val="00E77B99"/>
    <w:rsid w:val="00E86E4E"/>
    <w:rsid w:val="00E9581B"/>
    <w:rsid w:val="00EA7EC7"/>
    <w:rsid w:val="00EC5B4D"/>
    <w:rsid w:val="00EF2428"/>
    <w:rsid w:val="00F02E41"/>
    <w:rsid w:val="00F43896"/>
    <w:rsid w:val="00F4546C"/>
    <w:rsid w:val="00F56BAF"/>
    <w:rsid w:val="00F60E3C"/>
    <w:rsid w:val="00F932AF"/>
    <w:rsid w:val="00F96784"/>
    <w:rsid w:val="00FA1FBC"/>
    <w:rsid w:val="00FC691B"/>
    <w:rsid w:val="00FD5A31"/>
    <w:rsid w:val="00F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42B412-9667-4EE1-AD65-7E2EEB8C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keepLines/>
      <w:widowControl/>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440" w:firstLine="576"/>
    </w:pPr>
    <w:rPr>
      <w:rFonts w:ascii="Times New Roman" w:hAnsi="Times New Roman"/>
      <w:sz w:val="22"/>
    </w:rPr>
  </w:style>
  <w:style w:type="paragraph" w:styleId="BodyTextIndent2">
    <w:name w:val="Body Text Indent 2"/>
    <w:basedOn w:val="Normal"/>
    <w:pPr>
      <w:widowControl/>
      <w:ind w:left="720" w:firstLine="720"/>
    </w:pPr>
    <w:rPr>
      <w:rFonts w:ascii="Times New Roman" w:hAnsi="Times New Roman"/>
      <w:sz w:val="22"/>
    </w:rPr>
  </w:style>
  <w:style w:type="paragraph" w:styleId="BodyTextIndent3">
    <w:name w:val="Body Text Indent 3"/>
    <w:basedOn w:val="Normal"/>
    <w:link w:val="BodyTextIndent3Char"/>
    <w:pPr>
      <w:widowControl/>
      <w:ind w:left="720" w:hanging="720"/>
    </w:pPr>
    <w:rPr>
      <w:rFonts w:ascii="Times New Roman" w:hAnsi="Times New Roman"/>
      <w:sz w:val="22"/>
    </w:rPr>
  </w:style>
  <w:style w:type="paragraph" w:styleId="BodyText">
    <w:name w:val="Body Text"/>
    <w:basedOn w:val="Normal"/>
    <w:pPr>
      <w:keepNext/>
      <w:keepLines/>
      <w:widowControl/>
    </w:pPr>
    <w:rPr>
      <w:rFonts w:ascii="Times New Roman" w:hAnsi="Times New Roman"/>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4A1E79"/>
    <w:pPr>
      <w:tabs>
        <w:tab w:val="center" w:pos="4320"/>
        <w:tab w:val="right" w:pos="8640"/>
      </w:tabs>
    </w:pPr>
  </w:style>
  <w:style w:type="character" w:styleId="CommentReference">
    <w:name w:val="annotation reference"/>
    <w:semiHidden/>
    <w:rsid w:val="00F55B52"/>
    <w:rPr>
      <w:sz w:val="16"/>
      <w:szCs w:val="16"/>
    </w:rPr>
  </w:style>
  <w:style w:type="paragraph" w:styleId="CommentText">
    <w:name w:val="annotation text"/>
    <w:basedOn w:val="Normal"/>
    <w:semiHidden/>
    <w:rsid w:val="00F55B52"/>
    <w:rPr>
      <w:sz w:val="20"/>
    </w:rPr>
  </w:style>
  <w:style w:type="paragraph" w:styleId="CommentSubject">
    <w:name w:val="annotation subject"/>
    <w:basedOn w:val="CommentText"/>
    <w:next w:val="CommentText"/>
    <w:semiHidden/>
    <w:rsid w:val="00F55B52"/>
    <w:rPr>
      <w:b/>
      <w:bCs/>
    </w:rPr>
  </w:style>
  <w:style w:type="paragraph" w:styleId="BalloonText">
    <w:name w:val="Balloon Text"/>
    <w:basedOn w:val="Normal"/>
    <w:semiHidden/>
    <w:rsid w:val="00F55B52"/>
    <w:rPr>
      <w:rFonts w:ascii="Tahoma" w:hAnsi="Tahoma" w:cs="Tahoma"/>
      <w:sz w:val="16"/>
      <w:szCs w:val="16"/>
    </w:rPr>
  </w:style>
  <w:style w:type="character" w:customStyle="1" w:styleId="BodyTextIndent3Char">
    <w:name w:val="Body Text Indent 3 Char"/>
    <w:link w:val="BodyTextIndent3"/>
    <w:rsid w:val="005A5A31"/>
    <w:rPr>
      <w:snapToGrid w:val="0"/>
      <w:sz w:val="22"/>
    </w:rPr>
  </w:style>
  <w:style w:type="table" w:styleId="TableGrid">
    <w:name w:val="Table Grid"/>
    <w:basedOn w:val="TableNormal"/>
    <w:uiPriority w:val="39"/>
    <w:rsid w:val="0065510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35DE2-AADA-4835-BE00-4C1879AF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The McGraw-Hill Companies</Company>
  <LinksUpToDate>false</LinksUpToDate>
  <CharactersWithSpaces>39181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Kurt Pany</dc:creator>
  <cp:lastModifiedBy>Kurt Pany</cp:lastModifiedBy>
  <cp:revision>9</cp:revision>
  <cp:lastPrinted>2018-05-19T17:19:00Z</cp:lastPrinted>
  <dcterms:created xsi:type="dcterms:W3CDTF">2018-05-18T15:36:00Z</dcterms:created>
  <dcterms:modified xsi:type="dcterms:W3CDTF">2018-05-20T21:23:00Z</dcterms:modified>
</cp:coreProperties>
</file>