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SOLUTION</w:t>
      </w: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Chapter 1 Waterways Continuing Problem</w:t>
      </w: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DE02A4" w:rsidRDefault="00DE02A4" w:rsidP="001923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360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7pt;width:446.5pt;height:327.5pt;z-index:251657728;mso-position-horizontal:center">
            <v:textbox>
              <w:txbxContent>
                <w:p w:rsidR="00DE02A4" w:rsidRDefault="000D12D1">
                  <w:r>
                    <w:rPr>
                      <w:rFonts w:ascii="Helvetica" w:hAnsi="Helvetica" w:cs="Helvetica"/>
                      <w:b/>
                      <w:bCs/>
                      <w:noProof/>
                      <w:sz w:val="28"/>
                      <w:szCs w:val="28"/>
                      <w:lang w:bidi="th-TH"/>
                    </w:rPr>
                    <w:drawing>
                      <wp:inline distT="0" distB="0" distL="0" distR="0">
                        <wp:extent cx="5441950" cy="3708400"/>
                        <wp:effectExtent l="19050" t="0" r="6350" b="0"/>
                        <wp:docPr id="1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41950" cy="3708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br w:type="page"/>
      </w:r>
    </w:p>
    <w:p w:rsidR="00DE02A4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8"/>
          <w:szCs w:val="28"/>
        </w:rPr>
      </w:pPr>
    </w:p>
    <w:tbl>
      <w:tblPr>
        <w:tblW w:w="8640" w:type="dxa"/>
        <w:tblLayout w:type="fixed"/>
        <w:tblLook w:val="0000"/>
      </w:tblPr>
      <w:tblGrid>
        <w:gridCol w:w="1728"/>
        <w:gridCol w:w="1728"/>
        <w:gridCol w:w="1728"/>
        <w:gridCol w:w="1728"/>
        <w:gridCol w:w="1728"/>
      </w:tblGrid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b/>
                <w:bCs/>
                <w:sz w:val="20"/>
                <w:szCs w:val="20"/>
              </w:rPr>
              <w:t>WATERWAYS CORPORATION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UnicodeMS" w:hAnsi="ArialUnicodeMS" w:cs="ArialUnicodeMS"/>
                <w:sz w:val="16"/>
                <w:szCs w:val="16"/>
              </w:rPr>
            </w:pPr>
            <w:r w:rsidRPr="00F825F2">
              <w:rPr>
                <w:rFonts w:ascii="ArialMT" w:hAnsi="ArialMT" w:cs="ArialMT"/>
                <w:b/>
                <w:bCs/>
                <w:sz w:val="16"/>
                <w:szCs w:val="16"/>
              </w:rPr>
              <w:t>Cost of Goods Manufactured Schedule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ArialUnicodeMS" w:hAnsi="ArialUnicodeMS" w:cs="ArialUnicodeMS"/>
                <w:sz w:val="16"/>
                <w:szCs w:val="16"/>
              </w:rPr>
            </w:pPr>
            <w:r w:rsidRPr="00F825F2">
              <w:rPr>
                <w:rFonts w:ascii="ArialMT" w:hAnsi="ArialMT" w:cs="ArialMT"/>
                <w:b/>
                <w:bCs/>
                <w:sz w:val="16"/>
                <w:szCs w:val="16"/>
              </w:rPr>
              <w:t>For the Month of November, 2012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Work in process 11/1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 $  52,7</w:t>
            </w:r>
            <w:r w:rsidRPr="00F825F2">
              <w:rPr>
                <w:rFonts w:ascii="ArialMT" w:hAnsi="ArialMT" w:cs="ArialMT"/>
                <w:sz w:val="20"/>
                <w:szCs w:val="20"/>
              </w:rPr>
              <w:t xml:space="preserve">00 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Direct materials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Raw materials inventory 11/1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 xml:space="preserve"> $  38,000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Raw material purchases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sz w:val="20"/>
                <w:szCs w:val="20"/>
                <w:u w:val="single"/>
              </w:rPr>
              <w:t xml:space="preserve">  184,500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Total raw materials available for use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 xml:space="preserve">  222,500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Less:  Raw materials inventory 11/30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sz w:val="20"/>
                <w:szCs w:val="20"/>
                <w:u w:val="single"/>
              </w:rPr>
              <w:t xml:space="preserve">    52,700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Direct materials used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 xml:space="preserve"> $169,800 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Direct labor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     4</w:t>
            </w:r>
            <w:r w:rsidRPr="00F825F2">
              <w:rPr>
                <w:rFonts w:ascii="ArialMT" w:hAnsi="ArialMT" w:cs="ArialMT"/>
                <w:sz w:val="20"/>
                <w:szCs w:val="20"/>
              </w:rPr>
              <w:t xml:space="preserve">2,000 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Manufacturing overhead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Depreciation—factory equipment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 xml:space="preserve">    16,800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Factory supplies used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    16,8</w:t>
            </w:r>
            <w:r w:rsidRPr="00F825F2">
              <w:rPr>
                <w:rFonts w:ascii="ArialMT" w:hAnsi="ArialMT" w:cs="ArialMT"/>
                <w:sz w:val="20"/>
                <w:szCs w:val="20"/>
              </w:rPr>
              <w:t>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Factory utilities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 xml:space="preserve">    10,200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Indirect labor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 xml:space="preserve">    48,000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Rent—factory equipment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 xml:space="preserve">    47,000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Repairs—factory equipment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ArialUnicodeMS" w:hAnsi="ArialUnicodeMS" w:cs="ArialUnicodeMS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sz w:val="20"/>
                <w:szCs w:val="20"/>
                <w:u w:val="single"/>
              </w:rPr>
              <w:t xml:space="preserve">      4,500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Total factory overhead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  <w:u w:val="single"/>
              </w:rPr>
            </w:pPr>
            <w:r>
              <w:rPr>
                <w:rFonts w:ascii="ArialMT" w:hAnsi="ArialMT" w:cs="ArialMT"/>
                <w:sz w:val="20"/>
                <w:szCs w:val="20"/>
                <w:u w:val="single"/>
              </w:rPr>
              <w:t xml:space="preserve">  143,3</w:t>
            </w:r>
            <w:r w:rsidRPr="00F825F2">
              <w:rPr>
                <w:rFonts w:ascii="ArialMT" w:hAnsi="ArialMT" w:cs="ArialMT"/>
                <w:sz w:val="20"/>
                <w:szCs w:val="20"/>
                <w:u w:val="single"/>
              </w:rPr>
              <w:t xml:space="preserve">00 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Total manufacturing costs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  <w:u w:val="single"/>
              </w:rPr>
            </w:pPr>
            <w:r>
              <w:rPr>
                <w:rFonts w:ascii="ArialMT" w:hAnsi="ArialMT" w:cs="ArialMT"/>
                <w:sz w:val="20"/>
                <w:szCs w:val="20"/>
                <w:u w:val="single"/>
              </w:rPr>
              <w:t xml:space="preserve">  355,1</w:t>
            </w:r>
            <w:r w:rsidRPr="00F825F2">
              <w:rPr>
                <w:rFonts w:ascii="ArialMT" w:hAnsi="ArialMT" w:cs="ArialMT"/>
                <w:sz w:val="20"/>
                <w:szCs w:val="20"/>
                <w:u w:val="single"/>
              </w:rPr>
              <w:t xml:space="preserve">00 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  <w:u w:val="single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Total cost of work in process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   407,8</w:t>
            </w:r>
            <w:r w:rsidRPr="00F825F2">
              <w:rPr>
                <w:rFonts w:ascii="ArialMT" w:hAnsi="ArialMT" w:cs="ArialMT"/>
                <w:sz w:val="20"/>
                <w:szCs w:val="20"/>
              </w:rPr>
              <w:t xml:space="preserve">00 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Less:  Work in process 11/30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sz w:val="20"/>
                <w:szCs w:val="20"/>
                <w:u w:val="single"/>
              </w:rPr>
              <w:t xml:space="preserve">    42,000 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  <w:u w:val="single"/>
              </w:rPr>
            </w:pPr>
          </w:p>
        </w:tc>
      </w:tr>
      <w:tr w:rsidR="00DE02A4" w:rsidRPr="00F825F2"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Cost of goods manufactured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  <w:u w:val="double"/>
              </w:rPr>
            </w:pPr>
            <w:r>
              <w:rPr>
                <w:rFonts w:ascii="ArialMT" w:hAnsi="ArialMT" w:cs="ArialMT"/>
                <w:sz w:val="20"/>
                <w:szCs w:val="20"/>
                <w:u w:val="double"/>
              </w:rPr>
              <w:t>$365,8</w:t>
            </w:r>
            <w:r w:rsidRPr="00F825F2">
              <w:rPr>
                <w:rFonts w:ascii="ArialMT" w:hAnsi="ArialMT" w:cs="ArialMT"/>
                <w:sz w:val="20"/>
                <w:szCs w:val="20"/>
                <w:u w:val="double"/>
              </w:rPr>
              <w:t xml:space="preserve">00 </w:t>
            </w:r>
          </w:p>
        </w:tc>
        <w:tc>
          <w:tcPr>
            <w:tcW w:w="19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  <w:u w:val="double"/>
              </w:rPr>
            </w:pPr>
          </w:p>
        </w:tc>
      </w:tr>
    </w:tbl>
    <w:p w:rsidR="00DE02A4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br w:type="page"/>
      </w:r>
    </w:p>
    <w:tbl>
      <w:tblPr>
        <w:tblW w:w="9819" w:type="dxa"/>
        <w:tblLayout w:type="fixed"/>
        <w:tblLook w:val="0000"/>
      </w:tblPr>
      <w:tblGrid>
        <w:gridCol w:w="1963"/>
        <w:gridCol w:w="1964"/>
        <w:gridCol w:w="1964"/>
        <w:gridCol w:w="1964"/>
        <w:gridCol w:w="1964"/>
      </w:tblGrid>
      <w:tr w:rsidR="00DE02A4" w:rsidRPr="00F825F2"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MT" w:hAnsi="ArialMT" w:cs="ArialMT"/>
                <w:b/>
                <w:bCs/>
                <w:sz w:val="20"/>
                <w:szCs w:val="20"/>
              </w:rPr>
            </w:pPr>
            <w:r w:rsidRPr="00F825F2">
              <w:rPr>
                <w:rFonts w:ascii="ArialMT" w:hAnsi="ArialMT" w:cs="ArialMT"/>
                <w:b/>
                <w:bCs/>
                <w:sz w:val="20"/>
                <w:szCs w:val="20"/>
              </w:rPr>
              <w:t>WATERWAYS CORPORATION</w:t>
            </w:r>
          </w:p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MT" w:hAnsi="ArialMT" w:cs="ArialMT"/>
                <w:b/>
                <w:bCs/>
                <w:sz w:val="20"/>
                <w:szCs w:val="20"/>
              </w:rPr>
            </w:pPr>
            <w:r w:rsidRPr="00F825F2">
              <w:rPr>
                <w:rFonts w:ascii="ArialMT" w:hAnsi="ArialMT" w:cs="ArialMT"/>
                <w:b/>
                <w:bCs/>
                <w:sz w:val="20"/>
                <w:szCs w:val="20"/>
              </w:rPr>
              <w:t>Income Statement</w:t>
            </w:r>
          </w:p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ArialMT" w:hAnsi="ArialMT" w:cs="ArialMT"/>
                <w:b/>
                <w:bCs/>
                <w:sz w:val="20"/>
                <w:szCs w:val="20"/>
              </w:rPr>
            </w:pPr>
            <w:r w:rsidRPr="00F825F2">
              <w:rPr>
                <w:rFonts w:ascii="ArialMT" w:hAnsi="ArialMT" w:cs="ArialMT"/>
                <w:b/>
                <w:bCs/>
                <w:sz w:val="20"/>
                <w:szCs w:val="20"/>
              </w:rPr>
              <w:t>For the Month of November, 2012</w:t>
            </w: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  <w:sz w:val="20"/>
                <w:szCs w:val="20"/>
              </w:rPr>
            </w:pPr>
          </w:p>
        </w:tc>
      </w:tr>
      <w:tr w:rsidR="00DE02A4" w:rsidRPr="00F825F2">
        <w:tc>
          <w:tcPr>
            <w:tcW w:w="530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DE02A4" w:rsidRPr="00F825F2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MT" w:hAnsi="ArialMT" w:cs="ArialMT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Sales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$1,350,000</w:t>
            </w:r>
          </w:p>
        </w:tc>
      </w:tr>
      <w:tr w:rsidR="00DE02A4" w:rsidRPr="00F825F2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Cost of goods sold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Finished goods inventory 11/1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 xml:space="preserve"> $  72,550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Cost of goods manufactured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  <w:u w:val="single"/>
              </w:rPr>
            </w:pPr>
            <w:r>
              <w:rPr>
                <w:rFonts w:ascii="ArialMT" w:hAnsi="ArialMT" w:cs="ArialMT"/>
                <w:sz w:val="20"/>
                <w:szCs w:val="20"/>
                <w:u w:val="single"/>
              </w:rPr>
              <w:t xml:space="preserve">  365,8</w:t>
            </w:r>
            <w:r w:rsidRPr="00F825F2">
              <w:rPr>
                <w:rFonts w:ascii="ArialMT" w:hAnsi="ArialMT" w:cs="ArialMT"/>
                <w:sz w:val="20"/>
                <w:szCs w:val="20"/>
                <w:u w:val="single"/>
              </w:rPr>
              <w:t xml:space="preserve">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>Cost of goods available for sale</w:t>
            </w:r>
            <w:r w:rsidRPr="00F825F2">
              <w:rPr>
                <w:rFonts w:ascii="ArialMT" w:hAnsi="ArialMT" w:cs="ArialMT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  438,3</w:t>
            </w:r>
            <w:r w:rsidRPr="00F825F2">
              <w:rPr>
                <w:rFonts w:ascii="ArialMT" w:hAnsi="ArialMT" w:cs="ArialMT"/>
                <w:sz w:val="20"/>
                <w:szCs w:val="20"/>
              </w:rPr>
              <w:t xml:space="preserve">50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sz w:val="20"/>
                <w:szCs w:val="20"/>
              </w:rPr>
              <w:t xml:space="preserve">Less:  </w:t>
            </w:r>
            <w:r w:rsidRPr="00F825F2">
              <w:rPr>
                <w:rFonts w:ascii="ArialMT" w:hAnsi="ArialMT" w:cs="ArialMT"/>
                <w:spacing w:val="-4"/>
                <w:kern w:val="1"/>
                <w:sz w:val="20"/>
                <w:szCs w:val="20"/>
              </w:rPr>
              <w:t>Finished goods inventory 11/30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  <w:u w:val="single"/>
              </w:rPr>
              <w:t xml:space="preserve">    68,800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Cost of goods sold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single"/>
              </w:rPr>
            </w:pPr>
            <w:r>
              <w:rPr>
                <w:rFonts w:ascii="ArialMT" w:hAnsi="ArialMT" w:cs="ArialMT"/>
                <w:kern w:val="1"/>
                <w:sz w:val="20"/>
                <w:szCs w:val="20"/>
                <w:u w:val="single"/>
              </w:rPr>
              <w:t xml:space="preserve">     369,5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  <w:u w:val="single"/>
              </w:rPr>
              <w:t xml:space="preserve">50 </w:t>
            </w:r>
          </w:p>
        </w:tc>
      </w:tr>
      <w:tr w:rsidR="00DE02A4" w:rsidRPr="00F825F2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Gross profit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>
              <w:rPr>
                <w:rFonts w:ascii="ArialUnicodeMS" w:hAnsi="ArialUnicodeMS" w:cs="ArialUnicodeMS"/>
                <w:kern w:val="1"/>
                <w:sz w:val="20"/>
                <w:szCs w:val="20"/>
              </w:rPr>
              <w:t>GrossProfit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>
              <w:rPr>
                <w:rFonts w:ascii="ArialMT" w:hAnsi="ArialMT" w:cs="ArialMT"/>
                <w:kern w:val="1"/>
                <w:sz w:val="20"/>
                <w:szCs w:val="20"/>
              </w:rPr>
              <w:t>980,4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50</w:t>
            </w:r>
          </w:p>
        </w:tc>
      </w:tr>
      <w:tr w:rsidR="00DE02A4" w:rsidRPr="00F825F2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Operating expenses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Selling expenses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Advertising expenses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54,000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Sales commissions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  <w:u w:val="single"/>
              </w:rPr>
              <w:t>    40,500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single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Total selling expenses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 94,500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Administrative expenses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Depreciation—office equipment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$    2,400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Office supplies expense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  1,600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Other administrative expenses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72,000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  Salaries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  <w:u w:val="single"/>
              </w:rPr>
              <w:t xml:space="preserve">  325,000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Total administrative expenses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  <w:u w:val="single"/>
              </w:rPr>
              <w:t xml:space="preserve">  401,000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Total operating expenses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  <w:u w:val="single"/>
              </w:rPr>
              <w:t xml:space="preserve">     495,500 </w:t>
            </w:r>
          </w:p>
        </w:tc>
      </w:tr>
      <w:tr w:rsidR="00DE02A4" w:rsidRPr="00F825F2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Net income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double"/>
              </w:rPr>
            </w:pPr>
            <w:r>
              <w:rPr>
                <w:rFonts w:ascii="ArialMT" w:hAnsi="ArialMT" w:cs="ArialMT"/>
                <w:kern w:val="1"/>
                <w:sz w:val="20"/>
                <w:szCs w:val="20"/>
                <w:u w:val="double"/>
              </w:rPr>
              <w:t>$   484,9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  <w:u w:val="double"/>
              </w:rPr>
              <w:t>50</w:t>
            </w:r>
          </w:p>
        </w:tc>
      </w:tr>
    </w:tbl>
    <w:p w:rsidR="00DE02A4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1"/>
          <w:sz w:val="24"/>
          <w:szCs w:val="24"/>
        </w:rPr>
      </w:pPr>
    </w:p>
    <w:p w:rsidR="00DE02A4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1"/>
          <w:sz w:val="24"/>
          <w:szCs w:val="24"/>
        </w:rPr>
      </w:pPr>
      <w:r>
        <w:rPr>
          <w:rFonts w:ascii="TimesNewRomanPSMT" w:hAnsi="TimesNewRomanPSMT" w:cs="TimesNewRomanPSMT"/>
          <w:kern w:val="1"/>
          <w:sz w:val="24"/>
          <w:szCs w:val="24"/>
        </w:rPr>
        <w:br w:type="page"/>
      </w:r>
    </w:p>
    <w:tbl>
      <w:tblPr>
        <w:tblW w:w="9594" w:type="dxa"/>
        <w:tblLayout w:type="fixed"/>
        <w:tblLook w:val="0000"/>
      </w:tblPr>
      <w:tblGrid>
        <w:gridCol w:w="1918"/>
        <w:gridCol w:w="1919"/>
        <w:gridCol w:w="1919"/>
        <w:gridCol w:w="1919"/>
        <w:gridCol w:w="1919"/>
      </w:tblGrid>
      <w:tr w:rsidR="00DE02A4" w:rsidRPr="00F825F2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b/>
                <w:bCs/>
                <w:kern w:val="1"/>
                <w:sz w:val="20"/>
                <w:szCs w:val="20"/>
              </w:rPr>
              <w:t>WATERWAYS CORPORATION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b/>
                <w:bCs/>
                <w:kern w:val="1"/>
                <w:sz w:val="20"/>
                <w:szCs w:val="20"/>
              </w:rPr>
              <w:t>Balance Sheet (partial)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b/>
                <w:bCs/>
                <w:kern w:val="1"/>
                <w:sz w:val="20"/>
                <w:szCs w:val="20"/>
              </w:rPr>
              <w:t>November 30, 2012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352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61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Current assets</w:t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Cash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$260,000</w:t>
            </w:r>
          </w:p>
        </w:tc>
      </w:tr>
      <w:tr w:rsidR="00DE02A4" w:rsidRPr="00F825F2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Accounts receivable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>
              <w:rPr>
                <w:rFonts w:ascii="ArialMT" w:hAnsi="ArialMT" w:cs="ArialMT"/>
                <w:kern w:val="1"/>
                <w:sz w:val="20"/>
                <w:szCs w:val="20"/>
              </w:rPr>
              <w:t xml:space="preserve">   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>
              <w:rPr>
                <w:rFonts w:ascii="ArialMT" w:hAnsi="ArialMT" w:cs="ArialMT"/>
                <w:kern w:val="1"/>
                <w:sz w:val="20"/>
                <w:szCs w:val="20"/>
              </w:rPr>
              <w:t>275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,000</w:t>
            </w:r>
          </w:p>
        </w:tc>
      </w:tr>
      <w:tr w:rsidR="00DE02A4" w:rsidRPr="00F825F2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Inventories</w:t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Raw materials inventory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$52,700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Work in process inventory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42,000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</w:tr>
      <w:tr w:rsidR="00DE02A4" w:rsidRPr="00F825F2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Finished goods inventory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  <w:u w:val="single"/>
              </w:rPr>
              <w:t>  68,800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163,500</w:t>
            </w:r>
          </w:p>
        </w:tc>
      </w:tr>
      <w:tr w:rsidR="00DE02A4" w:rsidRPr="00F825F2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Prepaid expenses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sing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single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  <w:u w:val="single"/>
              </w:rPr>
              <w:t>    42,150</w:t>
            </w:r>
          </w:p>
        </w:tc>
      </w:tr>
      <w:tr w:rsidR="00DE02A4" w:rsidRPr="00F825F2">
        <w:tc>
          <w:tcPr>
            <w:tcW w:w="61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tabs>
                <w:tab w:val="right" w:pos="6177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>Total current assets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ArialUnicodeMS" w:hAnsi="ArialUnicodeMS" w:cs="ArialUnicodeM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UnicodeMS" w:hAnsi="ArialUnicodeMS" w:cs="ArialUnicodeM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F825F2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UnicodeMS" w:hAnsi="ArialUnicodeMS" w:cs="ArialUnicodeMS"/>
                <w:kern w:val="1"/>
                <w:sz w:val="20"/>
                <w:szCs w:val="20"/>
                <w:u w:val="double"/>
              </w:rPr>
            </w:pPr>
            <w:r>
              <w:rPr>
                <w:rFonts w:ascii="ArialMT" w:hAnsi="ArialMT" w:cs="ArialMT"/>
                <w:kern w:val="1"/>
                <w:sz w:val="20"/>
                <w:szCs w:val="20"/>
                <w:u w:val="double"/>
              </w:rPr>
              <w:t>$740</w:t>
            </w:r>
            <w:r w:rsidRPr="00F825F2">
              <w:rPr>
                <w:rFonts w:ascii="ArialMT" w:hAnsi="ArialMT" w:cs="ArialMT"/>
                <w:kern w:val="1"/>
                <w:sz w:val="20"/>
                <w:szCs w:val="20"/>
                <w:u w:val="double"/>
              </w:rPr>
              <w:t>,650</w:t>
            </w:r>
          </w:p>
        </w:tc>
      </w:tr>
    </w:tbl>
    <w:p w:rsidR="00DE02A4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1"/>
          <w:sz w:val="24"/>
          <w:szCs w:val="24"/>
        </w:rPr>
      </w:pPr>
    </w:p>
    <w:sectPr w:rsidR="00DE02A4" w:rsidSect="008176E3">
      <w:footerReference w:type="default" r:id="rId8"/>
      <w:pgSz w:w="12240" w:h="15840"/>
      <w:pgMar w:top="1080" w:right="1080" w:bottom="720" w:left="108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2A4" w:rsidRDefault="00DE02A4" w:rsidP="00315D7A">
      <w:pPr>
        <w:spacing w:after="0" w:line="240" w:lineRule="auto"/>
      </w:pPr>
      <w:r>
        <w:separator/>
      </w:r>
    </w:p>
  </w:endnote>
  <w:endnote w:type="continuationSeparator" w:id="0">
    <w:p w:rsidR="00DE02A4" w:rsidRDefault="00DE02A4" w:rsidP="00315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2A4" w:rsidRDefault="00DE02A4" w:rsidP="000A4984">
    <w:pPr>
      <w:pStyle w:val="Footer"/>
      <w:tabs>
        <w:tab w:val="clear" w:pos="9360"/>
        <w:tab w:val="right" w:pos="9540"/>
        <w:tab w:val="right" w:pos="10071"/>
      </w:tabs>
      <w:ind w:left="27"/>
    </w:pPr>
    <w:r>
      <w:rPr>
        <w:sz w:val="20"/>
        <w:szCs w:val="20"/>
      </w:rPr>
      <w:t>Copyright © 2012 John Wiley &amp; Sons, Inc.</w:t>
    </w:r>
    <w:r>
      <w:rPr>
        <w:sz w:val="20"/>
        <w:szCs w:val="20"/>
      </w:rPr>
      <w:t> </w:t>
    </w:r>
    <w:r>
      <w:rPr>
        <w:sz w:val="20"/>
        <w:szCs w:val="20"/>
      </w:rPr>
      <w:t> </w:t>
    </w:r>
    <w:r>
      <w:rPr>
        <w:sz w:val="20"/>
        <w:szCs w:val="20"/>
      </w:rPr>
      <w:t> </w:t>
    </w:r>
    <w:r>
      <w:rPr>
        <w:sz w:val="20"/>
        <w:szCs w:val="20"/>
      </w:rPr>
      <w:t>Waterways Practice Set</w:t>
    </w:r>
    <w:r>
      <w:rPr>
        <w:sz w:val="20"/>
        <w:szCs w:val="20"/>
      </w:rPr>
      <w:t> </w:t>
    </w:r>
    <w:r>
      <w:rPr>
        <w:sz w:val="20"/>
        <w:szCs w:val="20"/>
      </w:rPr>
      <w:t> </w:t>
    </w:r>
    <w:r>
      <w:rPr>
        <w:sz w:val="20"/>
        <w:szCs w:val="20"/>
      </w:rPr>
      <w:t> </w:t>
    </w:r>
    <w:r>
      <w:rPr>
        <w:sz w:val="20"/>
        <w:szCs w:val="20"/>
      </w:rPr>
      <w:t>(For Instructor Use Only)           14</w:t>
    </w:r>
    <w:r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D12D1">
      <w:rPr>
        <w:rStyle w:val="PageNumber"/>
        <w:noProof/>
      </w:rPr>
      <w:t>1</w:t>
    </w:r>
    <w:r>
      <w:rPr>
        <w:rStyle w:val="PageNumber"/>
      </w:rPr>
      <w:fldChar w:fldCharType="end"/>
    </w:r>
  </w:p>
  <w:p w:rsidR="00DE02A4" w:rsidRDefault="00DE02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2A4" w:rsidRDefault="00DE02A4" w:rsidP="00315D7A">
      <w:pPr>
        <w:spacing w:after="0" w:line="240" w:lineRule="auto"/>
      </w:pPr>
      <w:r>
        <w:separator/>
      </w:r>
    </w:p>
  </w:footnote>
  <w:footnote w:type="continuationSeparator" w:id="0">
    <w:p w:rsidR="00DE02A4" w:rsidRDefault="00DE02A4" w:rsidP="00315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137F4"/>
    <w:multiLevelType w:val="hybridMultilevel"/>
    <w:tmpl w:val="0360C1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15D7A"/>
    <w:rsid w:val="00006AEB"/>
    <w:rsid w:val="000A4984"/>
    <w:rsid w:val="000D12D1"/>
    <w:rsid w:val="00192351"/>
    <w:rsid w:val="002E6646"/>
    <w:rsid w:val="00315D7A"/>
    <w:rsid w:val="003818CD"/>
    <w:rsid w:val="004631A6"/>
    <w:rsid w:val="00724EE0"/>
    <w:rsid w:val="008176E3"/>
    <w:rsid w:val="00892ECB"/>
    <w:rsid w:val="00AA6BFB"/>
    <w:rsid w:val="00AD0538"/>
    <w:rsid w:val="00DE02A4"/>
    <w:rsid w:val="00F8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6E3"/>
    <w:pPr>
      <w:spacing w:after="200" w:line="276" w:lineRule="auto"/>
    </w:pPr>
    <w:rPr>
      <w:rFonts w:cs="Calibri"/>
      <w:sz w:val="22"/>
      <w:szCs w:val="22"/>
      <w:lang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15D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5D7A"/>
  </w:style>
  <w:style w:type="paragraph" w:styleId="Footer">
    <w:name w:val="footer"/>
    <w:basedOn w:val="Normal"/>
    <w:link w:val="FooterChar"/>
    <w:uiPriority w:val="99"/>
    <w:rsid w:val="00315D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5D7A"/>
  </w:style>
  <w:style w:type="character" w:styleId="PageNumber">
    <w:name w:val="page number"/>
    <w:basedOn w:val="DefaultParagraphFont"/>
    <w:uiPriority w:val="99"/>
    <w:rsid w:val="000A4984"/>
  </w:style>
  <w:style w:type="paragraph" w:styleId="BalloonText">
    <w:name w:val="Balloon Text"/>
    <w:basedOn w:val="Normal"/>
    <w:link w:val="BalloonTextChar"/>
    <w:uiPriority w:val="99"/>
    <w:semiHidden/>
    <w:rsid w:val="0019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2351"/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</vt:lpstr>
    </vt:vector>
  </TitlesOfParts>
  <Company>Ann Torbert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</dc:title>
  <dc:creator>Ann Torbert</dc:creator>
  <cp:lastModifiedBy>WileyService</cp:lastModifiedBy>
  <cp:revision>2</cp:revision>
  <dcterms:created xsi:type="dcterms:W3CDTF">2011-09-27T16:47:00Z</dcterms:created>
  <dcterms:modified xsi:type="dcterms:W3CDTF">2011-09-27T16:47:00Z</dcterms:modified>
</cp:coreProperties>
</file>