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53834C" w14:textId="77777777" w:rsidR="003972DE" w:rsidRDefault="003972DE" w:rsidP="003972DE">
      <w:pPr>
        <w:jc w:val="center"/>
        <w:rPr>
          <w:rFonts w:ascii="Calibri" w:hAnsi="Calibri" w:cs="Calibri"/>
          <w:b/>
          <w:sz w:val="32"/>
          <w:szCs w:val="32"/>
        </w:rPr>
      </w:pPr>
    </w:p>
    <w:p w14:paraId="13E0F7AB" w14:textId="77777777" w:rsidR="003972DE" w:rsidRDefault="003972DE" w:rsidP="003972DE">
      <w:pPr>
        <w:jc w:val="center"/>
        <w:rPr>
          <w:rFonts w:ascii="Calibri" w:hAnsi="Calibri" w:cs="Calibri"/>
          <w:b/>
          <w:sz w:val="32"/>
          <w:szCs w:val="32"/>
        </w:rPr>
      </w:pPr>
    </w:p>
    <w:p w14:paraId="388A14BE" w14:textId="77777777" w:rsidR="003972DE" w:rsidRDefault="003972DE" w:rsidP="003972DE">
      <w:pPr>
        <w:jc w:val="center"/>
        <w:rPr>
          <w:rFonts w:ascii="Calibri" w:hAnsi="Calibri" w:cs="Calibri"/>
          <w:b/>
          <w:sz w:val="32"/>
          <w:szCs w:val="32"/>
        </w:rPr>
      </w:pPr>
    </w:p>
    <w:p w14:paraId="244A8AA7" w14:textId="77777777" w:rsidR="003972DE" w:rsidRPr="000136B9" w:rsidRDefault="003972DE" w:rsidP="003972DE">
      <w:pPr>
        <w:jc w:val="center"/>
        <w:rPr>
          <w:rFonts w:ascii="Calibri" w:hAnsi="Calibri" w:cs="Calibri"/>
          <w:b/>
          <w:sz w:val="32"/>
          <w:szCs w:val="32"/>
        </w:rPr>
      </w:pPr>
      <w:r w:rsidRPr="000136B9">
        <w:rPr>
          <w:rFonts w:ascii="Calibri" w:hAnsi="Calibri" w:cs="Calibri"/>
          <w:b/>
          <w:sz w:val="32"/>
          <w:szCs w:val="32"/>
        </w:rPr>
        <w:t xml:space="preserve">International Financial Reporting and Analysis, </w:t>
      </w:r>
    </w:p>
    <w:p w14:paraId="5AB5E309" w14:textId="1A6C5111" w:rsidR="003972DE" w:rsidRPr="000136B9" w:rsidRDefault="008E11BD" w:rsidP="003972DE">
      <w:pPr>
        <w:jc w:val="center"/>
        <w:rPr>
          <w:rFonts w:ascii="Calibri" w:hAnsi="Calibri" w:cs="Calibri"/>
          <w:b/>
          <w:sz w:val="32"/>
          <w:szCs w:val="32"/>
        </w:rPr>
      </w:pPr>
      <w:r>
        <w:rPr>
          <w:rFonts w:ascii="Calibri" w:hAnsi="Calibri" w:cs="Calibri"/>
          <w:b/>
          <w:sz w:val="32"/>
          <w:szCs w:val="32"/>
        </w:rPr>
        <w:t>8</w:t>
      </w:r>
      <w:r w:rsidR="003972DE" w:rsidRPr="000136B9">
        <w:rPr>
          <w:rFonts w:ascii="Calibri" w:hAnsi="Calibri" w:cs="Calibri"/>
          <w:b/>
          <w:sz w:val="32"/>
          <w:szCs w:val="32"/>
          <w:vertAlign w:val="superscript"/>
        </w:rPr>
        <w:t>th</w:t>
      </w:r>
      <w:r w:rsidR="003972DE" w:rsidRPr="000136B9">
        <w:rPr>
          <w:rFonts w:ascii="Calibri" w:hAnsi="Calibri" w:cs="Calibri"/>
          <w:b/>
          <w:sz w:val="32"/>
          <w:szCs w:val="32"/>
        </w:rPr>
        <w:t xml:space="preserve"> edition</w:t>
      </w:r>
    </w:p>
    <w:p w14:paraId="0ED3BD38" w14:textId="77777777" w:rsidR="003972DE" w:rsidRPr="000136B9" w:rsidRDefault="003972DE" w:rsidP="003972DE">
      <w:pPr>
        <w:jc w:val="center"/>
        <w:rPr>
          <w:rFonts w:ascii="Calibri" w:hAnsi="Calibri" w:cs="Calibri"/>
          <w:b/>
          <w:sz w:val="32"/>
          <w:szCs w:val="32"/>
        </w:rPr>
      </w:pPr>
    </w:p>
    <w:p w14:paraId="5AE55C36" w14:textId="77777777" w:rsidR="00A0210F" w:rsidRDefault="003972DE" w:rsidP="00A0210F">
      <w:pPr>
        <w:jc w:val="center"/>
        <w:rPr>
          <w:rFonts w:ascii="Calibri" w:hAnsi="Calibri" w:cs="Calibri"/>
          <w:b/>
          <w:sz w:val="32"/>
          <w:szCs w:val="32"/>
        </w:rPr>
      </w:pPr>
      <w:r w:rsidRPr="000136B9">
        <w:rPr>
          <w:rFonts w:ascii="Calibri" w:hAnsi="Calibri" w:cs="Calibri"/>
          <w:b/>
          <w:sz w:val="32"/>
          <w:szCs w:val="32"/>
        </w:rPr>
        <w:t xml:space="preserve">David Alexander, Ann Jorissen, Martin Hoogendoorn, </w:t>
      </w:r>
    </w:p>
    <w:p w14:paraId="0DA342FB" w14:textId="097EA750" w:rsidR="003972DE" w:rsidRPr="000136B9" w:rsidRDefault="003972DE" w:rsidP="00A0210F">
      <w:pPr>
        <w:jc w:val="center"/>
        <w:rPr>
          <w:rFonts w:ascii="Calibri" w:hAnsi="Calibri" w:cs="Calibri"/>
          <w:b/>
          <w:sz w:val="32"/>
          <w:szCs w:val="32"/>
        </w:rPr>
      </w:pPr>
      <w:r w:rsidRPr="000136B9">
        <w:rPr>
          <w:rFonts w:ascii="Calibri" w:hAnsi="Calibri" w:cs="Calibri"/>
          <w:b/>
          <w:sz w:val="32"/>
          <w:szCs w:val="32"/>
        </w:rPr>
        <w:t>Carien van Mourik</w:t>
      </w:r>
      <w:r w:rsidR="00D548DD">
        <w:rPr>
          <w:rFonts w:ascii="Calibri" w:hAnsi="Calibri" w:cs="Calibri"/>
          <w:b/>
          <w:sz w:val="32"/>
          <w:szCs w:val="32"/>
        </w:rPr>
        <w:t xml:space="preserve"> and Colette Kirwan</w:t>
      </w:r>
    </w:p>
    <w:p w14:paraId="4B4D51DA" w14:textId="77777777" w:rsidR="003972DE" w:rsidRPr="000136B9" w:rsidRDefault="003972DE" w:rsidP="003972DE">
      <w:pPr>
        <w:ind w:right="46"/>
        <w:jc w:val="center"/>
        <w:rPr>
          <w:rFonts w:ascii="Calibri" w:hAnsi="Calibri" w:cs="Calibri"/>
          <w:b/>
          <w:sz w:val="32"/>
          <w:szCs w:val="32"/>
        </w:rPr>
      </w:pPr>
    </w:p>
    <w:p w14:paraId="7049FAA6" w14:textId="77777777" w:rsidR="003972DE" w:rsidRDefault="003972DE" w:rsidP="003972DE">
      <w:pPr>
        <w:jc w:val="center"/>
        <w:rPr>
          <w:rFonts w:ascii="Calibri" w:hAnsi="Calibri" w:cs="Calibri"/>
          <w:b/>
          <w:sz w:val="32"/>
          <w:szCs w:val="32"/>
        </w:rPr>
      </w:pPr>
      <w:r w:rsidRPr="000136B9">
        <w:rPr>
          <w:rFonts w:ascii="Calibri" w:hAnsi="Calibri" w:cs="Calibri"/>
          <w:b/>
          <w:sz w:val="32"/>
          <w:szCs w:val="32"/>
        </w:rPr>
        <w:t>Solutions Manual</w:t>
      </w:r>
    </w:p>
    <w:p w14:paraId="6121A611" w14:textId="77777777" w:rsidR="003972DE" w:rsidRDefault="003972DE" w:rsidP="003972DE">
      <w:pPr>
        <w:jc w:val="center"/>
        <w:rPr>
          <w:rFonts w:ascii="Calibri" w:hAnsi="Calibri" w:cs="Calibri"/>
          <w:b/>
          <w:sz w:val="32"/>
          <w:szCs w:val="32"/>
        </w:rPr>
      </w:pPr>
    </w:p>
    <w:p w14:paraId="62ECCC71" w14:textId="77777777" w:rsidR="003972DE" w:rsidRDefault="003972DE" w:rsidP="003972DE">
      <w:pPr>
        <w:jc w:val="center"/>
        <w:rPr>
          <w:rFonts w:ascii="Calibri" w:hAnsi="Calibri" w:cs="Calibri"/>
          <w:b/>
          <w:sz w:val="32"/>
          <w:szCs w:val="32"/>
        </w:rPr>
      </w:pPr>
    </w:p>
    <w:p w14:paraId="316BE4F7" w14:textId="77777777" w:rsidR="003972DE" w:rsidRPr="00F35F40" w:rsidRDefault="003972DE" w:rsidP="003972DE">
      <w:pPr>
        <w:widowControl w:val="0"/>
        <w:autoSpaceDE w:val="0"/>
        <w:autoSpaceDN w:val="0"/>
        <w:adjustRightInd w:val="0"/>
        <w:rPr>
          <w:rFonts w:ascii="Calibri" w:hAnsi="Calibri" w:cs="Calibri"/>
          <w:b/>
          <w:color w:val="000000"/>
          <w:sz w:val="22"/>
          <w:szCs w:val="22"/>
          <w:lang w:val="en-GB"/>
        </w:rPr>
      </w:pPr>
      <w:r w:rsidRPr="00F35F40">
        <w:rPr>
          <w:rFonts w:ascii="Calibri" w:hAnsi="Calibri" w:cs="Calibri"/>
          <w:b/>
          <w:color w:val="000000"/>
          <w:sz w:val="22"/>
          <w:szCs w:val="22"/>
          <w:lang w:val="en-GB"/>
        </w:rPr>
        <w:t xml:space="preserve">Answers marked </w:t>
      </w:r>
      <w:r w:rsidRPr="00F35F40">
        <w:rPr>
          <w:rFonts w:ascii="Calibri" w:hAnsi="Calibri" w:cs="Calibri"/>
          <w:b/>
          <w:color w:val="000000"/>
          <w:sz w:val="22"/>
          <w:szCs w:val="22"/>
          <w:lang w:val="en-GB"/>
        </w:rPr>
        <w:sym w:font="Wingdings" w:char="F0FE"/>
      </w:r>
      <w:r w:rsidRPr="00F35F40">
        <w:rPr>
          <w:rFonts w:ascii="Calibri" w:hAnsi="Calibri" w:cs="Calibri"/>
          <w:b/>
          <w:color w:val="000000"/>
          <w:sz w:val="22"/>
          <w:szCs w:val="22"/>
          <w:lang w:val="en-GB"/>
        </w:rPr>
        <w:t xml:space="preserve"> can also be found on the Stud</w:t>
      </w:r>
      <w:r>
        <w:rPr>
          <w:rFonts w:ascii="Calibri" w:hAnsi="Calibri" w:cs="Calibri"/>
          <w:b/>
          <w:color w:val="000000"/>
          <w:sz w:val="22"/>
          <w:szCs w:val="22"/>
          <w:lang w:val="en-GB"/>
        </w:rPr>
        <w:t>e</w:t>
      </w:r>
      <w:r w:rsidRPr="00F35F40">
        <w:rPr>
          <w:rFonts w:ascii="Calibri" w:hAnsi="Calibri" w:cs="Calibri"/>
          <w:b/>
          <w:color w:val="000000"/>
          <w:sz w:val="22"/>
          <w:szCs w:val="22"/>
          <w:lang w:val="en-GB"/>
        </w:rPr>
        <w:t xml:space="preserve">nt side of the website. </w:t>
      </w:r>
    </w:p>
    <w:p w14:paraId="133BB060" w14:textId="77777777" w:rsidR="003972DE" w:rsidRDefault="003972DE" w:rsidP="003972DE">
      <w:pPr>
        <w:jc w:val="center"/>
        <w:rPr>
          <w:rFonts w:ascii="Calibri" w:hAnsi="Calibri" w:cs="Calibri"/>
          <w:b/>
          <w:sz w:val="32"/>
          <w:szCs w:val="32"/>
        </w:rPr>
      </w:pPr>
    </w:p>
    <w:p w14:paraId="73EA01C7" w14:textId="77777777" w:rsidR="003972DE" w:rsidRDefault="003972DE" w:rsidP="003972DE">
      <w:pPr>
        <w:rPr>
          <w:rFonts w:ascii="Calibri" w:hAnsi="Calibri" w:cs="Calibri"/>
          <w:b/>
          <w:sz w:val="32"/>
          <w:szCs w:val="32"/>
        </w:rPr>
      </w:pPr>
      <w:r>
        <w:rPr>
          <w:rFonts w:ascii="Calibri" w:hAnsi="Calibri" w:cs="Calibri"/>
          <w:b/>
          <w:sz w:val="32"/>
          <w:szCs w:val="32"/>
        </w:rPr>
        <w:br w:type="page"/>
      </w:r>
      <w:bookmarkStart w:id="0" w:name="_GoBack"/>
      <w:bookmarkEnd w:id="0"/>
    </w:p>
    <w:p w14:paraId="73532441" w14:textId="77777777" w:rsidR="003972DE" w:rsidRPr="008949A6" w:rsidRDefault="003972DE" w:rsidP="003972DE">
      <w:pPr>
        <w:rPr>
          <w:rFonts w:asciiTheme="minorHAnsi" w:hAnsiTheme="minorHAnsi" w:cstheme="minorHAnsi"/>
          <w:b/>
          <w:caps/>
          <w:sz w:val="28"/>
        </w:rPr>
      </w:pPr>
      <w:r w:rsidRPr="008949A6">
        <w:rPr>
          <w:rFonts w:asciiTheme="minorHAnsi" w:hAnsiTheme="minorHAnsi" w:cstheme="minorHAnsi"/>
          <w:b/>
          <w:caps/>
          <w:sz w:val="28"/>
        </w:rPr>
        <w:lastRenderedPageBreak/>
        <w:t>Chapter 1 A brief introduction to international financial reporting</w:t>
      </w:r>
    </w:p>
    <w:p w14:paraId="57A2C048" w14:textId="77777777" w:rsidR="003972DE" w:rsidRPr="00F35F40" w:rsidRDefault="003972DE" w:rsidP="003972DE">
      <w:pPr>
        <w:widowControl w:val="0"/>
        <w:tabs>
          <w:tab w:val="left" w:pos="1701"/>
        </w:tabs>
        <w:autoSpaceDE w:val="0"/>
        <w:autoSpaceDN w:val="0"/>
        <w:adjustRightInd w:val="0"/>
        <w:rPr>
          <w:rFonts w:ascii="Calibri" w:hAnsi="Calibri" w:cs="Calibri"/>
          <w:color w:val="000000"/>
          <w:sz w:val="22"/>
          <w:szCs w:val="22"/>
          <w:lang w:val="en-GB"/>
        </w:rPr>
      </w:pPr>
    </w:p>
    <w:p w14:paraId="19B76EF0" w14:textId="2158EC7B" w:rsidR="003972DE" w:rsidRPr="00F35F40" w:rsidRDefault="003972DE" w:rsidP="003972DE">
      <w:pPr>
        <w:widowControl w:val="0"/>
        <w:tabs>
          <w:tab w:val="left" w:pos="1701"/>
          <w:tab w:val="left" w:pos="2268"/>
          <w:tab w:val="left" w:pos="3241"/>
        </w:tabs>
        <w:autoSpaceDE w:val="0"/>
        <w:autoSpaceDN w:val="0"/>
        <w:adjustRightInd w:val="0"/>
        <w:ind w:right="-58"/>
        <w:jc w:val="both"/>
        <w:rPr>
          <w:rFonts w:ascii="Calibri" w:hAnsi="Calibri" w:cs="Calibri"/>
          <w:color w:val="000000"/>
          <w:sz w:val="22"/>
          <w:szCs w:val="22"/>
          <w:lang w:val="en-GB"/>
        </w:rPr>
      </w:pPr>
      <w:r w:rsidRPr="00F35F40">
        <w:rPr>
          <w:rFonts w:ascii="Calibri" w:hAnsi="Calibri" w:cs="Calibri"/>
          <w:color w:val="000000"/>
          <w:sz w:val="22"/>
          <w:szCs w:val="22"/>
          <w:lang w:val="en-GB"/>
        </w:rPr>
        <w:sym w:font="Wingdings" w:char="F0FE"/>
      </w:r>
      <w:r>
        <w:rPr>
          <w:rFonts w:ascii="Calibri" w:hAnsi="Calibri" w:cs="Calibri"/>
          <w:color w:val="000000"/>
          <w:sz w:val="22"/>
          <w:szCs w:val="22"/>
          <w:lang w:val="en-GB"/>
        </w:rPr>
        <w:t xml:space="preserve"> </w:t>
      </w:r>
      <w:r w:rsidRPr="00F35F40">
        <w:rPr>
          <w:rFonts w:ascii="Calibri" w:hAnsi="Calibri" w:cs="Calibri"/>
          <w:color w:val="000000"/>
          <w:sz w:val="22"/>
          <w:szCs w:val="22"/>
          <w:lang w:val="en-GB"/>
        </w:rPr>
        <w:t xml:space="preserve">1 Obviously the scope here is almost endless. Here are three definitions from the US (extracted from </w:t>
      </w:r>
      <w:proofErr w:type="spellStart"/>
      <w:r w:rsidRPr="00D548DD">
        <w:rPr>
          <w:rFonts w:ascii="Calibri" w:hAnsi="Calibri" w:cs="Calibri"/>
          <w:sz w:val="22"/>
          <w:szCs w:val="22"/>
          <w:lang w:val="en-GB"/>
        </w:rPr>
        <w:t>Belkaoui</w:t>
      </w:r>
      <w:proofErr w:type="spellEnd"/>
      <w:r w:rsidRPr="00D548DD">
        <w:rPr>
          <w:rFonts w:ascii="Calibri" w:hAnsi="Calibri" w:cs="Calibri"/>
          <w:sz w:val="22"/>
          <w:szCs w:val="22"/>
          <w:lang w:val="en-GB"/>
        </w:rPr>
        <w:t xml:space="preserve"> (2004: 38) </w:t>
      </w:r>
      <w:r w:rsidRPr="00F35F40">
        <w:rPr>
          <w:rFonts w:ascii="Calibri" w:hAnsi="Calibri" w:cs="Calibri"/>
          <w:i/>
          <w:iCs/>
          <w:color w:val="000000"/>
          <w:sz w:val="22"/>
          <w:szCs w:val="22"/>
          <w:lang w:val="en-GB"/>
        </w:rPr>
        <w:t>Accounting Theory</w:t>
      </w:r>
      <w:r w:rsidRPr="00F35F40">
        <w:rPr>
          <w:rFonts w:ascii="Calibri" w:hAnsi="Calibri" w:cs="Calibri"/>
          <w:color w:val="000000"/>
          <w:sz w:val="22"/>
          <w:szCs w:val="22"/>
          <w:lang w:val="en-GB"/>
        </w:rPr>
        <w:t xml:space="preserve">, 5th </w:t>
      </w:r>
      <w:proofErr w:type="spellStart"/>
      <w:r w:rsidRPr="00F35F40">
        <w:rPr>
          <w:rFonts w:ascii="Calibri" w:hAnsi="Calibri" w:cs="Calibri"/>
          <w:color w:val="000000"/>
          <w:sz w:val="22"/>
          <w:szCs w:val="22"/>
          <w:lang w:val="en-GB"/>
        </w:rPr>
        <w:t>edn</w:t>
      </w:r>
      <w:proofErr w:type="spellEnd"/>
      <w:r w:rsidRPr="00F35F40">
        <w:rPr>
          <w:rFonts w:ascii="Calibri" w:hAnsi="Calibri" w:cs="Calibri"/>
          <w:color w:val="000000"/>
          <w:sz w:val="22"/>
          <w:szCs w:val="22"/>
          <w:lang w:val="en-GB"/>
        </w:rPr>
        <w:t>, Cengage Learning EMEA).</w:t>
      </w:r>
    </w:p>
    <w:p w14:paraId="2D27AC6E" w14:textId="77777777" w:rsidR="003972DE" w:rsidRPr="00F35F40" w:rsidRDefault="003972DE" w:rsidP="003972DE">
      <w:pPr>
        <w:widowControl w:val="0"/>
        <w:tabs>
          <w:tab w:val="left" w:pos="1701"/>
          <w:tab w:val="left" w:pos="2268"/>
          <w:tab w:val="left" w:pos="3241"/>
        </w:tabs>
        <w:autoSpaceDE w:val="0"/>
        <w:autoSpaceDN w:val="0"/>
        <w:adjustRightInd w:val="0"/>
        <w:ind w:right="-58"/>
        <w:jc w:val="both"/>
        <w:rPr>
          <w:rFonts w:ascii="Calibri" w:hAnsi="Calibri" w:cs="Calibri"/>
          <w:color w:val="000000"/>
          <w:sz w:val="22"/>
          <w:szCs w:val="22"/>
          <w:lang w:val="en-GB"/>
        </w:rPr>
      </w:pPr>
    </w:p>
    <w:p w14:paraId="660EB720" w14:textId="77777777" w:rsidR="003972DE" w:rsidRPr="00F35F40" w:rsidRDefault="003972DE" w:rsidP="003972DE">
      <w:pPr>
        <w:widowControl w:val="0"/>
        <w:tabs>
          <w:tab w:val="left" w:pos="1701"/>
          <w:tab w:val="left" w:pos="2268"/>
          <w:tab w:val="left" w:pos="3241"/>
        </w:tabs>
        <w:autoSpaceDE w:val="0"/>
        <w:autoSpaceDN w:val="0"/>
        <w:adjustRightInd w:val="0"/>
        <w:ind w:left="474" w:right="-58"/>
        <w:jc w:val="both"/>
        <w:rPr>
          <w:rFonts w:ascii="Calibri" w:hAnsi="Calibri" w:cs="Calibri"/>
          <w:color w:val="000000"/>
          <w:sz w:val="22"/>
          <w:szCs w:val="22"/>
          <w:lang w:val="en-GB"/>
        </w:rPr>
      </w:pPr>
      <w:r w:rsidRPr="00F35F40">
        <w:rPr>
          <w:rFonts w:ascii="Calibri" w:hAnsi="Calibri" w:cs="Calibri"/>
          <w:color w:val="000000"/>
          <w:sz w:val="22"/>
          <w:szCs w:val="22"/>
          <w:lang w:val="en-GB"/>
        </w:rPr>
        <w:t xml:space="preserve">‘The Committee on Terminology of the American Institute of Certified Public Accounting defined accounting as follows: </w:t>
      </w:r>
    </w:p>
    <w:p w14:paraId="5D94252F" w14:textId="77777777" w:rsidR="003972DE" w:rsidRPr="00F35F40" w:rsidRDefault="003972DE" w:rsidP="003972DE">
      <w:pPr>
        <w:widowControl w:val="0"/>
        <w:tabs>
          <w:tab w:val="left" w:pos="1701"/>
          <w:tab w:val="left" w:pos="2268"/>
        </w:tabs>
        <w:autoSpaceDE w:val="0"/>
        <w:autoSpaceDN w:val="0"/>
        <w:adjustRightInd w:val="0"/>
        <w:ind w:left="474" w:right="-58"/>
        <w:jc w:val="both"/>
        <w:rPr>
          <w:rFonts w:ascii="Calibri" w:hAnsi="Calibri" w:cs="Calibri"/>
          <w:color w:val="000000"/>
          <w:sz w:val="22"/>
          <w:szCs w:val="22"/>
          <w:lang w:val="en-GB"/>
        </w:rPr>
      </w:pPr>
    </w:p>
    <w:p w14:paraId="17635EC2" w14:textId="77777777" w:rsidR="003972DE" w:rsidRPr="00F35F40" w:rsidRDefault="003972DE" w:rsidP="003972DE">
      <w:pPr>
        <w:widowControl w:val="0"/>
        <w:tabs>
          <w:tab w:val="left" w:pos="2268"/>
        </w:tabs>
        <w:autoSpaceDE w:val="0"/>
        <w:autoSpaceDN w:val="0"/>
        <w:adjustRightInd w:val="0"/>
        <w:ind w:left="474" w:right="-58"/>
        <w:jc w:val="both"/>
        <w:rPr>
          <w:rFonts w:ascii="Calibri" w:hAnsi="Calibri" w:cs="Calibri"/>
          <w:color w:val="000000"/>
          <w:sz w:val="22"/>
          <w:szCs w:val="22"/>
          <w:vertAlign w:val="superscript"/>
          <w:lang w:val="en-GB"/>
        </w:rPr>
      </w:pPr>
      <w:r w:rsidRPr="00F35F40">
        <w:rPr>
          <w:rFonts w:ascii="Calibri" w:hAnsi="Calibri" w:cs="Calibri"/>
          <w:i/>
          <w:color w:val="000000"/>
          <w:sz w:val="22"/>
          <w:szCs w:val="22"/>
          <w:lang w:val="en-GB"/>
        </w:rPr>
        <w:t>Accounting is the art of recording, classifying, and summarizing in a significant manner and in terms of money, transactions and events which are, in part at least, of a financial character, and interpreting the results thereof</w:t>
      </w:r>
      <w:r w:rsidRPr="00F35F40">
        <w:rPr>
          <w:rFonts w:ascii="Calibri" w:hAnsi="Calibri" w:cs="Calibri"/>
          <w:color w:val="000000"/>
          <w:sz w:val="22"/>
          <w:szCs w:val="22"/>
          <w:lang w:val="en-GB"/>
        </w:rPr>
        <w:t>.</w:t>
      </w:r>
      <w:r w:rsidRPr="00F35F40">
        <w:rPr>
          <w:rFonts w:ascii="Calibri" w:hAnsi="Calibri" w:cs="Calibri"/>
          <w:color w:val="000000"/>
          <w:sz w:val="22"/>
          <w:szCs w:val="22"/>
          <w:vertAlign w:val="superscript"/>
          <w:lang w:val="en-GB"/>
        </w:rPr>
        <w:footnoteReference w:id="1"/>
      </w:r>
      <w:r w:rsidRPr="00F35F40">
        <w:rPr>
          <w:rFonts w:ascii="Calibri" w:hAnsi="Calibri" w:cs="Calibri"/>
          <w:color w:val="000000"/>
          <w:sz w:val="22"/>
          <w:szCs w:val="22"/>
          <w:vertAlign w:val="superscript"/>
          <w:lang w:val="en-GB"/>
        </w:rPr>
        <w:t xml:space="preserve"> </w:t>
      </w:r>
    </w:p>
    <w:p w14:paraId="5A36F46B" w14:textId="77777777" w:rsidR="003972DE" w:rsidRPr="00F35F40" w:rsidRDefault="003972DE" w:rsidP="003972DE">
      <w:pPr>
        <w:widowControl w:val="0"/>
        <w:tabs>
          <w:tab w:val="left" w:pos="1701"/>
          <w:tab w:val="left" w:pos="2268"/>
        </w:tabs>
        <w:autoSpaceDE w:val="0"/>
        <w:autoSpaceDN w:val="0"/>
        <w:adjustRightInd w:val="0"/>
        <w:ind w:left="474" w:right="-58"/>
        <w:jc w:val="both"/>
        <w:rPr>
          <w:rFonts w:ascii="Calibri" w:hAnsi="Calibri" w:cs="Calibri"/>
          <w:color w:val="000000"/>
          <w:sz w:val="22"/>
          <w:szCs w:val="22"/>
          <w:vertAlign w:val="superscript"/>
          <w:lang w:val="en-GB"/>
        </w:rPr>
      </w:pPr>
    </w:p>
    <w:p w14:paraId="094B92B4" w14:textId="77777777" w:rsidR="003972DE" w:rsidRPr="00F35F40" w:rsidRDefault="003972DE" w:rsidP="003972DE">
      <w:pPr>
        <w:widowControl w:val="0"/>
        <w:tabs>
          <w:tab w:val="left" w:pos="1701"/>
          <w:tab w:val="left" w:pos="2268"/>
        </w:tabs>
        <w:autoSpaceDE w:val="0"/>
        <w:autoSpaceDN w:val="0"/>
        <w:adjustRightInd w:val="0"/>
        <w:ind w:left="474" w:right="-58"/>
        <w:jc w:val="both"/>
        <w:rPr>
          <w:rFonts w:ascii="Calibri" w:hAnsi="Calibri" w:cs="Calibri"/>
          <w:color w:val="000000"/>
          <w:sz w:val="22"/>
          <w:szCs w:val="22"/>
          <w:lang w:val="en-GB"/>
        </w:rPr>
      </w:pPr>
      <w:r w:rsidRPr="00F35F40">
        <w:rPr>
          <w:rFonts w:ascii="Calibri" w:hAnsi="Calibri" w:cs="Calibri"/>
          <w:color w:val="000000"/>
          <w:sz w:val="22"/>
          <w:szCs w:val="22"/>
          <w:lang w:val="en-GB"/>
        </w:rPr>
        <w:t xml:space="preserve">The scope of accounting from this definition appears limited. A broader perspective was offered, by the following definition of accounting as: </w:t>
      </w:r>
    </w:p>
    <w:p w14:paraId="3347B119" w14:textId="77777777" w:rsidR="003972DE" w:rsidRPr="00F35F40" w:rsidRDefault="003972DE" w:rsidP="003972DE">
      <w:pPr>
        <w:widowControl w:val="0"/>
        <w:tabs>
          <w:tab w:val="left" w:pos="1701"/>
          <w:tab w:val="left" w:pos="2268"/>
        </w:tabs>
        <w:autoSpaceDE w:val="0"/>
        <w:autoSpaceDN w:val="0"/>
        <w:adjustRightInd w:val="0"/>
        <w:ind w:left="474" w:right="-58"/>
        <w:jc w:val="both"/>
        <w:rPr>
          <w:rFonts w:ascii="Calibri" w:hAnsi="Calibri" w:cs="Calibri"/>
          <w:color w:val="000000"/>
          <w:sz w:val="22"/>
          <w:szCs w:val="22"/>
          <w:lang w:val="en-GB"/>
        </w:rPr>
      </w:pPr>
    </w:p>
    <w:p w14:paraId="6061DE47" w14:textId="77777777" w:rsidR="003972DE" w:rsidRPr="00F35F40" w:rsidRDefault="003972DE" w:rsidP="003972DE">
      <w:pPr>
        <w:widowControl w:val="0"/>
        <w:tabs>
          <w:tab w:val="left" w:pos="1701"/>
          <w:tab w:val="left" w:pos="2268"/>
        </w:tabs>
        <w:autoSpaceDE w:val="0"/>
        <w:autoSpaceDN w:val="0"/>
        <w:adjustRightInd w:val="0"/>
        <w:ind w:left="474" w:right="-58"/>
        <w:jc w:val="both"/>
        <w:rPr>
          <w:rFonts w:ascii="Calibri" w:hAnsi="Calibri" w:cs="Calibri"/>
          <w:color w:val="000000"/>
          <w:sz w:val="22"/>
          <w:szCs w:val="22"/>
          <w:lang w:val="en-GB"/>
        </w:rPr>
      </w:pPr>
      <w:r w:rsidRPr="00F35F40">
        <w:rPr>
          <w:rFonts w:ascii="Calibri" w:hAnsi="Calibri" w:cs="Calibri"/>
          <w:color w:val="000000"/>
          <w:sz w:val="22"/>
          <w:szCs w:val="22"/>
          <w:lang w:val="en-GB"/>
        </w:rPr>
        <w:t>The process of identifying, measuring, and communicating economic information to permit informed judgements and decisions by users of the information.</w:t>
      </w:r>
      <w:r w:rsidRPr="00F35F40">
        <w:rPr>
          <w:rFonts w:ascii="Calibri" w:hAnsi="Calibri" w:cs="Calibri"/>
          <w:color w:val="000000"/>
          <w:sz w:val="22"/>
          <w:szCs w:val="22"/>
          <w:vertAlign w:val="superscript"/>
          <w:lang w:val="en-GB"/>
        </w:rPr>
        <w:footnoteReference w:id="2"/>
      </w:r>
    </w:p>
    <w:p w14:paraId="25992D99" w14:textId="77777777" w:rsidR="003972DE" w:rsidRPr="00F35F40" w:rsidRDefault="003972DE" w:rsidP="003972DE">
      <w:pPr>
        <w:widowControl w:val="0"/>
        <w:tabs>
          <w:tab w:val="left" w:pos="1701"/>
          <w:tab w:val="left" w:pos="2268"/>
        </w:tabs>
        <w:autoSpaceDE w:val="0"/>
        <w:autoSpaceDN w:val="0"/>
        <w:adjustRightInd w:val="0"/>
        <w:ind w:left="474" w:right="-58"/>
        <w:jc w:val="both"/>
        <w:rPr>
          <w:rFonts w:ascii="Calibri" w:hAnsi="Calibri" w:cs="Calibri"/>
          <w:color w:val="000000"/>
          <w:sz w:val="22"/>
          <w:szCs w:val="22"/>
          <w:lang w:val="en-GB"/>
        </w:rPr>
      </w:pPr>
    </w:p>
    <w:p w14:paraId="00771E54" w14:textId="77777777" w:rsidR="003972DE" w:rsidRPr="00F35F40" w:rsidRDefault="003972DE" w:rsidP="003972DE">
      <w:pPr>
        <w:widowControl w:val="0"/>
        <w:tabs>
          <w:tab w:val="left" w:pos="1701"/>
          <w:tab w:val="left" w:pos="2268"/>
        </w:tabs>
        <w:autoSpaceDE w:val="0"/>
        <w:autoSpaceDN w:val="0"/>
        <w:adjustRightInd w:val="0"/>
        <w:ind w:left="474" w:right="-58"/>
        <w:jc w:val="both"/>
        <w:rPr>
          <w:rFonts w:ascii="Calibri" w:hAnsi="Calibri" w:cs="Calibri"/>
          <w:color w:val="000000"/>
          <w:sz w:val="22"/>
          <w:szCs w:val="22"/>
          <w:lang w:val="en-GB"/>
        </w:rPr>
      </w:pPr>
      <w:r w:rsidRPr="00F35F40">
        <w:rPr>
          <w:rFonts w:ascii="Calibri" w:hAnsi="Calibri" w:cs="Calibri"/>
          <w:color w:val="000000"/>
          <w:sz w:val="22"/>
          <w:szCs w:val="22"/>
          <w:lang w:val="en-GB"/>
        </w:rPr>
        <w:t xml:space="preserve">Accounting has also been defined with reference to the concept of quantitative information: </w:t>
      </w:r>
    </w:p>
    <w:p w14:paraId="74D32486" w14:textId="77777777" w:rsidR="003972DE" w:rsidRPr="00F35F40" w:rsidRDefault="003972DE" w:rsidP="003972DE">
      <w:pPr>
        <w:widowControl w:val="0"/>
        <w:tabs>
          <w:tab w:val="left" w:pos="1701"/>
          <w:tab w:val="left" w:pos="2268"/>
        </w:tabs>
        <w:autoSpaceDE w:val="0"/>
        <w:autoSpaceDN w:val="0"/>
        <w:adjustRightInd w:val="0"/>
        <w:ind w:left="474" w:right="-58"/>
        <w:jc w:val="both"/>
        <w:rPr>
          <w:rFonts w:ascii="Calibri" w:hAnsi="Calibri" w:cs="Calibri"/>
          <w:color w:val="000000"/>
          <w:sz w:val="22"/>
          <w:szCs w:val="22"/>
          <w:lang w:val="en-GB"/>
        </w:rPr>
      </w:pPr>
    </w:p>
    <w:p w14:paraId="632D28BB" w14:textId="77777777" w:rsidR="003972DE" w:rsidRDefault="003972DE" w:rsidP="003972DE">
      <w:pPr>
        <w:widowControl w:val="0"/>
        <w:tabs>
          <w:tab w:val="left" w:pos="2268"/>
        </w:tabs>
        <w:autoSpaceDE w:val="0"/>
        <w:autoSpaceDN w:val="0"/>
        <w:adjustRightInd w:val="0"/>
        <w:ind w:left="474" w:right="-58"/>
        <w:jc w:val="both"/>
        <w:rPr>
          <w:rFonts w:ascii="Calibri" w:hAnsi="Calibri" w:cs="Calibri"/>
          <w:color w:val="000000"/>
          <w:sz w:val="22"/>
          <w:szCs w:val="22"/>
          <w:lang w:val="en-GB"/>
        </w:rPr>
      </w:pPr>
      <w:r w:rsidRPr="00F35F40">
        <w:rPr>
          <w:rFonts w:ascii="Calibri" w:hAnsi="Calibri" w:cs="Calibri"/>
          <w:i/>
          <w:color w:val="000000"/>
          <w:sz w:val="22"/>
          <w:szCs w:val="22"/>
          <w:lang w:val="en-GB"/>
        </w:rPr>
        <w:t>Accounting is a service activity. Its function is to provide quantitative information, primarily financial in nature about economic entities that is intended to be useful in making economic decisions, in making resolved choices among alternative courses of action</w:t>
      </w:r>
      <w:r w:rsidRPr="00F35F40">
        <w:rPr>
          <w:rFonts w:ascii="Calibri" w:hAnsi="Calibri" w:cs="Calibri"/>
          <w:color w:val="000000"/>
          <w:sz w:val="22"/>
          <w:szCs w:val="22"/>
          <w:lang w:val="en-GB"/>
        </w:rPr>
        <w:t>.</w:t>
      </w:r>
      <w:r w:rsidRPr="00F35F40">
        <w:rPr>
          <w:rFonts w:ascii="Calibri" w:hAnsi="Calibri" w:cs="Calibri"/>
          <w:color w:val="000000"/>
          <w:sz w:val="22"/>
          <w:szCs w:val="22"/>
          <w:vertAlign w:val="superscript"/>
          <w:lang w:val="en-GB"/>
        </w:rPr>
        <w:footnoteReference w:id="3"/>
      </w:r>
      <w:r w:rsidRPr="00F35F40">
        <w:rPr>
          <w:rFonts w:ascii="Calibri" w:hAnsi="Calibri" w:cs="Calibri"/>
          <w:color w:val="000000"/>
          <w:sz w:val="22"/>
          <w:szCs w:val="22"/>
          <w:lang w:val="en-GB"/>
        </w:rPr>
        <w:t>’</w:t>
      </w:r>
    </w:p>
    <w:p w14:paraId="568083A5" w14:textId="77777777" w:rsidR="003972DE" w:rsidRDefault="003972DE" w:rsidP="003972DE">
      <w:pPr>
        <w:keepNext/>
        <w:keepLines/>
        <w:widowControl w:val="0"/>
        <w:tabs>
          <w:tab w:val="left" w:pos="1134"/>
          <w:tab w:val="left" w:pos="2268"/>
          <w:tab w:val="left" w:pos="3241"/>
        </w:tabs>
        <w:autoSpaceDE w:val="0"/>
        <w:autoSpaceDN w:val="0"/>
        <w:adjustRightInd w:val="0"/>
        <w:ind w:right="-57"/>
        <w:jc w:val="both"/>
        <w:rPr>
          <w:rFonts w:ascii="Calibri" w:hAnsi="Calibri" w:cs="Calibri"/>
          <w:color w:val="000000"/>
          <w:sz w:val="22"/>
          <w:szCs w:val="22"/>
          <w:lang w:val="en-GB"/>
        </w:rPr>
      </w:pPr>
    </w:p>
    <w:p w14:paraId="1B47387F" w14:textId="77777777" w:rsidR="003972DE" w:rsidRPr="00F35F40" w:rsidRDefault="003972DE" w:rsidP="003972DE">
      <w:pPr>
        <w:keepNext/>
        <w:keepLines/>
        <w:widowControl w:val="0"/>
        <w:tabs>
          <w:tab w:val="left" w:pos="1134"/>
          <w:tab w:val="left" w:pos="2268"/>
          <w:tab w:val="left" w:pos="3241"/>
        </w:tabs>
        <w:autoSpaceDE w:val="0"/>
        <w:autoSpaceDN w:val="0"/>
        <w:adjustRightInd w:val="0"/>
        <w:ind w:right="-57"/>
        <w:jc w:val="both"/>
        <w:rPr>
          <w:rFonts w:ascii="Calibri" w:hAnsi="Calibri" w:cs="Calibri"/>
          <w:color w:val="000000"/>
          <w:sz w:val="22"/>
          <w:szCs w:val="22"/>
          <w:lang w:val="en-GB"/>
        </w:rPr>
      </w:pPr>
      <w:r w:rsidRPr="00F35F40">
        <w:rPr>
          <w:rFonts w:ascii="Calibri" w:hAnsi="Calibri" w:cs="Calibri"/>
          <w:color w:val="000000"/>
          <w:sz w:val="22"/>
          <w:szCs w:val="22"/>
          <w:lang w:val="en-GB"/>
        </w:rPr>
        <w:sym w:font="Wingdings" w:char="F0FE"/>
      </w:r>
      <w:r w:rsidRPr="00F35F40">
        <w:rPr>
          <w:rFonts w:ascii="Calibri" w:hAnsi="Calibri" w:cs="Calibri"/>
          <w:color w:val="000000"/>
          <w:sz w:val="22"/>
          <w:szCs w:val="22"/>
          <w:lang w:val="en-GB"/>
        </w:rPr>
        <w:t xml:space="preserve"> 2 Financial statements represent an account of the financial position of the business at different points in time, and the financial performance over a period of time. This information and the process of preparing it are part of the corporate governance of a firm and its accountability to other financial statement users. Information about the entity’s financial performance is per definition about the past. At the time the financial statements are issued, the information on the entity’s financial position is about three months old. Users must use this financial statement information about the recent past and combine this with other information about the past and present (both qualitative and quantitative, and both from within the firm and outside the firm) for their current purposes.</w:t>
      </w:r>
    </w:p>
    <w:p w14:paraId="164F14AA" w14:textId="77777777" w:rsidR="003972DE" w:rsidRPr="00F35F40" w:rsidRDefault="003972DE" w:rsidP="003972DE">
      <w:pPr>
        <w:keepNext/>
        <w:keepLines/>
        <w:widowControl w:val="0"/>
        <w:tabs>
          <w:tab w:val="left" w:pos="1134"/>
          <w:tab w:val="left" w:pos="2268"/>
          <w:tab w:val="left" w:pos="3241"/>
        </w:tabs>
        <w:autoSpaceDE w:val="0"/>
        <w:autoSpaceDN w:val="0"/>
        <w:adjustRightInd w:val="0"/>
        <w:ind w:right="-57"/>
        <w:jc w:val="both"/>
        <w:rPr>
          <w:rFonts w:ascii="Calibri" w:hAnsi="Calibri" w:cs="Calibri"/>
          <w:color w:val="000000"/>
          <w:sz w:val="22"/>
          <w:szCs w:val="22"/>
          <w:lang w:val="en-GB"/>
        </w:rPr>
      </w:pPr>
    </w:p>
    <w:p w14:paraId="72D87DE5" w14:textId="77777777" w:rsidR="003972DE" w:rsidRPr="00F35F40" w:rsidRDefault="003972DE" w:rsidP="003972DE">
      <w:pPr>
        <w:keepNext/>
        <w:keepLines/>
        <w:widowControl w:val="0"/>
        <w:tabs>
          <w:tab w:val="left" w:pos="1134"/>
          <w:tab w:val="left" w:pos="2268"/>
          <w:tab w:val="left" w:pos="3241"/>
        </w:tabs>
        <w:autoSpaceDE w:val="0"/>
        <w:autoSpaceDN w:val="0"/>
        <w:adjustRightInd w:val="0"/>
        <w:ind w:right="-57"/>
        <w:jc w:val="both"/>
        <w:rPr>
          <w:rFonts w:ascii="Calibri" w:hAnsi="Calibri" w:cs="Calibri"/>
          <w:color w:val="000000"/>
          <w:sz w:val="22"/>
          <w:szCs w:val="22"/>
          <w:lang w:val="en-GB"/>
        </w:rPr>
      </w:pPr>
      <w:r w:rsidRPr="00F35F40">
        <w:rPr>
          <w:rFonts w:ascii="Calibri" w:hAnsi="Calibri" w:cs="Calibri"/>
          <w:color w:val="000000"/>
          <w:sz w:val="22"/>
          <w:szCs w:val="22"/>
          <w:lang w:val="en-GB"/>
        </w:rPr>
        <w:t xml:space="preserve">Such purposes are often to do with the steps to take now in order to generate a desired outcome in the future. When considering the types of decisions that the different user groups need to make, </w:t>
      </w:r>
      <w:r w:rsidRPr="00F35F40">
        <w:rPr>
          <w:rFonts w:ascii="Calibri" w:hAnsi="Calibri" w:cs="Calibri"/>
          <w:b/>
          <w:color w:val="000000"/>
          <w:sz w:val="22"/>
          <w:szCs w:val="22"/>
          <w:lang w:val="en-GB"/>
        </w:rPr>
        <w:t>accountability and stewardship</w:t>
      </w:r>
      <w:r w:rsidRPr="00F35F40">
        <w:rPr>
          <w:rFonts w:ascii="Calibri" w:hAnsi="Calibri" w:cs="Calibri"/>
          <w:color w:val="000000"/>
          <w:sz w:val="22"/>
          <w:szCs w:val="22"/>
          <w:lang w:val="en-GB"/>
        </w:rPr>
        <w:t xml:space="preserve"> type of decisions are better served by information that is more objectively and reliably determined because monitoring agents relies on objectively verifiable information. On the other hand, many people think that the </w:t>
      </w:r>
      <w:r w:rsidRPr="00F35F40">
        <w:rPr>
          <w:rFonts w:ascii="Calibri" w:hAnsi="Calibri" w:cs="Calibri"/>
          <w:b/>
          <w:color w:val="000000"/>
          <w:sz w:val="22"/>
          <w:szCs w:val="22"/>
          <w:lang w:val="en-GB"/>
        </w:rPr>
        <w:t>decision-usefulness</w:t>
      </w:r>
      <w:r w:rsidRPr="00F35F40">
        <w:rPr>
          <w:rFonts w:ascii="Calibri" w:hAnsi="Calibri" w:cs="Calibri"/>
          <w:color w:val="000000"/>
          <w:sz w:val="22"/>
          <w:szCs w:val="22"/>
          <w:lang w:val="en-GB"/>
        </w:rPr>
        <w:t xml:space="preserve"> function is better served by information that is as timely and future oriented as possible. In case of the </w:t>
      </w:r>
      <w:r w:rsidRPr="00F35F40">
        <w:rPr>
          <w:rFonts w:ascii="Calibri" w:hAnsi="Calibri" w:cs="Calibri"/>
          <w:b/>
          <w:color w:val="000000"/>
          <w:sz w:val="22"/>
          <w:szCs w:val="22"/>
          <w:lang w:val="en-GB"/>
        </w:rPr>
        <w:t>efficient contracting</w:t>
      </w:r>
      <w:r w:rsidRPr="00F35F40">
        <w:rPr>
          <w:rFonts w:ascii="Calibri" w:hAnsi="Calibri" w:cs="Calibri"/>
          <w:color w:val="000000"/>
          <w:sz w:val="22"/>
          <w:szCs w:val="22"/>
          <w:lang w:val="en-GB"/>
        </w:rPr>
        <w:t xml:space="preserve"> perspective, incentivising and monitoring agents may require information with different characteristics depending on the principal’s tolerance or appetite for risk. For example, well-diversified investors may not have as much of a preference for objectively determined reliable information as lenders do. Consider:</w:t>
      </w:r>
    </w:p>
    <w:p w14:paraId="7662A69C" w14:textId="00195E70" w:rsidR="003972DE" w:rsidRPr="003972DE" w:rsidRDefault="00F238AE" w:rsidP="003972DE">
      <w:pPr>
        <w:pStyle w:val="ListParagraph"/>
        <w:widowControl w:val="0"/>
        <w:numPr>
          <w:ilvl w:val="0"/>
          <w:numId w:val="1"/>
        </w:numPr>
        <w:tabs>
          <w:tab w:val="left" w:pos="2268"/>
        </w:tabs>
        <w:autoSpaceDE w:val="0"/>
        <w:autoSpaceDN w:val="0"/>
        <w:adjustRightInd w:val="0"/>
        <w:ind w:right="-58"/>
        <w:rPr>
          <w:rFonts w:ascii="Calibri" w:hAnsi="Calibri" w:cs="Calibri"/>
          <w:color w:val="000000"/>
          <w:sz w:val="22"/>
          <w:szCs w:val="22"/>
          <w:lang w:val="en-GB"/>
        </w:rPr>
      </w:pPr>
      <w:r>
        <w:rPr>
          <w:rFonts w:ascii="Calibri" w:hAnsi="Calibri" w:cs="Calibri"/>
          <w:color w:val="000000"/>
          <w:sz w:val="22"/>
          <w:szCs w:val="22"/>
          <w:lang w:val="en-GB"/>
        </w:rPr>
        <w:t>R</w:t>
      </w:r>
      <w:r w:rsidR="003972DE" w:rsidRPr="003972DE">
        <w:rPr>
          <w:rFonts w:ascii="Calibri" w:hAnsi="Calibri" w:cs="Calibri"/>
          <w:color w:val="000000"/>
          <w:sz w:val="22"/>
          <w:szCs w:val="22"/>
          <w:lang w:val="en-GB"/>
        </w:rPr>
        <w:t>elevance v</w:t>
      </w:r>
      <w:r w:rsidR="00D548DD">
        <w:rPr>
          <w:rFonts w:ascii="Calibri" w:hAnsi="Calibri" w:cs="Calibri"/>
          <w:color w:val="000000"/>
          <w:sz w:val="22"/>
          <w:szCs w:val="22"/>
          <w:lang w:val="en-GB"/>
        </w:rPr>
        <w:t>s</w:t>
      </w:r>
      <w:r w:rsidR="003972DE" w:rsidRPr="003972DE">
        <w:rPr>
          <w:rFonts w:ascii="Calibri" w:hAnsi="Calibri" w:cs="Calibri"/>
          <w:color w:val="000000"/>
          <w:sz w:val="22"/>
          <w:szCs w:val="22"/>
          <w:lang w:val="en-GB"/>
        </w:rPr>
        <w:t xml:space="preserve"> reliability </w:t>
      </w:r>
    </w:p>
    <w:p w14:paraId="419EA895" w14:textId="45487984" w:rsidR="003972DE" w:rsidRPr="003972DE" w:rsidRDefault="00F238AE" w:rsidP="003972DE">
      <w:pPr>
        <w:pStyle w:val="ListParagraph"/>
        <w:widowControl w:val="0"/>
        <w:numPr>
          <w:ilvl w:val="0"/>
          <w:numId w:val="1"/>
        </w:numPr>
        <w:tabs>
          <w:tab w:val="left" w:pos="2268"/>
        </w:tabs>
        <w:autoSpaceDE w:val="0"/>
        <w:autoSpaceDN w:val="0"/>
        <w:adjustRightInd w:val="0"/>
        <w:ind w:right="-58"/>
        <w:rPr>
          <w:rFonts w:ascii="Calibri" w:hAnsi="Calibri" w:cs="Calibri"/>
          <w:color w:val="000000"/>
          <w:sz w:val="22"/>
          <w:szCs w:val="22"/>
          <w:lang w:val="en-GB"/>
        </w:rPr>
      </w:pPr>
      <w:r>
        <w:rPr>
          <w:rFonts w:ascii="Calibri" w:hAnsi="Calibri" w:cs="Calibri"/>
          <w:color w:val="000000"/>
          <w:sz w:val="22"/>
          <w:szCs w:val="22"/>
          <w:lang w:val="en-GB"/>
        </w:rPr>
        <w:lastRenderedPageBreak/>
        <w:t>O</w:t>
      </w:r>
      <w:r w:rsidR="003972DE" w:rsidRPr="003972DE">
        <w:rPr>
          <w:rFonts w:ascii="Calibri" w:hAnsi="Calibri" w:cs="Calibri"/>
          <w:color w:val="000000"/>
          <w:sz w:val="22"/>
          <w:szCs w:val="22"/>
          <w:lang w:val="en-GB"/>
        </w:rPr>
        <w:t>bjectivity v</w:t>
      </w:r>
      <w:r w:rsidR="00D548DD">
        <w:rPr>
          <w:rFonts w:ascii="Calibri" w:hAnsi="Calibri" w:cs="Calibri"/>
          <w:color w:val="000000"/>
          <w:sz w:val="22"/>
          <w:szCs w:val="22"/>
          <w:lang w:val="en-GB"/>
        </w:rPr>
        <w:t>s</w:t>
      </w:r>
      <w:r w:rsidR="003972DE" w:rsidRPr="003972DE">
        <w:rPr>
          <w:rFonts w:ascii="Calibri" w:hAnsi="Calibri" w:cs="Calibri"/>
          <w:color w:val="000000"/>
          <w:sz w:val="22"/>
          <w:szCs w:val="22"/>
          <w:lang w:val="en-GB"/>
        </w:rPr>
        <w:t xml:space="preserve"> usefulness </w:t>
      </w:r>
    </w:p>
    <w:p w14:paraId="7EB623FB" w14:textId="7EFC1AD3" w:rsidR="003972DE" w:rsidRPr="003972DE" w:rsidRDefault="00F238AE" w:rsidP="003972DE">
      <w:pPr>
        <w:pStyle w:val="ListParagraph"/>
        <w:widowControl w:val="0"/>
        <w:numPr>
          <w:ilvl w:val="0"/>
          <w:numId w:val="1"/>
        </w:numPr>
        <w:tabs>
          <w:tab w:val="left" w:pos="2268"/>
        </w:tabs>
        <w:autoSpaceDE w:val="0"/>
        <w:autoSpaceDN w:val="0"/>
        <w:adjustRightInd w:val="0"/>
        <w:ind w:right="-58"/>
        <w:rPr>
          <w:rFonts w:ascii="Calibri" w:hAnsi="Calibri" w:cs="Calibri"/>
          <w:color w:val="000000"/>
          <w:sz w:val="22"/>
          <w:szCs w:val="22"/>
          <w:lang w:val="en-GB"/>
        </w:rPr>
      </w:pPr>
      <w:r>
        <w:rPr>
          <w:rFonts w:ascii="Calibri" w:hAnsi="Calibri" w:cs="Calibri"/>
          <w:color w:val="000000"/>
          <w:sz w:val="22"/>
          <w:szCs w:val="22"/>
          <w:lang w:val="en-GB"/>
        </w:rPr>
        <w:t>P</w:t>
      </w:r>
      <w:r w:rsidR="003972DE" w:rsidRPr="003972DE">
        <w:rPr>
          <w:rFonts w:ascii="Calibri" w:hAnsi="Calibri" w:cs="Calibri"/>
          <w:color w:val="000000"/>
          <w:sz w:val="22"/>
          <w:szCs w:val="22"/>
          <w:lang w:val="en-GB"/>
        </w:rPr>
        <w:t>roducer convenience v</w:t>
      </w:r>
      <w:r w:rsidR="00D548DD">
        <w:rPr>
          <w:rFonts w:ascii="Calibri" w:hAnsi="Calibri" w:cs="Calibri"/>
          <w:color w:val="000000"/>
          <w:sz w:val="22"/>
          <w:szCs w:val="22"/>
          <w:lang w:val="en-GB"/>
        </w:rPr>
        <w:t>s</w:t>
      </w:r>
      <w:r w:rsidR="003972DE" w:rsidRPr="003972DE">
        <w:rPr>
          <w:rFonts w:ascii="Calibri" w:hAnsi="Calibri" w:cs="Calibri"/>
          <w:color w:val="000000"/>
          <w:sz w:val="22"/>
          <w:szCs w:val="22"/>
          <w:lang w:val="en-GB"/>
        </w:rPr>
        <w:t xml:space="preserve"> user needs. </w:t>
      </w:r>
    </w:p>
    <w:p w14:paraId="2C8F5BCE" w14:textId="77777777" w:rsidR="003972DE" w:rsidRPr="00F35F40" w:rsidRDefault="003972DE" w:rsidP="003972DE">
      <w:pPr>
        <w:widowControl w:val="0"/>
        <w:tabs>
          <w:tab w:val="left" w:pos="1701"/>
          <w:tab w:val="left" w:pos="2268"/>
          <w:tab w:val="left" w:pos="3241"/>
        </w:tabs>
        <w:autoSpaceDE w:val="0"/>
        <w:autoSpaceDN w:val="0"/>
        <w:adjustRightInd w:val="0"/>
        <w:ind w:right="-58"/>
        <w:rPr>
          <w:rFonts w:ascii="Calibri" w:hAnsi="Calibri" w:cs="Calibri"/>
          <w:color w:val="000000"/>
          <w:sz w:val="22"/>
          <w:szCs w:val="22"/>
          <w:lang w:val="en-GB"/>
        </w:rPr>
      </w:pPr>
    </w:p>
    <w:p w14:paraId="12C1BEFD" w14:textId="77777777" w:rsidR="003972DE" w:rsidRPr="00F35F40" w:rsidRDefault="003972DE" w:rsidP="003972DE">
      <w:pPr>
        <w:widowControl w:val="0"/>
        <w:tabs>
          <w:tab w:val="left" w:pos="1134"/>
          <w:tab w:val="left" w:pos="2268"/>
          <w:tab w:val="left" w:pos="3241"/>
        </w:tabs>
        <w:autoSpaceDE w:val="0"/>
        <w:autoSpaceDN w:val="0"/>
        <w:adjustRightInd w:val="0"/>
        <w:ind w:right="-58"/>
        <w:rPr>
          <w:rFonts w:ascii="Calibri" w:hAnsi="Calibri" w:cs="Calibri"/>
          <w:color w:val="000000"/>
          <w:sz w:val="22"/>
          <w:szCs w:val="22"/>
          <w:lang w:val="en-GB"/>
        </w:rPr>
      </w:pPr>
      <w:r w:rsidRPr="00F35F40">
        <w:rPr>
          <w:rFonts w:ascii="Calibri" w:hAnsi="Calibri" w:cs="Calibri"/>
          <w:color w:val="000000"/>
          <w:sz w:val="22"/>
          <w:szCs w:val="22"/>
          <w:lang w:val="en-GB"/>
        </w:rPr>
        <w:sym w:font="Wingdings" w:char="F0FE"/>
      </w:r>
      <w:r w:rsidRPr="00F35F40">
        <w:rPr>
          <w:rFonts w:ascii="Calibri" w:hAnsi="Calibri" w:cs="Calibri"/>
          <w:color w:val="000000"/>
          <w:sz w:val="22"/>
          <w:szCs w:val="22"/>
          <w:lang w:val="en-GB"/>
        </w:rPr>
        <w:t xml:space="preserve"> 3 Perhaps it all depends on what ‘reasonably’ means. The needs of different users are certainly different (illustration required), but greater relevance from multiple reports would need to be set against: </w:t>
      </w:r>
    </w:p>
    <w:p w14:paraId="2DC89886" w14:textId="1FA208F1" w:rsidR="003972DE" w:rsidRPr="00F35F40" w:rsidRDefault="003972DE" w:rsidP="003972DE">
      <w:pPr>
        <w:widowControl w:val="0"/>
        <w:tabs>
          <w:tab w:val="left" w:pos="1701"/>
          <w:tab w:val="left" w:pos="2268"/>
        </w:tabs>
        <w:autoSpaceDE w:val="0"/>
        <w:autoSpaceDN w:val="0"/>
        <w:adjustRightInd w:val="0"/>
        <w:ind w:right="-58"/>
        <w:rPr>
          <w:rFonts w:ascii="Calibri" w:hAnsi="Calibri" w:cs="Calibri"/>
          <w:color w:val="000000"/>
          <w:sz w:val="22"/>
          <w:szCs w:val="22"/>
          <w:lang w:val="en-GB"/>
        </w:rPr>
      </w:pPr>
      <w:r w:rsidRPr="00F35F40">
        <w:rPr>
          <w:rFonts w:ascii="Calibri" w:hAnsi="Calibri" w:cs="Calibri"/>
          <w:color w:val="000000"/>
          <w:sz w:val="22"/>
          <w:szCs w:val="22"/>
          <w:lang w:val="en-GB"/>
        </w:rPr>
        <w:t xml:space="preserve">(a)  </w:t>
      </w:r>
      <w:r w:rsidR="00F238AE">
        <w:rPr>
          <w:rFonts w:ascii="Calibri" w:hAnsi="Calibri" w:cs="Calibri"/>
          <w:color w:val="000000"/>
          <w:sz w:val="22"/>
          <w:szCs w:val="22"/>
          <w:lang w:val="en-GB"/>
        </w:rPr>
        <w:t>C</w:t>
      </w:r>
      <w:r w:rsidRPr="00F35F40">
        <w:rPr>
          <w:rFonts w:ascii="Calibri" w:hAnsi="Calibri" w:cs="Calibri"/>
          <w:color w:val="000000"/>
          <w:sz w:val="22"/>
          <w:szCs w:val="22"/>
          <w:lang w:val="en-GB"/>
        </w:rPr>
        <w:t xml:space="preserve">osts of preparation </w:t>
      </w:r>
    </w:p>
    <w:p w14:paraId="03901165" w14:textId="263DCCA9" w:rsidR="003972DE" w:rsidRPr="00F35F40" w:rsidRDefault="003972DE" w:rsidP="003972DE">
      <w:pPr>
        <w:widowControl w:val="0"/>
        <w:tabs>
          <w:tab w:val="left" w:pos="1701"/>
          <w:tab w:val="left" w:pos="2268"/>
        </w:tabs>
        <w:autoSpaceDE w:val="0"/>
        <w:autoSpaceDN w:val="0"/>
        <w:adjustRightInd w:val="0"/>
        <w:ind w:right="-58"/>
        <w:rPr>
          <w:rFonts w:ascii="Calibri" w:hAnsi="Calibri" w:cs="Calibri"/>
          <w:color w:val="000000"/>
          <w:sz w:val="22"/>
          <w:szCs w:val="22"/>
          <w:lang w:val="en-GB"/>
        </w:rPr>
      </w:pPr>
      <w:r w:rsidRPr="00F35F40">
        <w:rPr>
          <w:rFonts w:ascii="Calibri" w:hAnsi="Calibri" w:cs="Calibri"/>
          <w:color w:val="000000"/>
          <w:sz w:val="22"/>
          <w:szCs w:val="22"/>
          <w:lang w:val="en-GB"/>
        </w:rPr>
        <w:t xml:space="preserve">(b) </w:t>
      </w:r>
      <w:r w:rsidR="00F238AE">
        <w:rPr>
          <w:rFonts w:ascii="Calibri" w:hAnsi="Calibri" w:cs="Calibri"/>
          <w:color w:val="000000"/>
          <w:sz w:val="22"/>
          <w:szCs w:val="22"/>
          <w:lang w:val="en-GB"/>
        </w:rPr>
        <w:t>D</w:t>
      </w:r>
      <w:r w:rsidRPr="00F35F40">
        <w:rPr>
          <w:rFonts w:ascii="Calibri" w:hAnsi="Calibri" w:cs="Calibri"/>
          <w:color w:val="000000"/>
          <w:sz w:val="22"/>
          <w:szCs w:val="22"/>
          <w:lang w:val="en-GB"/>
        </w:rPr>
        <w:t xml:space="preserve">anger of confusion and the difficulties of user education. </w:t>
      </w:r>
    </w:p>
    <w:p w14:paraId="48F7F275" w14:textId="77777777" w:rsidR="003972DE" w:rsidRPr="00F35F40" w:rsidRDefault="003972DE" w:rsidP="003972DE">
      <w:pPr>
        <w:widowControl w:val="0"/>
        <w:tabs>
          <w:tab w:val="left" w:pos="1701"/>
          <w:tab w:val="left" w:pos="2268"/>
        </w:tabs>
        <w:autoSpaceDE w:val="0"/>
        <w:autoSpaceDN w:val="0"/>
        <w:adjustRightInd w:val="0"/>
        <w:ind w:right="-58"/>
        <w:rPr>
          <w:rFonts w:ascii="Calibri" w:hAnsi="Calibri" w:cs="Calibri"/>
          <w:color w:val="000000"/>
          <w:sz w:val="22"/>
          <w:szCs w:val="22"/>
          <w:lang w:val="en-GB"/>
        </w:rPr>
      </w:pPr>
    </w:p>
    <w:p w14:paraId="6B1D5721" w14:textId="77777777" w:rsidR="003972DE" w:rsidRPr="00F35F40" w:rsidRDefault="003972DE" w:rsidP="003972DE">
      <w:pPr>
        <w:widowControl w:val="0"/>
        <w:tabs>
          <w:tab w:val="left" w:pos="1701"/>
          <w:tab w:val="left" w:pos="2268"/>
        </w:tabs>
        <w:autoSpaceDE w:val="0"/>
        <w:autoSpaceDN w:val="0"/>
        <w:adjustRightInd w:val="0"/>
        <w:ind w:right="-58"/>
        <w:jc w:val="both"/>
        <w:rPr>
          <w:rFonts w:ascii="Calibri" w:hAnsi="Calibri" w:cs="Calibri"/>
          <w:color w:val="000000"/>
          <w:sz w:val="22"/>
          <w:szCs w:val="22"/>
          <w:lang w:val="en-GB"/>
        </w:rPr>
      </w:pPr>
      <w:r w:rsidRPr="00F35F40">
        <w:rPr>
          <w:rFonts w:ascii="Calibri" w:hAnsi="Calibri" w:cs="Calibri"/>
          <w:color w:val="000000"/>
          <w:sz w:val="22"/>
          <w:szCs w:val="22"/>
          <w:lang w:val="en-GB"/>
        </w:rPr>
        <w:t>4–5 We suggest that these two questions are treated as a set. There is scope for wide differences of view and considerable debate. We suspect that there will be students who place more emphasis on the different functions of general purpose financial reporting (the accountability, stewardship, decision-usefulness, efficient contracting and social functions). This would lead to discussion of the role of corporations and general purpose financial reporting in society!</w:t>
      </w:r>
    </w:p>
    <w:p w14:paraId="5FA48B04" w14:textId="77777777" w:rsidR="003972DE" w:rsidRPr="00F35F40" w:rsidRDefault="003972DE" w:rsidP="003972DE">
      <w:pPr>
        <w:widowControl w:val="0"/>
        <w:tabs>
          <w:tab w:val="left" w:pos="1701"/>
          <w:tab w:val="left" w:pos="2268"/>
        </w:tabs>
        <w:autoSpaceDE w:val="0"/>
        <w:autoSpaceDN w:val="0"/>
        <w:adjustRightInd w:val="0"/>
        <w:ind w:right="-58"/>
        <w:jc w:val="both"/>
        <w:rPr>
          <w:rFonts w:ascii="Calibri" w:hAnsi="Calibri" w:cs="Calibri"/>
          <w:color w:val="000000"/>
          <w:sz w:val="22"/>
          <w:szCs w:val="22"/>
          <w:lang w:val="en-GB"/>
        </w:rPr>
      </w:pPr>
    </w:p>
    <w:p w14:paraId="4676065F" w14:textId="77777777" w:rsidR="003972DE" w:rsidRPr="00F35F40" w:rsidRDefault="003972DE" w:rsidP="003972DE">
      <w:pPr>
        <w:widowControl w:val="0"/>
        <w:tabs>
          <w:tab w:val="left" w:pos="1701"/>
          <w:tab w:val="left" w:pos="2268"/>
        </w:tabs>
        <w:autoSpaceDE w:val="0"/>
        <w:autoSpaceDN w:val="0"/>
        <w:adjustRightInd w:val="0"/>
        <w:ind w:right="-58"/>
        <w:jc w:val="both"/>
        <w:rPr>
          <w:rFonts w:ascii="Calibri" w:hAnsi="Calibri" w:cs="Calibri"/>
          <w:color w:val="000000"/>
          <w:sz w:val="22"/>
          <w:szCs w:val="22"/>
          <w:lang w:val="en-GB"/>
        </w:rPr>
      </w:pPr>
      <w:r w:rsidRPr="00F35F40">
        <w:rPr>
          <w:rFonts w:ascii="Calibri" w:hAnsi="Calibri" w:cs="Calibri"/>
          <w:color w:val="000000"/>
          <w:sz w:val="22"/>
          <w:szCs w:val="22"/>
          <w:lang w:val="en-GB"/>
        </w:rPr>
        <w:t>6-7 Again, these two questions can be treated as a set. For question 6 the idea is that students discuss the influence of international political motivations, such as the preservation of a country’s sovereignty over financial reporting standards and policies, may outweigh the perceived economic benefits of a single set of international financial reporting standards. For question 7, the idea is that students appreciate the tension between technical arguments for and against financial reporting standards and disclosure requirements that improve market efficiency, and political arguments for and against financial reporting standards and disclosure requirements that are motivated by costs and benefits to companies and investors.</w:t>
      </w:r>
    </w:p>
    <w:p w14:paraId="38DF5642" w14:textId="77777777" w:rsidR="00A26323" w:rsidRDefault="00A0210F"/>
    <w:sectPr w:rsidR="00A26323">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C32AA2" w14:textId="77777777" w:rsidR="003233AB" w:rsidRDefault="003233AB" w:rsidP="003972DE">
      <w:r>
        <w:separator/>
      </w:r>
    </w:p>
  </w:endnote>
  <w:endnote w:type="continuationSeparator" w:id="0">
    <w:p w14:paraId="2817A13D" w14:textId="77777777" w:rsidR="003233AB" w:rsidRDefault="003233AB" w:rsidP="00397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E073D" w14:textId="77777777" w:rsidR="00A0210F" w:rsidRPr="002C5F87" w:rsidRDefault="00A0210F" w:rsidP="00A0210F">
    <w:pPr>
      <w:pStyle w:val="Footer"/>
      <w:jc w:val="center"/>
      <w:rPr>
        <w:rFonts w:asciiTheme="minorHAnsi" w:hAnsiTheme="minorHAnsi" w:cstheme="minorHAnsi"/>
        <w:color w:val="A6A6A6"/>
        <w:sz w:val="22"/>
        <w:szCs w:val="22"/>
      </w:rPr>
    </w:pPr>
    <w:r>
      <w:rPr>
        <w:rFonts w:asciiTheme="minorHAnsi" w:hAnsiTheme="minorHAnsi" w:cstheme="minorHAnsi"/>
        <w:color w:val="A6A6A6"/>
        <w:sz w:val="22"/>
        <w:szCs w:val="22"/>
      </w:rPr>
      <w:t xml:space="preserve">For use with </w:t>
    </w:r>
    <w:r w:rsidRPr="00D548DD">
      <w:rPr>
        <w:rFonts w:asciiTheme="minorHAnsi" w:hAnsiTheme="minorHAnsi" w:cstheme="minorHAnsi"/>
        <w:i/>
        <w:iCs/>
        <w:color w:val="A6A6A6"/>
        <w:sz w:val="22"/>
        <w:szCs w:val="22"/>
      </w:rPr>
      <w:t>International Financial Reporting and Analysis</w:t>
    </w:r>
    <w:r w:rsidRPr="002C5F87">
      <w:rPr>
        <w:rFonts w:asciiTheme="minorHAnsi" w:hAnsiTheme="minorHAnsi" w:cstheme="minorHAnsi"/>
        <w:color w:val="A6A6A6"/>
        <w:sz w:val="22"/>
        <w:szCs w:val="22"/>
      </w:rPr>
      <w:t xml:space="preserve">, </w:t>
    </w:r>
    <w:r>
      <w:rPr>
        <w:rFonts w:asciiTheme="minorHAnsi" w:hAnsiTheme="minorHAnsi" w:cstheme="minorHAnsi"/>
        <w:color w:val="A6A6A6"/>
        <w:sz w:val="22"/>
        <w:szCs w:val="22"/>
      </w:rPr>
      <w:t>8</w:t>
    </w:r>
    <w:r w:rsidRPr="002C5F87">
      <w:rPr>
        <w:rFonts w:asciiTheme="minorHAnsi" w:hAnsiTheme="minorHAnsi" w:cstheme="minorHAnsi"/>
        <w:color w:val="A6A6A6"/>
        <w:sz w:val="22"/>
        <w:szCs w:val="22"/>
      </w:rPr>
      <w:t>e</w:t>
    </w:r>
    <w:r>
      <w:rPr>
        <w:rFonts w:asciiTheme="minorHAnsi" w:hAnsiTheme="minorHAnsi" w:cstheme="minorHAnsi"/>
        <w:color w:val="A6A6A6"/>
        <w:sz w:val="22"/>
        <w:szCs w:val="22"/>
      </w:rPr>
      <w:t xml:space="preserve"> </w:t>
    </w:r>
  </w:p>
  <w:p w14:paraId="5498A71F" w14:textId="77777777" w:rsidR="00A0210F" w:rsidRPr="002C5F87" w:rsidRDefault="00A0210F" w:rsidP="00A0210F">
    <w:pPr>
      <w:pStyle w:val="Footer"/>
      <w:jc w:val="center"/>
      <w:rPr>
        <w:rFonts w:asciiTheme="minorHAnsi" w:hAnsiTheme="minorHAnsi" w:cstheme="minorHAnsi"/>
        <w:color w:val="A6A6A6"/>
        <w:sz w:val="22"/>
        <w:szCs w:val="22"/>
      </w:rPr>
    </w:pPr>
    <w:r w:rsidRPr="002C5F87">
      <w:rPr>
        <w:rFonts w:asciiTheme="minorHAnsi" w:hAnsiTheme="minorHAnsi" w:cstheme="minorHAnsi"/>
        <w:color w:val="A6A6A6"/>
        <w:sz w:val="22"/>
        <w:szCs w:val="22"/>
      </w:rPr>
      <w:t>Alexander, Jorissen, Hoogendoorn</w:t>
    </w:r>
    <w:r>
      <w:rPr>
        <w:rFonts w:asciiTheme="minorHAnsi" w:hAnsiTheme="minorHAnsi" w:cstheme="minorHAnsi"/>
        <w:color w:val="A6A6A6"/>
        <w:sz w:val="22"/>
        <w:szCs w:val="22"/>
      </w:rPr>
      <w:t xml:space="preserve">, </w:t>
    </w:r>
    <w:r w:rsidRPr="002C5F87">
      <w:rPr>
        <w:rFonts w:asciiTheme="minorHAnsi" w:hAnsiTheme="minorHAnsi" w:cstheme="minorHAnsi"/>
        <w:color w:val="A6A6A6"/>
        <w:sz w:val="22"/>
        <w:szCs w:val="22"/>
      </w:rPr>
      <w:t>van Mourik</w:t>
    </w:r>
    <w:r>
      <w:rPr>
        <w:rFonts w:asciiTheme="minorHAnsi" w:hAnsiTheme="minorHAnsi" w:cstheme="minorHAnsi"/>
        <w:color w:val="A6A6A6"/>
        <w:sz w:val="22"/>
        <w:szCs w:val="22"/>
      </w:rPr>
      <w:t xml:space="preserve"> and Kirwan</w:t>
    </w:r>
  </w:p>
  <w:p w14:paraId="48696B0F" w14:textId="189039E8" w:rsidR="006E14EB" w:rsidRPr="00A0210F" w:rsidRDefault="00A0210F" w:rsidP="00A0210F">
    <w:pPr>
      <w:pStyle w:val="Footer"/>
      <w:jc w:val="center"/>
    </w:pPr>
    <w:r w:rsidRPr="002C5F87">
      <w:rPr>
        <w:rFonts w:asciiTheme="minorHAnsi" w:hAnsiTheme="minorHAnsi" w:cstheme="minorHAnsi"/>
        <w:color w:val="A6A6A6"/>
        <w:sz w:val="22"/>
        <w:szCs w:val="22"/>
      </w:rPr>
      <w:t>© Cengage Learning EMEA 20</w:t>
    </w:r>
    <w:r>
      <w:rPr>
        <w:rFonts w:asciiTheme="minorHAnsi" w:hAnsiTheme="minorHAnsi" w:cstheme="minorHAnsi"/>
        <w:color w:val="A6A6A6"/>
        <w:sz w:val="22"/>
        <w:szCs w:val="22"/>
      </w:rPr>
      <w:t>20, ISBN 9781473766853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3AC089" w14:textId="77777777" w:rsidR="003233AB" w:rsidRDefault="003233AB" w:rsidP="003972DE">
      <w:r>
        <w:separator/>
      </w:r>
    </w:p>
  </w:footnote>
  <w:footnote w:type="continuationSeparator" w:id="0">
    <w:p w14:paraId="1D5C57DE" w14:textId="77777777" w:rsidR="003233AB" w:rsidRDefault="003233AB" w:rsidP="003972DE">
      <w:r>
        <w:continuationSeparator/>
      </w:r>
    </w:p>
  </w:footnote>
  <w:footnote w:id="1">
    <w:p w14:paraId="63FC659E" w14:textId="77777777" w:rsidR="003972DE" w:rsidRPr="00F35F40" w:rsidRDefault="003972DE" w:rsidP="003972DE">
      <w:pPr>
        <w:widowControl w:val="0"/>
        <w:autoSpaceDE w:val="0"/>
        <w:autoSpaceDN w:val="0"/>
        <w:adjustRightInd w:val="0"/>
        <w:rPr>
          <w:rFonts w:ascii="Arial" w:hAnsi="Arial" w:cs="Arial"/>
          <w:color w:val="000000"/>
          <w:sz w:val="18"/>
          <w:szCs w:val="16"/>
        </w:rPr>
      </w:pPr>
      <w:r>
        <w:rPr>
          <w:rStyle w:val="FootnoteReference"/>
          <w:rFonts w:ascii="Arial" w:eastAsiaTheme="majorEastAsia" w:hAnsi="Arial" w:cs="Arial"/>
          <w:sz w:val="18"/>
        </w:rPr>
        <w:footnoteRef/>
      </w:r>
      <w:r>
        <w:rPr>
          <w:rFonts w:ascii="Arial" w:hAnsi="Arial" w:cs="Arial"/>
          <w:sz w:val="18"/>
        </w:rPr>
        <w:t xml:space="preserve"> </w:t>
      </w:r>
      <w:r>
        <w:rPr>
          <w:rFonts w:ascii="Arial" w:hAnsi="Arial" w:cs="Arial"/>
          <w:color w:val="000000"/>
          <w:sz w:val="18"/>
          <w:szCs w:val="16"/>
        </w:rPr>
        <w:t>‘Review and resume’, Accounting Terminology Bulletin No.1, American Institute of Certified Public Accountants, New York, 1953, paragraph 5.</w:t>
      </w:r>
    </w:p>
  </w:footnote>
  <w:footnote w:id="2">
    <w:p w14:paraId="64D34666" w14:textId="77777777" w:rsidR="003972DE" w:rsidRPr="00F35F40" w:rsidRDefault="003972DE" w:rsidP="003972DE">
      <w:pPr>
        <w:widowControl w:val="0"/>
        <w:autoSpaceDE w:val="0"/>
        <w:autoSpaceDN w:val="0"/>
        <w:adjustRightInd w:val="0"/>
        <w:rPr>
          <w:rFonts w:ascii="Arial" w:hAnsi="Arial" w:cs="Arial"/>
          <w:color w:val="000000"/>
          <w:sz w:val="18"/>
          <w:szCs w:val="16"/>
        </w:rPr>
      </w:pPr>
      <w:r>
        <w:rPr>
          <w:rStyle w:val="FootnoteReference"/>
          <w:rFonts w:ascii="Arial" w:eastAsiaTheme="majorEastAsia" w:hAnsi="Arial" w:cs="Arial"/>
          <w:sz w:val="18"/>
        </w:rPr>
        <w:footnoteRef/>
      </w:r>
      <w:r>
        <w:rPr>
          <w:rFonts w:ascii="Arial" w:hAnsi="Arial" w:cs="Arial"/>
          <w:sz w:val="18"/>
        </w:rPr>
        <w:t xml:space="preserve"> </w:t>
      </w:r>
      <w:r>
        <w:rPr>
          <w:rFonts w:ascii="Arial" w:hAnsi="Arial" w:cs="Arial"/>
          <w:color w:val="000000"/>
          <w:sz w:val="18"/>
          <w:szCs w:val="16"/>
        </w:rPr>
        <w:t>American Accounting Association, A Statement of Basic  Accounting  Theory,  American  Accounting Association, Evanston, IL, 1966, p.1.</w:t>
      </w:r>
    </w:p>
  </w:footnote>
  <w:footnote w:id="3">
    <w:p w14:paraId="18409564" w14:textId="77777777" w:rsidR="003972DE" w:rsidRDefault="003972DE" w:rsidP="003972DE">
      <w:pPr>
        <w:pStyle w:val="FootnoteText"/>
      </w:pPr>
      <w:r>
        <w:rPr>
          <w:rStyle w:val="FootnoteReference"/>
          <w:rFonts w:ascii="Arial" w:eastAsiaTheme="majorEastAsia" w:hAnsi="Arial" w:cs="Arial"/>
          <w:sz w:val="18"/>
        </w:rPr>
        <w:footnoteRef/>
      </w:r>
      <w:r>
        <w:rPr>
          <w:rFonts w:ascii="Arial" w:hAnsi="Arial" w:cs="Arial"/>
          <w:sz w:val="18"/>
        </w:rPr>
        <w:t xml:space="preserve"> Fi</w:t>
      </w:r>
      <w:r>
        <w:rPr>
          <w:rFonts w:ascii="Arial" w:hAnsi="Arial" w:cs="Arial"/>
          <w:color w:val="000000"/>
          <w:sz w:val="18"/>
          <w:szCs w:val="16"/>
        </w:rPr>
        <w:t>nancial Statements of Business Enterprises’, American Institute of Certified Public Accountants, New York, 1970, paragraph 40.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5805BC"/>
    <w:multiLevelType w:val="hybridMultilevel"/>
    <w:tmpl w:val="460E17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2DE"/>
    <w:rsid w:val="00120DD1"/>
    <w:rsid w:val="00126040"/>
    <w:rsid w:val="003233AB"/>
    <w:rsid w:val="0033346D"/>
    <w:rsid w:val="003972DE"/>
    <w:rsid w:val="005C4338"/>
    <w:rsid w:val="006E14EB"/>
    <w:rsid w:val="008662CF"/>
    <w:rsid w:val="008949A6"/>
    <w:rsid w:val="008E11BD"/>
    <w:rsid w:val="00A0210F"/>
    <w:rsid w:val="00A7416F"/>
    <w:rsid w:val="00B54862"/>
    <w:rsid w:val="00C5419C"/>
    <w:rsid w:val="00D1169C"/>
    <w:rsid w:val="00D548DD"/>
    <w:rsid w:val="00F238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4C43E"/>
  <w15:chartTrackingRefBased/>
  <w15:docId w15:val="{FC7754D2-75AB-4500-991F-7C9604ADB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972DE"/>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3972DE"/>
    <w:rPr>
      <w:sz w:val="20"/>
      <w:szCs w:val="20"/>
    </w:rPr>
  </w:style>
  <w:style w:type="character" w:customStyle="1" w:styleId="FootnoteTextChar">
    <w:name w:val="Footnote Text Char"/>
    <w:basedOn w:val="DefaultParagraphFont"/>
    <w:link w:val="FootnoteText"/>
    <w:uiPriority w:val="99"/>
    <w:semiHidden/>
    <w:rsid w:val="003972DE"/>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rsid w:val="003972DE"/>
    <w:rPr>
      <w:vertAlign w:val="superscript"/>
    </w:rPr>
  </w:style>
  <w:style w:type="paragraph" w:styleId="ListParagraph">
    <w:name w:val="List Paragraph"/>
    <w:basedOn w:val="Normal"/>
    <w:uiPriority w:val="34"/>
    <w:qFormat/>
    <w:rsid w:val="003972DE"/>
    <w:pPr>
      <w:ind w:left="720"/>
      <w:contextualSpacing/>
    </w:pPr>
  </w:style>
  <w:style w:type="paragraph" w:styleId="Header">
    <w:name w:val="header"/>
    <w:basedOn w:val="Normal"/>
    <w:link w:val="HeaderChar"/>
    <w:uiPriority w:val="99"/>
    <w:unhideWhenUsed/>
    <w:rsid w:val="006E14EB"/>
    <w:pPr>
      <w:tabs>
        <w:tab w:val="center" w:pos="4513"/>
        <w:tab w:val="right" w:pos="9026"/>
      </w:tabs>
    </w:pPr>
  </w:style>
  <w:style w:type="character" w:customStyle="1" w:styleId="HeaderChar">
    <w:name w:val="Header Char"/>
    <w:basedOn w:val="DefaultParagraphFont"/>
    <w:link w:val="Header"/>
    <w:uiPriority w:val="99"/>
    <w:rsid w:val="006E14EB"/>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6E14EB"/>
    <w:pPr>
      <w:tabs>
        <w:tab w:val="center" w:pos="4513"/>
        <w:tab w:val="right" w:pos="9026"/>
      </w:tabs>
    </w:pPr>
  </w:style>
  <w:style w:type="character" w:customStyle="1" w:styleId="FooterChar">
    <w:name w:val="Footer Char"/>
    <w:basedOn w:val="DefaultParagraphFont"/>
    <w:link w:val="Footer"/>
    <w:uiPriority w:val="99"/>
    <w:rsid w:val="006E14EB"/>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F238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38AE"/>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718</Words>
  <Characters>4093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Close, Hannah</dc:creator>
  <cp:keywords/>
  <dc:description/>
  <cp:lastModifiedBy>Lebreton, Marie</cp:lastModifiedBy>
  <cp:revision>8</cp:revision>
  <cp:lastPrinted>2020-01-06T13:23:00Z</cp:lastPrinted>
  <dcterms:created xsi:type="dcterms:W3CDTF">2019-11-28T11:53:00Z</dcterms:created>
  <dcterms:modified xsi:type="dcterms:W3CDTF">2020-01-06T15:54:00Z</dcterms:modified>
</cp:coreProperties>
</file>