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9068CA" w14:textId="77777777" w:rsidR="00242D08" w:rsidRDefault="00242D08">
      <w:pPr>
        <w:pStyle w:val="Title"/>
      </w:pPr>
      <w:r>
        <w:t xml:space="preserve">Brealey </w:t>
      </w:r>
      <w:r w:rsidR="005939B3">
        <w:t>7</w:t>
      </w:r>
      <w:r>
        <w:t xml:space="preserve">CE </w:t>
      </w:r>
    </w:p>
    <w:p w14:paraId="0810F0D1" w14:textId="77777777" w:rsidR="00242D08" w:rsidRDefault="00242D08">
      <w:pPr>
        <w:pStyle w:val="Title"/>
      </w:pPr>
      <w:r>
        <w:t>Solutions to Chapter 2</w:t>
      </w:r>
    </w:p>
    <w:p w14:paraId="0CF336D4" w14:textId="77777777" w:rsidR="00242D08" w:rsidRDefault="00242D08">
      <w:pPr>
        <w:spacing w:line="240" w:lineRule="auto"/>
        <w:jc w:val="center"/>
        <w:rPr>
          <w:rFonts w:ascii="Times New Roman" w:hAnsi="Times New Roman"/>
          <w:b/>
        </w:rPr>
      </w:pPr>
    </w:p>
    <w:p w14:paraId="698B1FA1" w14:textId="77777777" w:rsidR="00242D08" w:rsidRDefault="00242D08">
      <w:pPr>
        <w:pStyle w:val="Footer"/>
        <w:tabs>
          <w:tab w:val="clear" w:pos="4320"/>
          <w:tab w:val="clear" w:pos="8640"/>
        </w:tabs>
        <w:spacing w:line="240" w:lineRule="auto"/>
        <w:rPr>
          <w:rFonts w:ascii="Times New Roman" w:hAnsi="Times New Roman"/>
        </w:rPr>
      </w:pPr>
    </w:p>
    <w:p w14:paraId="194961AC" w14:textId="77777777" w:rsidR="00242D08" w:rsidRDefault="00242D08">
      <w:pPr>
        <w:pStyle w:val="Footer"/>
        <w:tabs>
          <w:tab w:val="clear" w:pos="4320"/>
          <w:tab w:val="clear" w:pos="8640"/>
        </w:tabs>
        <w:spacing w:line="240" w:lineRule="auto"/>
        <w:rPr>
          <w:rFonts w:ascii="Times New Roman" w:hAnsi="Times New Roman"/>
        </w:rPr>
      </w:pPr>
    </w:p>
    <w:p w14:paraId="2F34B277" w14:textId="619CE8A4" w:rsidR="00242D08" w:rsidRDefault="00250424" w:rsidP="0085124D">
      <w:pPr>
        <w:pStyle w:val="Footer"/>
        <w:numPr>
          <w:ilvl w:val="0"/>
          <w:numId w:val="25"/>
        </w:numPr>
        <w:tabs>
          <w:tab w:val="clear" w:pos="540"/>
          <w:tab w:val="clear" w:pos="4320"/>
          <w:tab w:val="clear" w:pos="8640"/>
        </w:tabs>
        <w:spacing w:line="240" w:lineRule="auto"/>
        <w:rPr>
          <w:rFonts w:ascii="Times New Roman" w:hAnsi="Times New Roman"/>
        </w:rPr>
      </w:pPr>
      <w:r>
        <w:rPr>
          <w:rFonts w:ascii="Times New Roman" w:hAnsi="Times New Roman"/>
        </w:rPr>
        <w:t xml:space="preserve">One example is Blackberry (formerly Research </w:t>
      </w:r>
      <w:proofErr w:type="gramStart"/>
      <w:r>
        <w:rPr>
          <w:rFonts w:ascii="Times New Roman" w:hAnsi="Times New Roman"/>
        </w:rPr>
        <w:t>In</w:t>
      </w:r>
      <w:proofErr w:type="gramEnd"/>
      <w:r>
        <w:rPr>
          <w:rFonts w:ascii="Times New Roman" w:hAnsi="Times New Roman"/>
        </w:rPr>
        <w:t xml:space="preserve"> Motion or RIM). </w:t>
      </w:r>
      <w:r w:rsidR="00242D08">
        <w:rPr>
          <w:rFonts w:ascii="Times New Roman" w:hAnsi="Times New Roman"/>
        </w:rPr>
        <w:t xml:space="preserve">The </w:t>
      </w:r>
      <w:r w:rsidR="004A7C31">
        <w:rPr>
          <w:rFonts w:ascii="Times New Roman" w:hAnsi="Times New Roman"/>
        </w:rPr>
        <w:t xml:space="preserve">early </w:t>
      </w:r>
      <w:r w:rsidR="00242D08">
        <w:rPr>
          <w:rFonts w:ascii="Times New Roman" w:hAnsi="Times New Roman"/>
        </w:rPr>
        <w:t>story of RIM provides three examples of financing sources: equity investments by the founders of the company, loans from friends and family, and loans by governments.  Other sources include reinvested earnings of the company and loans from banks and other financial institutions.</w:t>
      </w:r>
      <w:r w:rsidR="00242D08">
        <w:rPr>
          <w:rFonts w:ascii="Times New Roman" w:hAnsi="Times New Roman"/>
        </w:rPr>
        <w:br/>
      </w:r>
    </w:p>
    <w:p w14:paraId="13AF54CD" w14:textId="77777777" w:rsidR="00242D08" w:rsidRDefault="00242D08">
      <w:pPr>
        <w:pStyle w:val="BodyText"/>
        <w:tabs>
          <w:tab w:val="left" w:pos="540"/>
        </w:tabs>
        <w:ind w:left="540" w:hanging="540"/>
      </w:pPr>
      <w:r>
        <w:t>2.</w:t>
      </w:r>
      <w:r>
        <w:tab/>
        <w:t>Yes.  When the corporation retains cash and reinvests in the firm’s operations, that cash is saved and invested on behalf of the firm’s shareholders.  The reinvested cash could have been paid out to the shareholders. By not taking the cash, these investors have reinvested their savings in the corporation.  Individuals can also save and invest in a corporation by lending to, or buying shares in, a financial intermediary such as a bank or mutual fund that subsequently invests in the corporation.</w:t>
      </w:r>
    </w:p>
    <w:p w14:paraId="48550095" w14:textId="77777777" w:rsidR="00242D08" w:rsidRDefault="00242D08">
      <w:pPr>
        <w:tabs>
          <w:tab w:val="left" w:pos="540"/>
        </w:tabs>
        <w:spacing w:line="240" w:lineRule="auto"/>
        <w:rPr>
          <w:rFonts w:ascii="Times New Roman" w:hAnsi="Times New Roman"/>
        </w:rPr>
      </w:pPr>
    </w:p>
    <w:p w14:paraId="0004323E" w14:textId="77777777" w:rsidR="00242D08" w:rsidRDefault="00242D08">
      <w:pPr>
        <w:tabs>
          <w:tab w:val="left" w:pos="540"/>
        </w:tabs>
        <w:spacing w:line="240" w:lineRule="auto"/>
        <w:ind w:left="540" w:hanging="540"/>
      </w:pPr>
      <w:r>
        <w:t>3.</w:t>
      </w:r>
      <w:r>
        <w:tab/>
      </w:r>
      <w:r>
        <w:rPr>
          <w:i/>
        </w:rPr>
        <w:t>Money markets</w:t>
      </w:r>
      <w:r>
        <w:t>, where short-term debt instruments are bought and sold.</w:t>
      </w:r>
    </w:p>
    <w:p w14:paraId="3C082D65" w14:textId="77777777" w:rsidR="00242D08" w:rsidRDefault="00242D08">
      <w:pPr>
        <w:tabs>
          <w:tab w:val="left" w:pos="540"/>
        </w:tabs>
        <w:spacing w:line="160" w:lineRule="exact"/>
        <w:ind w:left="547" w:hanging="547"/>
      </w:pPr>
    </w:p>
    <w:p w14:paraId="20C2505D" w14:textId="77777777" w:rsidR="00242D08" w:rsidRDefault="00242D08">
      <w:pPr>
        <w:tabs>
          <w:tab w:val="left" w:pos="540"/>
        </w:tabs>
        <w:spacing w:line="240" w:lineRule="auto"/>
        <w:ind w:left="540" w:hanging="540"/>
      </w:pPr>
      <w:r>
        <w:tab/>
      </w:r>
      <w:r>
        <w:rPr>
          <w:i/>
        </w:rPr>
        <w:t>Foreign-exchange markets</w:t>
      </w:r>
      <w:r>
        <w:t>. Most trading takes place in over-the-counter transactions between the major international banks.</w:t>
      </w:r>
    </w:p>
    <w:p w14:paraId="5991CADD" w14:textId="77777777" w:rsidR="00242D08" w:rsidRDefault="00242D08">
      <w:pPr>
        <w:tabs>
          <w:tab w:val="left" w:pos="540"/>
        </w:tabs>
        <w:spacing w:line="160" w:lineRule="exact"/>
        <w:ind w:left="547" w:hanging="547"/>
      </w:pPr>
    </w:p>
    <w:p w14:paraId="49205A46" w14:textId="77777777" w:rsidR="00242D08" w:rsidRDefault="00242D08">
      <w:pPr>
        <w:tabs>
          <w:tab w:val="left" w:pos="540"/>
        </w:tabs>
        <w:spacing w:line="240" w:lineRule="auto"/>
        <w:ind w:left="540" w:hanging="540"/>
      </w:pPr>
      <w:r>
        <w:tab/>
      </w:r>
      <w:r>
        <w:rPr>
          <w:i/>
        </w:rPr>
        <w:t>Commodities markets</w:t>
      </w:r>
      <w:r>
        <w:t xml:space="preserve"> for agricultural commodities, fuels (including crude oil and natural gas) and metals (such as gold, silver and platinum).</w:t>
      </w:r>
    </w:p>
    <w:p w14:paraId="79340F09" w14:textId="77777777" w:rsidR="00242D08" w:rsidRDefault="00242D08">
      <w:pPr>
        <w:tabs>
          <w:tab w:val="left" w:pos="540"/>
        </w:tabs>
        <w:spacing w:line="160" w:lineRule="exact"/>
        <w:ind w:left="547" w:hanging="547"/>
      </w:pPr>
    </w:p>
    <w:p w14:paraId="5D31C3C7" w14:textId="77777777" w:rsidR="00242D08" w:rsidRDefault="00242D08">
      <w:pPr>
        <w:tabs>
          <w:tab w:val="left" w:pos="540"/>
        </w:tabs>
        <w:spacing w:line="240" w:lineRule="auto"/>
        <w:ind w:left="540" w:hanging="540"/>
      </w:pPr>
      <w:r>
        <w:tab/>
      </w:r>
      <w:r>
        <w:rPr>
          <w:i/>
        </w:rPr>
        <w:t>Derivatives markets</w:t>
      </w:r>
      <w:r>
        <w:t>, where options and other derivative instruments are traded.</w:t>
      </w:r>
    </w:p>
    <w:p w14:paraId="59309EB4" w14:textId="77777777" w:rsidR="00242D08" w:rsidRDefault="00242D08">
      <w:pPr>
        <w:spacing w:line="240" w:lineRule="auto"/>
        <w:ind w:left="540" w:hanging="540"/>
      </w:pPr>
    </w:p>
    <w:p w14:paraId="3945516F" w14:textId="77777777" w:rsidR="00242D08" w:rsidRDefault="00242D08">
      <w:pPr>
        <w:spacing w:line="240" w:lineRule="auto"/>
        <w:ind w:left="720" w:hanging="720"/>
      </w:pPr>
    </w:p>
    <w:p w14:paraId="3351D456" w14:textId="77777777" w:rsidR="00242D08" w:rsidRDefault="00242D08">
      <w:pPr>
        <w:pStyle w:val="aaa"/>
        <w:spacing w:line="240" w:lineRule="auto"/>
        <w:ind w:left="540" w:right="-360" w:hanging="540"/>
        <w:rPr>
          <w:rFonts w:ascii="Times New Roman" w:hAnsi="Times New Roman"/>
        </w:rPr>
      </w:pPr>
      <w:r>
        <w:rPr>
          <w:rFonts w:ascii="Times New Roman" w:hAnsi="Times New Roman"/>
        </w:rPr>
        <w:t>4.</w:t>
      </w:r>
      <w:r>
        <w:rPr>
          <w:rFonts w:ascii="Times New Roman" w:hAnsi="Times New Roman"/>
        </w:rPr>
        <w:tab/>
      </w:r>
      <w:r>
        <w:t>Buy shares in an exchange-traded fund (ETF) or a mutual fund.  Both ETFs and mutual funds pool savings from many individual investors and then invest in a diversified portfolio of securities.  Each individual investor then owns a proportionate share of the ETF or mutual fund’s portfolio.</w:t>
      </w:r>
    </w:p>
    <w:p w14:paraId="654BA5E1" w14:textId="77777777" w:rsidR="00242D08" w:rsidRDefault="00242D08">
      <w:pPr>
        <w:pStyle w:val="aaa"/>
        <w:spacing w:line="240" w:lineRule="auto"/>
        <w:ind w:right="-360"/>
      </w:pPr>
    </w:p>
    <w:p w14:paraId="2227A340" w14:textId="77777777" w:rsidR="00242D08" w:rsidRDefault="00242D08">
      <w:pPr>
        <w:spacing w:line="240" w:lineRule="auto"/>
        <w:ind w:left="540" w:hanging="540"/>
      </w:pPr>
    </w:p>
    <w:p w14:paraId="65AE810D" w14:textId="77777777" w:rsidR="00242D08" w:rsidRDefault="00242D08">
      <w:pPr>
        <w:tabs>
          <w:tab w:val="left" w:pos="540"/>
        </w:tabs>
        <w:spacing w:line="240" w:lineRule="auto"/>
        <w:ind w:left="540" w:hanging="540"/>
      </w:pPr>
      <w:r>
        <w:t>5.</w:t>
      </w:r>
      <w:r>
        <w:tab/>
        <w:t>Defined contribution pension plans provide three key advantages as vehicles for retirement savings:</w:t>
      </w:r>
    </w:p>
    <w:p w14:paraId="7299AF67" w14:textId="77777777" w:rsidR="00242D08" w:rsidRDefault="00242D08">
      <w:pPr>
        <w:tabs>
          <w:tab w:val="left" w:pos="540"/>
        </w:tabs>
        <w:spacing w:line="160" w:lineRule="exact"/>
        <w:ind w:left="547" w:hanging="547"/>
      </w:pPr>
    </w:p>
    <w:p w14:paraId="0CEB00E6" w14:textId="77777777" w:rsidR="00242D08" w:rsidRDefault="00242D08">
      <w:pPr>
        <w:numPr>
          <w:ilvl w:val="0"/>
          <w:numId w:val="2"/>
        </w:numPr>
        <w:tabs>
          <w:tab w:val="num" w:pos="1080"/>
        </w:tabs>
        <w:spacing w:line="240" w:lineRule="auto"/>
        <w:ind w:left="1080" w:hanging="540"/>
      </w:pPr>
      <w:r>
        <w:t>Professional management.</w:t>
      </w:r>
    </w:p>
    <w:p w14:paraId="2E8E4269" w14:textId="77777777" w:rsidR="00242D08" w:rsidRDefault="00242D08">
      <w:pPr>
        <w:numPr>
          <w:ilvl w:val="0"/>
          <w:numId w:val="2"/>
        </w:numPr>
        <w:tabs>
          <w:tab w:val="num" w:pos="1080"/>
        </w:tabs>
        <w:spacing w:line="240" w:lineRule="auto"/>
        <w:ind w:left="1080" w:hanging="540"/>
      </w:pPr>
      <w:r>
        <w:t>Diversification at low cost.</w:t>
      </w:r>
    </w:p>
    <w:p w14:paraId="22967B3B" w14:textId="77777777" w:rsidR="00242D08" w:rsidRDefault="00242D08">
      <w:pPr>
        <w:numPr>
          <w:ilvl w:val="0"/>
          <w:numId w:val="2"/>
        </w:numPr>
        <w:tabs>
          <w:tab w:val="num" w:pos="1080"/>
        </w:tabs>
        <w:spacing w:line="240" w:lineRule="auto"/>
        <w:ind w:left="1080" w:hanging="540"/>
      </w:pPr>
      <w:r>
        <w:t xml:space="preserve">Pension plan contributions are tax-deductible, and taxes on the earnings in the fund are deferred until the fund’s assets are distributed to retired employees.  </w:t>
      </w:r>
    </w:p>
    <w:p w14:paraId="02024C0C" w14:textId="77777777" w:rsidR="00242D08" w:rsidRDefault="00242D08">
      <w:pPr>
        <w:spacing w:line="240" w:lineRule="auto"/>
        <w:ind w:left="540" w:hanging="540"/>
      </w:pPr>
    </w:p>
    <w:p w14:paraId="2D2C1205" w14:textId="77777777" w:rsidR="00242D08" w:rsidRDefault="00242D08">
      <w:pPr>
        <w:pStyle w:val="aaa"/>
        <w:spacing w:line="240" w:lineRule="auto"/>
        <w:ind w:left="540" w:right="-360" w:hanging="540"/>
        <w:rPr>
          <w:rFonts w:ascii="Times New Roman" w:hAnsi="Times New Roman"/>
        </w:rPr>
      </w:pPr>
    </w:p>
    <w:p w14:paraId="0EBC235D" w14:textId="77777777" w:rsidR="00242D08" w:rsidRDefault="00242D08">
      <w:pPr>
        <w:numPr>
          <w:ilvl w:val="0"/>
          <w:numId w:val="7"/>
        </w:numPr>
        <w:spacing w:line="240" w:lineRule="auto"/>
        <w:rPr>
          <w:rFonts w:ascii="Times New Roman" w:hAnsi="Times New Roman"/>
        </w:rPr>
      </w:pPr>
      <w:r>
        <w:t xml:space="preserve">Yes.  Insurance companies sell policies and then invest part of the proceeds in </w:t>
      </w:r>
      <w:r>
        <w:rPr>
          <w:rFonts w:ascii="Times New Roman" w:hAnsi="Times New Roman"/>
        </w:rPr>
        <w:t>corporate bonds and stocks and in direct loans to corporations.  The returns from these investments help pay for losses incurred by policyholders.</w:t>
      </w:r>
    </w:p>
    <w:p w14:paraId="62A54D39" w14:textId="77777777" w:rsidR="00242D08" w:rsidRDefault="00242D08">
      <w:pPr>
        <w:tabs>
          <w:tab w:val="left" w:pos="540"/>
        </w:tabs>
        <w:spacing w:line="240" w:lineRule="auto"/>
        <w:rPr>
          <w:rFonts w:ascii="Times New Roman" w:hAnsi="Times New Roman"/>
        </w:rPr>
      </w:pPr>
    </w:p>
    <w:p w14:paraId="7A906483" w14:textId="70FBFB26" w:rsidR="00242D08" w:rsidRDefault="00242D08" w:rsidP="004E2660">
      <w:pPr>
        <w:pStyle w:val="Footer"/>
        <w:numPr>
          <w:ilvl w:val="0"/>
          <w:numId w:val="7"/>
        </w:numPr>
        <w:tabs>
          <w:tab w:val="clear" w:pos="4320"/>
          <w:tab w:val="clear" w:pos="8640"/>
        </w:tabs>
        <w:spacing w:line="240" w:lineRule="auto"/>
        <w:rPr>
          <w:rFonts w:ascii="Times New Roman" w:hAnsi="Times New Roman"/>
        </w:rPr>
      </w:pPr>
      <w:r>
        <w:rPr>
          <w:rFonts w:ascii="Times New Roman" w:hAnsi="Times New Roman"/>
        </w:rPr>
        <w:t>The largest institutional investors in bonds are insurance companies.  Other major institutional investors in bonds are pension funds, mutual funds, banks and other savings institutions.  The largest institutional investors in shares are pension funds, mutual funds, and insurance companies.</w:t>
      </w:r>
    </w:p>
    <w:p w14:paraId="106CE982" w14:textId="77777777" w:rsidR="00242D08" w:rsidRDefault="00242D08">
      <w:pPr>
        <w:pStyle w:val="Footer"/>
        <w:tabs>
          <w:tab w:val="clear" w:pos="4320"/>
          <w:tab w:val="clear" w:pos="8640"/>
        </w:tabs>
        <w:spacing w:line="240" w:lineRule="auto"/>
        <w:rPr>
          <w:rFonts w:ascii="Times New Roman" w:hAnsi="Times New Roman"/>
        </w:rPr>
      </w:pPr>
    </w:p>
    <w:p w14:paraId="3D46D3B4" w14:textId="77777777" w:rsidR="00242D08" w:rsidRDefault="00242D08">
      <w:pPr>
        <w:pStyle w:val="Footer"/>
        <w:numPr>
          <w:ilvl w:val="0"/>
          <w:numId w:val="7"/>
        </w:numPr>
        <w:tabs>
          <w:tab w:val="clear" w:pos="4320"/>
          <w:tab w:val="clear" w:pos="8640"/>
        </w:tabs>
        <w:spacing w:line="240" w:lineRule="auto"/>
      </w:pPr>
      <w:r>
        <w:t xml:space="preserve">The market price of gold can be observed from transactions in commodity markets.  For example, gold is traded on the </w:t>
      </w:r>
      <w:proofErr w:type="spellStart"/>
      <w:r>
        <w:t>Comex</w:t>
      </w:r>
      <w:proofErr w:type="spellEnd"/>
      <w:r>
        <w:t xml:space="preserve"> division of the New York Mercantile Exchange. Look up the price of gold and compare it to $2,500/6 = $416.67 per ounce.</w:t>
      </w:r>
    </w:p>
    <w:p w14:paraId="61347210" w14:textId="77777777" w:rsidR="00242D08" w:rsidRDefault="00242D08">
      <w:pPr>
        <w:pStyle w:val="Footer"/>
        <w:tabs>
          <w:tab w:val="clear" w:pos="4320"/>
          <w:tab w:val="clear" w:pos="8640"/>
          <w:tab w:val="left" w:pos="540"/>
        </w:tabs>
        <w:spacing w:line="240" w:lineRule="auto"/>
      </w:pPr>
    </w:p>
    <w:p w14:paraId="3408A934" w14:textId="77777777" w:rsidR="00242D08" w:rsidRDefault="00242D08">
      <w:pPr>
        <w:tabs>
          <w:tab w:val="left" w:pos="540"/>
        </w:tabs>
        <w:spacing w:line="240" w:lineRule="auto"/>
        <w:ind w:left="540" w:hanging="540"/>
        <w:rPr>
          <w:rFonts w:ascii="Times New Roman" w:hAnsi="Times New Roman"/>
        </w:rPr>
      </w:pPr>
    </w:p>
    <w:p w14:paraId="4B4FFE1E" w14:textId="77777777" w:rsidR="00242D08" w:rsidRDefault="00242D08">
      <w:pPr>
        <w:tabs>
          <w:tab w:val="left" w:pos="540"/>
        </w:tabs>
        <w:spacing w:line="240" w:lineRule="auto"/>
        <w:ind w:left="540" w:hanging="540"/>
      </w:pPr>
      <w:r>
        <w:rPr>
          <w:rFonts w:ascii="Times New Roman" w:hAnsi="Times New Roman"/>
        </w:rPr>
        <w:t>9.</w:t>
      </w:r>
      <w:r>
        <w:rPr>
          <w:rFonts w:ascii="Times New Roman" w:hAnsi="Times New Roman"/>
        </w:rPr>
        <w:tab/>
      </w:r>
      <w:r>
        <w:t>Financial markets provide extensive data that can be useful to financial managers.  Examples include:</w:t>
      </w:r>
    </w:p>
    <w:p w14:paraId="56D490A6" w14:textId="77777777" w:rsidR="00242D08" w:rsidRDefault="00242D08">
      <w:pPr>
        <w:tabs>
          <w:tab w:val="left" w:pos="540"/>
        </w:tabs>
        <w:spacing w:line="160" w:lineRule="exact"/>
        <w:ind w:left="547" w:hanging="547"/>
      </w:pPr>
    </w:p>
    <w:p w14:paraId="33BE22A5" w14:textId="77777777" w:rsidR="00242D08" w:rsidRDefault="00242D08">
      <w:pPr>
        <w:numPr>
          <w:ilvl w:val="0"/>
          <w:numId w:val="4"/>
        </w:numPr>
        <w:tabs>
          <w:tab w:val="clear" w:pos="360"/>
          <w:tab w:val="left" w:pos="1080"/>
        </w:tabs>
        <w:spacing w:line="240" w:lineRule="auto"/>
        <w:ind w:left="1080" w:hanging="540"/>
      </w:pPr>
      <w:r>
        <w:t>Prices for agricultural commodities, metals and fuels.</w:t>
      </w:r>
    </w:p>
    <w:p w14:paraId="2043F4D3" w14:textId="77777777" w:rsidR="00242D08" w:rsidRDefault="00242D08">
      <w:pPr>
        <w:numPr>
          <w:ilvl w:val="0"/>
          <w:numId w:val="4"/>
        </w:numPr>
        <w:tabs>
          <w:tab w:val="clear" w:pos="360"/>
          <w:tab w:val="left" w:pos="1080"/>
        </w:tabs>
        <w:spacing w:line="240" w:lineRule="auto"/>
        <w:ind w:left="1080" w:hanging="540"/>
      </w:pPr>
      <w:r>
        <w:t>Interest rates for a wide array of loans and securities, including money market instruments, corporate and Canadian government bonds, and interest rates for loans and investments in foreign countries.</w:t>
      </w:r>
    </w:p>
    <w:p w14:paraId="6A14172B" w14:textId="77777777" w:rsidR="00242D08" w:rsidRDefault="00242D08">
      <w:pPr>
        <w:numPr>
          <w:ilvl w:val="0"/>
          <w:numId w:val="4"/>
        </w:numPr>
        <w:tabs>
          <w:tab w:val="clear" w:pos="360"/>
          <w:tab w:val="left" w:pos="1080"/>
        </w:tabs>
        <w:spacing w:line="240" w:lineRule="auto"/>
        <w:ind w:left="1080" w:hanging="540"/>
      </w:pPr>
      <w:r>
        <w:t>Foreign exchange rates.</w:t>
      </w:r>
    </w:p>
    <w:p w14:paraId="1FC9C8A1" w14:textId="77777777" w:rsidR="00242D08" w:rsidRDefault="00242D08">
      <w:pPr>
        <w:numPr>
          <w:ilvl w:val="0"/>
          <w:numId w:val="4"/>
        </w:numPr>
        <w:tabs>
          <w:tab w:val="clear" w:pos="360"/>
          <w:tab w:val="left" w:pos="1080"/>
        </w:tabs>
        <w:spacing w:line="240" w:lineRule="auto"/>
        <w:ind w:left="1080" w:hanging="540"/>
      </w:pPr>
      <w:r>
        <w:t>Stock prices and overall market values for publicly listed corporations are determined by trading on the TSX, New York Stock Exchange, NASDAQ or stock markets in London, Frankfurt, Tokyo, etc.</w:t>
      </w:r>
    </w:p>
    <w:p w14:paraId="1B229392" w14:textId="77777777" w:rsidR="00242D08" w:rsidRDefault="00242D08">
      <w:pPr>
        <w:spacing w:line="240" w:lineRule="auto"/>
      </w:pPr>
    </w:p>
    <w:p w14:paraId="1883FBAB" w14:textId="77777777" w:rsidR="00242D08" w:rsidRDefault="00242D08">
      <w:pPr>
        <w:pStyle w:val="aaa"/>
        <w:spacing w:line="240" w:lineRule="auto"/>
        <w:ind w:left="540" w:right="-360" w:hanging="540"/>
        <w:rPr>
          <w:rFonts w:ascii="Times New Roman" w:hAnsi="Times New Roman"/>
        </w:rPr>
      </w:pPr>
    </w:p>
    <w:p w14:paraId="1A5A885E" w14:textId="73ADF6A3" w:rsidR="00242D08" w:rsidRDefault="00242D08">
      <w:pPr>
        <w:pStyle w:val="BodyTextIndent"/>
      </w:pPr>
      <w:r>
        <w:rPr>
          <w:rFonts w:ascii="Times New Roman" w:hAnsi="Times New Roman"/>
        </w:rPr>
        <w:t>10.</w:t>
      </w:r>
      <w:r>
        <w:rPr>
          <w:rFonts w:ascii="Times New Roman" w:hAnsi="Times New Roman"/>
        </w:rPr>
        <w:tab/>
      </w:r>
      <w:r w:rsidR="004A7C31">
        <w:rPr>
          <w:rFonts w:ascii="Times New Roman" w:hAnsi="Times New Roman"/>
        </w:rPr>
        <w:t xml:space="preserve">We also discussed this in Chapter 1, Question 14. </w:t>
      </w:r>
      <w:r>
        <w:t>The opportunity cost of capital is the expected rate of return offered by the best alternative investment opportunity.  When the firm makes capital investments on behalf of the owners of the firm (i.e., the shareholders), it must consider the shareholders’ other investment opportunities. The firm should not invest unless the expected return on investment at least equals the expected return the shareholders could obtain on their own by investing in the financial markets.</w:t>
      </w:r>
    </w:p>
    <w:p w14:paraId="1E2E4F4C" w14:textId="77777777" w:rsidR="00242D08" w:rsidRDefault="00242D08">
      <w:pPr>
        <w:tabs>
          <w:tab w:val="left" w:pos="540"/>
        </w:tabs>
        <w:spacing w:line="160" w:lineRule="exact"/>
        <w:ind w:left="547" w:hanging="547"/>
      </w:pPr>
    </w:p>
    <w:p w14:paraId="71A4E595" w14:textId="77777777" w:rsidR="00242D08" w:rsidRDefault="00242D08">
      <w:pPr>
        <w:tabs>
          <w:tab w:val="left" w:pos="540"/>
        </w:tabs>
        <w:spacing w:line="240" w:lineRule="auto"/>
        <w:ind w:left="540" w:hanging="540"/>
      </w:pPr>
      <w:r>
        <w:tab/>
        <w:t xml:space="preserve">The opportunity cost of capital for a safe investment is the rate of return that shareholders could earn if they invested in risk-free securities, for example in Government of Canada Treasury Bills. </w:t>
      </w:r>
    </w:p>
    <w:p w14:paraId="5E087033" w14:textId="77777777" w:rsidR="00242D08" w:rsidRDefault="00242D08">
      <w:pPr>
        <w:pStyle w:val="aaa"/>
        <w:spacing w:line="240" w:lineRule="auto"/>
        <w:ind w:left="540" w:right="-360" w:hanging="540"/>
        <w:rPr>
          <w:rFonts w:ascii="Times New Roman" w:hAnsi="Times New Roman"/>
        </w:rPr>
      </w:pPr>
    </w:p>
    <w:p w14:paraId="04C54419" w14:textId="77777777" w:rsidR="00242D08" w:rsidRDefault="00242D08" w:rsidP="002B10DD">
      <w:pPr>
        <w:pStyle w:val="aaa"/>
        <w:numPr>
          <w:ilvl w:val="0"/>
          <w:numId w:val="28"/>
        </w:numPr>
        <w:spacing w:line="240" w:lineRule="auto"/>
        <w:ind w:right="-360"/>
        <w:rPr>
          <w:rFonts w:ascii="Times New Roman" w:hAnsi="Times New Roman"/>
        </w:rPr>
      </w:pPr>
      <w:r>
        <w:rPr>
          <w:rFonts w:ascii="Times New Roman" w:hAnsi="Times New Roman"/>
        </w:rPr>
        <w:t>When stockholders have access to modern financial markets and institutions, stockholders can readily avail themselves of the functions served by these markets and institutions: for example, transporting cash across time, risk transfer and diversification, liquidity, and access to payment mechanisms.  Therefore, the objective of value maximization makes sense for stockholders because this is the only task stockholders require of corporate management.  In addition, the financial markets provide the pricing mechanism and the information stockholders require in order to assess the performance of the firm’s management in achieving this objective.</w:t>
      </w:r>
    </w:p>
    <w:p w14:paraId="1ED23851" w14:textId="77777777" w:rsidR="00242D08" w:rsidRDefault="00242D08">
      <w:pPr>
        <w:pStyle w:val="aaa"/>
        <w:spacing w:line="240" w:lineRule="auto"/>
        <w:ind w:left="540" w:right="-360" w:hanging="540"/>
        <w:rPr>
          <w:rFonts w:ascii="Times New Roman" w:hAnsi="Times New Roman"/>
        </w:rPr>
      </w:pPr>
    </w:p>
    <w:p w14:paraId="01C74EFA" w14:textId="77777777" w:rsidR="00242D08" w:rsidRDefault="00242D08">
      <w:pPr>
        <w:pStyle w:val="aaa"/>
        <w:spacing w:line="240" w:lineRule="auto"/>
        <w:ind w:left="540" w:right="-360" w:hanging="540"/>
        <w:rPr>
          <w:rFonts w:ascii="Times New Roman" w:hAnsi="Times New Roman"/>
        </w:rPr>
      </w:pPr>
    </w:p>
    <w:p w14:paraId="562D6E3D" w14:textId="77777777" w:rsidR="00242D08" w:rsidRDefault="00242D08">
      <w:pPr>
        <w:pStyle w:val="BodyTextIndent2"/>
        <w:tabs>
          <w:tab w:val="clear" w:pos="720"/>
          <w:tab w:val="left" w:pos="540"/>
        </w:tabs>
        <w:ind w:left="1080" w:hanging="1080"/>
      </w:pPr>
      <w:r>
        <w:t>12.</w:t>
      </w:r>
      <w:r>
        <w:tab/>
        <w:t>a.</w:t>
      </w:r>
      <w:r>
        <w:tab/>
        <w:t>False.  Financing could flow through an intermediary, for example.</w:t>
      </w:r>
    </w:p>
    <w:p w14:paraId="27EAF474" w14:textId="77777777" w:rsidR="00242D08" w:rsidRDefault="00242D08">
      <w:pPr>
        <w:tabs>
          <w:tab w:val="left" w:pos="540"/>
        </w:tabs>
        <w:spacing w:line="160" w:lineRule="exact"/>
        <w:ind w:left="547" w:hanging="547"/>
      </w:pPr>
    </w:p>
    <w:p w14:paraId="7BB0CBE5" w14:textId="77777777" w:rsidR="00242D08" w:rsidRDefault="00242D08">
      <w:pPr>
        <w:tabs>
          <w:tab w:val="left" w:pos="540"/>
        </w:tabs>
        <w:spacing w:line="240" w:lineRule="auto"/>
        <w:ind w:left="1080" w:hanging="1080"/>
      </w:pPr>
      <w:r>
        <w:tab/>
        <w:t>b.</w:t>
      </w:r>
      <w:r>
        <w:tab/>
        <w:t>False.  Investors can buy shares in a private corporation, for example.</w:t>
      </w:r>
    </w:p>
    <w:p w14:paraId="488B1484" w14:textId="77777777" w:rsidR="00242D08" w:rsidRDefault="00242D08">
      <w:pPr>
        <w:tabs>
          <w:tab w:val="left" w:pos="540"/>
        </w:tabs>
        <w:spacing w:line="160" w:lineRule="exact"/>
        <w:ind w:left="547" w:hanging="547"/>
      </w:pPr>
    </w:p>
    <w:p w14:paraId="1A9EDD67" w14:textId="77777777" w:rsidR="00242D08" w:rsidRDefault="00242D08">
      <w:pPr>
        <w:tabs>
          <w:tab w:val="left" w:pos="540"/>
        </w:tabs>
        <w:spacing w:line="240" w:lineRule="auto"/>
        <w:ind w:left="1080" w:hanging="1080"/>
      </w:pPr>
      <w:r>
        <w:tab/>
        <w:t>c.</w:t>
      </w:r>
      <w:r>
        <w:tab/>
        <w:t>True.  Sale of insurance policies are the largest source of financing for insurance companies, which then invest a significant portion of the proceeds in corporate debt and equities.</w:t>
      </w:r>
    </w:p>
    <w:p w14:paraId="5BA07CE7" w14:textId="77777777" w:rsidR="00242D08" w:rsidRDefault="00242D08">
      <w:pPr>
        <w:tabs>
          <w:tab w:val="left" w:pos="540"/>
        </w:tabs>
        <w:spacing w:line="160" w:lineRule="exact"/>
        <w:ind w:left="547" w:hanging="547"/>
      </w:pPr>
    </w:p>
    <w:p w14:paraId="36E48482" w14:textId="77777777" w:rsidR="00242D08" w:rsidRDefault="00242D08">
      <w:pPr>
        <w:numPr>
          <w:ilvl w:val="0"/>
          <w:numId w:val="5"/>
        </w:numPr>
        <w:tabs>
          <w:tab w:val="clear" w:pos="1080"/>
          <w:tab w:val="left" w:pos="540"/>
        </w:tabs>
        <w:spacing w:line="240" w:lineRule="auto"/>
      </w:pPr>
      <w:r>
        <w:t>False. There is no centralized FOREX exchange. Foreign exchange is traded over-the-counter.</w:t>
      </w:r>
    </w:p>
    <w:p w14:paraId="77BC39DA" w14:textId="77777777" w:rsidR="00242D08" w:rsidRDefault="00242D08">
      <w:pPr>
        <w:tabs>
          <w:tab w:val="left" w:pos="540"/>
        </w:tabs>
        <w:spacing w:line="160" w:lineRule="exact"/>
        <w:ind w:left="547" w:hanging="547"/>
      </w:pPr>
    </w:p>
    <w:p w14:paraId="0B045D1B" w14:textId="77777777" w:rsidR="00242D08" w:rsidRDefault="00242D08">
      <w:pPr>
        <w:numPr>
          <w:ilvl w:val="0"/>
          <w:numId w:val="5"/>
        </w:numPr>
        <w:tabs>
          <w:tab w:val="left" w:pos="1080"/>
        </w:tabs>
        <w:spacing w:line="240" w:lineRule="auto"/>
      </w:pPr>
      <w:r>
        <w:t>False.  The opportunity cost of capital is the expected rate of return that shareholders can obtain in the financial markets on investments with the same risk as the firm’s capital investments.</w:t>
      </w:r>
    </w:p>
    <w:p w14:paraId="4174807E" w14:textId="77777777" w:rsidR="00242D08" w:rsidRDefault="00242D08">
      <w:pPr>
        <w:tabs>
          <w:tab w:val="left" w:pos="540"/>
        </w:tabs>
        <w:spacing w:line="160" w:lineRule="exact"/>
        <w:ind w:left="547" w:hanging="547"/>
      </w:pPr>
    </w:p>
    <w:p w14:paraId="2D7237A5" w14:textId="77777777" w:rsidR="00242D08" w:rsidRDefault="00242D08">
      <w:pPr>
        <w:tabs>
          <w:tab w:val="left" w:pos="540"/>
        </w:tabs>
        <w:spacing w:line="240" w:lineRule="auto"/>
        <w:ind w:left="1080" w:hanging="1080"/>
      </w:pPr>
      <w:r>
        <w:tab/>
        <w:t>f.</w:t>
      </w:r>
      <w:r>
        <w:tab/>
        <w:t xml:space="preserve">False.  The cost of capital is an </w:t>
      </w:r>
      <w:r>
        <w:rPr>
          <w:i/>
        </w:rPr>
        <w:t>opportunity</w:t>
      </w:r>
      <w:r>
        <w:t xml:space="preserve"> cost determined by expected rates of return in financial markets. The opportunity cost of capital for risky investments is normally higher than the firm’s borrowing rate.</w:t>
      </w:r>
    </w:p>
    <w:p w14:paraId="11CD6E90" w14:textId="77777777" w:rsidR="00242D08" w:rsidRDefault="00242D08">
      <w:pPr>
        <w:tabs>
          <w:tab w:val="left" w:pos="540"/>
        </w:tabs>
        <w:spacing w:line="240" w:lineRule="auto"/>
        <w:ind w:left="1080" w:hanging="1080"/>
      </w:pPr>
    </w:p>
    <w:p w14:paraId="111757F1" w14:textId="77777777" w:rsidR="00242D08" w:rsidRPr="00397D32" w:rsidRDefault="00242D08" w:rsidP="00397D32">
      <w:pPr>
        <w:tabs>
          <w:tab w:val="left" w:pos="540"/>
        </w:tabs>
        <w:spacing w:line="240" w:lineRule="auto"/>
        <w:ind w:left="1080" w:hanging="1080"/>
        <w:rPr>
          <w:rFonts w:ascii="Times New Roman" w:hAnsi="Times New Roman"/>
        </w:rPr>
      </w:pPr>
      <w:r>
        <w:rPr>
          <w:rFonts w:ascii="Times New Roman" w:hAnsi="Times New Roman"/>
        </w:rPr>
        <w:t>13.</w:t>
      </w:r>
      <w:r>
        <w:rPr>
          <w:rFonts w:ascii="Times New Roman" w:hAnsi="Times New Roman"/>
        </w:rPr>
        <w:tab/>
      </w:r>
      <w:r>
        <w:rPr>
          <w:rFonts w:ascii="Times New Roman" w:hAnsi="Times New Roman"/>
        </w:rPr>
        <w:tab/>
      </w:r>
      <w:r>
        <w:t>Liquidity is important because investors want to be able to convert their investments into cash quickly and easily when it becomes necessary or desirable to do so.  Should personal circumstances or investment considerations lead an investor to conclude that it is desirable to sell a particular investment, the investor prefers to be able to sell the investment quickly and at a price that does not require a significant discount from market value.</w:t>
      </w:r>
    </w:p>
    <w:p w14:paraId="479572EB" w14:textId="77777777" w:rsidR="00242D08" w:rsidRDefault="00242D08">
      <w:pPr>
        <w:tabs>
          <w:tab w:val="left" w:pos="540"/>
        </w:tabs>
        <w:spacing w:line="160" w:lineRule="exact"/>
        <w:ind w:left="547" w:hanging="547"/>
      </w:pPr>
    </w:p>
    <w:p w14:paraId="4B668E51" w14:textId="77777777" w:rsidR="00242D08" w:rsidRDefault="00242D08" w:rsidP="006E013C">
      <w:pPr>
        <w:pStyle w:val="BodyTextIndent"/>
        <w:tabs>
          <w:tab w:val="left" w:pos="540"/>
        </w:tabs>
        <w:ind w:left="1080" w:firstLine="0"/>
      </w:pPr>
      <w:r>
        <w:t>Liquidity is also important to mutual funds.  When the mutual fund’s shareholders want to redeem their shares, the mutual fund is often forced to sell its securities.  In order to maintain liquidity for its shareholders, the mutual fund requires liquid securities.</w:t>
      </w:r>
      <w:r>
        <w:br/>
      </w:r>
    </w:p>
    <w:p w14:paraId="386E9750" w14:textId="77777777" w:rsidR="00242D08" w:rsidRDefault="00242D08" w:rsidP="006E013C">
      <w:pPr>
        <w:pStyle w:val="BodyTextIndent"/>
        <w:tabs>
          <w:tab w:val="left" w:pos="540"/>
        </w:tabs>
      </w:pPr>
      <w:r>
        <w:t>14.</w:t>
      </w:r>
      <w:r>
        <w:tab/>
        <w:t>The key to the bank’s ability to provide liquidity to depositors is the bank’s ability to pool relatively small deposits from many investors into large, illiquid loans to corporate borrowers.  A withdrawal by any one depositor can be satisfied from any of a number of sources, including new deposits, repayments of other loans made by the bank, bank reserves and the bank’s debt and equity financing.</w:t>
      </w:r>
    </w:p>
    <w:p w14:paraId="05AFA265" w14:textId="77777777" w:rsidR="00242D08" w:rsidRDefault="00242D08">
      <w:pPr>
        <w:pStyle w:val="aaa"/>
        <w:spacing w:line="200" w:lineRule="exact"/>
        <w:ind w:left="547" w:right="-360" w:hanging="547"/>
        <w:rPr>
          <w:rFonts w:ascii="Times New Roman" w:hAnsi="Times New Roman"/>
        </w:rPr>
      </w:pPr>
    </w:p>
    <w:p w14:paraId="3DF5B75C" w14:textId="77777777" w:rsidR="00242D08" w:rsidRDefault="00242D08">
      <w:pPr>
        <w:pStyle w:val="BodyTextIndent"/>
      </w:pPr>
    </w:p>
    <w:p w14:paraId="168826E1" w14:textId="77777777" w:rsidR="00242D08" w:rsidRDefault="00242D08">
      <w:pPr>
        <w:pStyle w:val="BodyTextIndent2"/>
        <w:tabs>
          <w:tab w:val="clear" w:pos="720"/>
          <w:tab w:val="left" w:pos="540"/>
        </w:tabs>
        <w:ind w:left="1080" w:hanging="1080"/>
      </w:pPr>
      <w:r>
        <w:t>15.</w:t>
      </w:r>
      <w:r>
        <w:tab/>
        <w:t>a.</w:t>
      </w:r>
      <w:r>
        <w:tab/>
        <w:t>Investor A buys shares in a mutual fund, which buys part of a new stock issue by a rapidly growing software company.</w:t>
      </w:r>
    </w:p>
    <w:p w14:paraId="00485325" w14:textId="77777777" w:rsidR="00242D08" w:rsidRDefault="00242D08">
      <w:pPr>
        <w:tabs>
          <w:tab w:val="left" w:pos="540"/>
        </w:tabs>
        <w:spacing w:line="160" w:lineRule="exact"/>
        <w:ind w:left="547" w:hanging="547"/>
      </w:pPr>
    </w:p>
    <w:p w14:paraId="71AA57E7" w14:textId="77777777" w:rsidR="00242D08" w:rsidRDefault="00242D08">
      <w:pPr>
        <w:pStyle w:val="BodyTextIndent2"/>
        <w:tabs>
          <w:tab w:val="clear" w:pos="720"/>
          <w:tab w:val="left" w:pos="540"/>
        </w:tabs>
        <w:ind w:left="1080" w:hanging="1080"/>
      </w:pPr>
      <w:r>
        <w:tab/>
        <w:t>b.</w:t>
      </w:r>
      <w:r>
        <w:tab/>
        <w:t>Investor B buys shares issued by the Bank of Saskatchewan, which lends money to a regional department store chain.</w:t>
      </w:r>
    </w:p>
    <w:p w14:paraId="2EFB323B" w14:textId="77777777" w:rsidR="00242D08" w:rsidRDefault="00242D08">
      <w:pPr>
        <w:tabs>
          <w:tab w:val="left" w:pos="540"/>
        </w:tabs>
        <w:spacing w:line="160" w:lineRule="exact"/>
        <w:ind w:left="547" w:hanging="547"/>
      </w:pPr>
    </w:p>
    <w:p w14:paraId="75C2C64A" w14:textId="77777777" w:rsidR="00242D08" w:rsidRDefault="00242D08" w:rsidP="00377552">
      <w:pPr>
        <w:pStyle w:val="BodyTextIndent2"/>
        <w:tabs>
          <w:tab w:val="clear" w:pos="720"/>
          <w:tab w:val="left" w:pos="540"/>
          <w:tab w:val="left" w:pos="1080"/>
        </w:tabs>
        <w:ind w:left="1080" w:hanging="1080"/>
      </w:pPr>
      <w:r>
        <w:tab/>
        <w:t>c.</w:t>
      </w:r>
      <w:r>
        <w:tab/>
        <w:t>Investor C buys part of a new stock issue by the Regional Life Insurance Company, which invests in corporate bonds issued by Neighborhood Refineries, Inc.</w:t>
      </w:r>
    </w:p>
    <w:p w14:paraId="4C3E0250" w14:textId="77777777" w:rsidR="00242D08" w:rsidRDefault="00242D08">
      <w:pPr>
        <w:pStyle w:val="aaa"/>
        <w:spacing w:line="200" w:lineRule="exact"/>
        <w:ind w:left="547" w:right="-360" w:hanging="547"/>
        <w:rPr>
          <w:rFonts w:ascii="Times New Roman" w:hAnsi="Times New Roman"/>
        </w:rPr>
      </w:pPr>
    </w:p>
    <w:p w14:paraId="01EB939A" w14:textId="77777777" w:rsidR="00242D08" w:rsidRDefault="00242D08">
      <w:pPr>
        <w:tabs>
          <w:tab w:val="left" w:pos="720"/>
        </w:tabs>
        <w:spacing w:line="240" w:lineRule="auto"/>
        <w:ind w:left="540" w:hanging="540"/>
      </w:pPr>
    </w:p>
    <w:p w14:paraId="458A3AEF" w14:textId="77777777" w:rsidR="00242D08" w:rsidRDefault="00242D08" w:rsidP="00FC6730">
      <w:pPr>
        <w:pStyle w:val="aaa"/>
        <w:spacing w:line="240" w:lineRule="auto"/>
        <w:ind w:left="540" w:right="-360" w:hanging="540"/>
        <w:rPr>
          <w:rFonts w:ascii="Times New Roman" w:hAnsi="Times New Roman"/>
        </w:rPr>
      </w:pPr>
      <w:r>
        <w:rPr>
          <w:rFonts w:ascii="Times New Roman" w:hAnsi="Times New Roman"/>
        </w:rPr>
        <w:t>16.</w:t>
      </w:r>
      <w:r>
        <w:rPr>
          <w:rFonts w:ascii="Times New Roman" w:hAnsi="Times New Roman"/>
        </w:rPr>
        <w:tab/>
      </w:r>
      <w:r>
        <w:t>Mutual funds and ETFs collect money from small investors and invest the money in corporate stocks or bonds, thus channeling savings from investors to corporations. The advantages of mutual funds and ETFs for individuals are diversification, professional investment management and record keeping.</w:t>
      </w:r>
      <w:r>
        <w:rPr>
          <w:rFonts w:ascii="Times New Roman" w:hAnsi="Times New Roman"/>
        </w:rPr>
        <w:br/>
      </w:r>
    </w:p>
    <w:p w14:paraId="6303C14F" w14:textId="00F982A0" w:rsidR="00242D08" w:rsidRDefault="00242D08" w:rsidP="00FC6730">
      <w:pPr>
        <w:pStyle w:val="aaa"/>
        <w:spacing w:line="240" w:lineRule="auto"/>
        <w:ind w:left="540" w:right="-360" w:hanging="540"/>
        <w:rPr>
          <w:rFonts w:ascii="Times New Roman" w:hAnsi="Times New Roman"/>
        </w:rPr>
      </w:pPr>
      <w:r>
        <w:rPr>
          <w:rFonts w:ascii="Times New Roman" w:hAnsi="Times New Roman"/>
        </w:rPr>
        <w:t>17.</w:t>
      </w:r>
      <w:r>
        <w:rPr>
          <w:rFonts w:ascii="Times New Roman" w:hAnsi="Times New Roman"/>
        </w:rPr>
        <w:tab/>
        <w:t xml:space="preserve">In this situation, a “superior” rate of return is a rate of return that is greater than the rate of return investors could earn elsewhere in the financial markets from alternative investments with risk level equal to that of the “low-risk capital investment” described in the problem.  Fritz (who is risk-averse) will applaud the investment because he can maintain the risk level he prefers while earning a </w:t>
      </w:r>
      <w:r w:rsidR="004A7C31">
        <w:rPr>
          <w:rFonts w:ascii="Times New Roman" w:hAnsi="Times New Roman"/>
        </w:rPr>
        <w:t>higher</w:t>
      </w:r>
      <w:r>
        <w:rPr>
          <w:rFonts w:ascii="Times New Roman" w:hAnsi="Times New Roman"/>
        </w:rPr>
        <w:t xml:space="preserve"> return.  Frieda (who is risk-tolerant) will applaud the investment because investors will be willing to pay more for the shares Frieda owns than they would have paid if the firm had not made this “low-risk capital investment.”  Frieda would be likely to sell her shares to a more risk-averse investor, and use the proceeds of her sale to invest in shares of a company with a very high rate of return, and commensurate high level of risk.</w:t>
      </w:r>
    </w:p>
    <w:p w14:paraId="221BE66B" w14:textId="77777777" w:rsidR="00242D08" w:rsidRDefault="00242D08">
      <w:pPr>
        <w:pStyle w:val="aaa"/>
        <w:spacing w:line="240" w:lineRule="auto"/>
        <w:ind w:right="-360"/>
        <w:rPr>
          <w:rFonts w:ascii="Times New Roman" w:hAnsi="Times New Roman"/>
        </w:rPr>
      </w:pPr>
    </w:p>
    <w:p w14:paraId="23634DDF" w14:textId="77777777" w:rsidR="00242D08" w:rsidRDefault="00242D08">
      <w:pPr>
        <w:pStyle w:val="BodyTextIndent"/>
      </w:pPr>
      <w:r>
        <w:rPr>
          <w:rFonts w:ascii="Times New Roman" w:hAnsi="Times New Roman"/>
        </w:rPr>
        <w:t>18.</w:t>
      </w:r>
      <w:r>
        <w:rPr>
          <w:rFonts w:ascii="Times New Roman" w:hAnsi="Times New Roman"/>
        </w:rPr>
        <w:tab/>
        <w:t xml:space="preserve">If you believe that the rate of return is truly guaranteed to be 8 percent, then the investment is very low risk. </w:t>
      </w:r>
      <w:r>
        <w:t xml:space="preserve">The relevant opportunity cost of capital for this investment is the rate of return that investors can earn in the financial markets from the safest investments, such as Canadian government securities and top-quality (AAA) corporate debt issues of equivalent term to maturity, </w:t>
      </w:r>
      <w:proofErr w:type="spellStart"/>
      <w:r>
        <w:t>ie</w:t>
      </w:r>
      <w:proofErr w:type="spellEnd"/>
      <w:r>
        <w:t xml:space="preserve">. </w:t>
      </w:r>
      <w:r w:rsidR="00901831">
        <w:t>30</w:t>
      </w:r>
      <w:r>
        <w:t xml:space="preserve"> years. The highest quality investments in </w:t>
      </w:r>
      <w:r w:rsidRPr="00E34286">
        <w:t>Table 2</w:t>
      </w:r>
      <w:r>
        <w:t>.</w:t>
      </w:r>
      <w:r w:rsidRPr="00E34286">
        <w:t>2</w:t>
      </w:r>
      <w:r>
        <w:t xml:space="preserve"> are </w:t>
      </w:r>
      <w:r w:rsidR="00855585" w:rsidRPr="00855585">
        <w:t>AAA and paid 3.35% per year.</w:t>
      </w:r>
      <w:r>
        <w:t xml:space="preserve"> AA-rated corporate debt is riskier than AAA-rate</w:t>
      </w:r>
      <w:r w:rsidR="00C731AB">
        <w:t>d</w:t>
      </w:r>
      <w:r>
        <w:t xml:space="preserve">. </w:t>
      </w:r>
    </w:p>
    <w:p w14:paraId="33AF23ED" w14:textId="77777777" w:rsidR="00242D08" w:rsidRDefault="00242D08">
      <w:pPr>
        <w:pStyle w:val="aaa"/>
        <w:spacing w:line="240" w:lineRule="auto"/>
        <w:ind w:left="540" w:right="-360" w:hanging="540"/>
        <w:rPr>
          <w:rFonts w:ascii="Times New Roman" w:hAnsi="Times New Roman"/>
        </w:rPr>
      </w:pPr>
    </w:p>
    <w:p w14:paraId="6102129D" w14:textId="0DDEDE8A" w:rsidR="00242D08" w:rsidRDefault="00242D08" w:rsidP="00C731AB">
      <w:pPr>
        <w:pStyle w:val="BodyTextIndent2"/>
        <w:tabs>
          <w:tab w:val="clear" w:pos="720"/>
          <w:tab w:val="left" w:pos="540"/>
        </w:tabs>
        <w:ind w:left="1080" w:hanging="1080"/>
      </w:pPr>
      <w:r>
        <w:t>19.</w:t>
      </w:r>
      <w:r>
        <w:tab/>
        <w:t>a.</w:t>
      </w:r>
      <w:r>
        <w:tab/>
        <w:t>Since the government guarantees the payoff for the investment, the opportunity cost of capital is the rate of return on Canadian Government Treasury bills with one year to maturity (i.e., one-year Treasury bills).</w:t>
      </w:r>
      <w:r>
        <w:br/>
      </w:r>
    </w:p>
    <w:p w14:paraId="2790F0DF" w14:textId="3A0BFFD1" w:rsidR="00242D08" w:rsidRDefault="00242D08" w:rsidP="00377552">
      <w:pPr>
        <w:tabs>
          <w:tab w:val="left" w:pos="540"/>
        </w:tabs>
        <w:spacing w:line="240" w:lineRule="auto"/>
        <w:ind w:left="1080" w:hanging="1080"/>
      </w:pPr>
      <w:r>
        <w:tab/>
        <w:t>b.</w:t>
      </w:r>
      <w:r>
        <w:tab/>
        <w:t xml:space="preserve">The opportunity cost for the investment under consideration by Pollution Busters, Inc. is 20%, the expected rate of return available on an investment in carbon.   The sequester is expected to pay $115,000 on a $100,000 investment, a gain of $15,000. If the $100,000 was invested in the London Carbon Exchange, the expected payback is </w:t>
      </w:r>
      <w:r w:rsidR="00C07369">
        <w:t>0</w:t>
      </w:r>
      <w:r>
        <w:t xml:space="preserve">.2×$100,000, or $20,000. The purchase of additional sequesters is not a worthwhile capital expenditure.  The same risk investment in the London Carbon Exchange produces an additional $5,000 ($20,000 - $15,000). This can also be expressed in terms of rates of return. Purchase of the additional sequesters is not a </w:t>
      </w:r>
      <w:r w:rsidR="00C07369">
        <w:t>worthwhile</w:t>
      </w:r>
      <w:r>
        <w:t xml:space="preserve"> capital investment because the expected rate of return is only 15 percent (i.e., a $15,000 gain on a $100,000 investment, $15,000/$100,000 = </w:t>
      </w:r>
      <w:r w:rsidR="00C07369">
        <w:t>0</w:t>
      </w:r>
      <w:r>
        <w:t xml:space="preserve">.15 or 15%), less than the 20% opportunity cost of capital.  </w:t>
      </w:r>
    </w:p>
    <w:p w14:paraId="7E755AB3" w14:textId="77777777" w:rsidR="00242D08" w:rsidRPr="0060692B" w:rsidRDefault="00242D08">
      <w:pPr>
        <w:tabs>
          <w:tab w:val="left" w:pos="540"/>
        </w:tabs>
        <w:spacing w:line="240" w:lineRule="auto"/>
        <w:ind w:left="540"/>
      </w:pPr>
    </w:p>
    <w:p w14:paraId="77256E00" w14:textId="77777777" w:rsidR="00242D08" w:rsidRDefault="00242D08">
      <w:pPr>
        <w:pStyle w:val="aaa"/>
        <w:spacing w:line="240" w:lineRule="auto"/>
      </w:pPr>
    </w:p>
    <w:p w14:paraId="71F9E245" w14:textId="77777777" w:rsidR="00242D08" w:rsidRDefault="00242D08" w:rsidP="006743F1">
      <w:pPr>
        <w:tabs>
          <w:tab w:val="left" w:pos="540"/>
        </w:tabs>
        <w:spacing w:line="240" w:lineRule="auto"/>
        <w:ind w:left="547" w:hanging="547"/>
      </w:pPr>
      <w:r>
        <w:t xml:space="preserve">20. </w:t>
      </w:r>
      <w:r>
        <w:tab/>
        <w:t xml:space="preserve">Mutual funds; pension funds; venture capital firms; credit unions and </w:t>
      </w:r>
      <w:proofErr w:type="spellStart"/>
      <w:r>
        <w:t>caisses</w:t>
      </w:r>
      <w:proofErr w:type="spellEnd"/>
      <w:r>
        <w:t xml:space="preserve"> </w:t>
      </w:r>
      <w:proofErr w:type="spellStart"/>
      <w:r>
        <w:t>populaires</w:t>
      </w:r>
      <w:proofErr w:type="spellEnd"/>
      <w:r>
        <w:t>.</w:t>
      </w:r>
    </w:p>
    <w:p w14:paraId="1A6A5D0A" w14:textId="77777777" w:rsidR="00242D08" w:rsidRDefault="00242D08">
      <w:pPr>
        <w:tabs>
          <w:tab w:val="left" w:pos="540"/>
        </w:tabs>
        <w:spacing w:line="240" w:lineRule="auto"/>
      </w:pPr>
    </w:p>
    <w:p w14:paraId="7D8018BA" w14:textId="689079E1" w:rsidR="00242D08" w:rsidRDefault="00242D08" w:rsidP="00A425A4">
      <w:pPr>
        <w:shd w:val="clear" w:color="auto" w:fill="FFFFFF"/>
        <w:spacing w:line="240" w:lineRule="auto"/>
        <w:ind w:left="547" w:hanging="547"/>
        <w:rPr>
          <w:rFonts w:ascii="Times New Roman" w:hAnsi="Times New Roman"/>
          <w:color w:val="666676"/>
          <w:szCs w:val="15"/>
        </w:rPr>
      </w:pPr>
      <w:r w:rsidRPr="006743F1">
        <w:rPr>
          <w:rFonts w:ascii="Times New Roman" w:hAnsi="Times New Roman"/>
        </w:rPr>
        <w:lastRenderedPageBreak/>
        <w:t>21.</w:t>
      </w:r>
      <w:r w:rsidRPr="006743F1">
        <w:rPr>
          <w:rFonts w:ascii="Times New Roman" w:hAnsi="Times New Roman"/>
        </w:rPr>
        <w:tab/>
      </w:r>
      <w:r>
        <w:rPr>
          <w:rFonts w:ascii="Times New Roman" w:hAnsi="Times New Roman"/>
        </w:rPr>
        <w:t xml:space="preserve">The link to the home page is </w:t>
      </w:r>
      <w:hyperlink r:id="rId7" w:history="1">
        <w:r w:rsidRPr="00F94547">
          <w:rPr>
            <w:rStyle w:val="Hyperlink"/>
            <w:rFonts w:ascii="Times New Roman" w:hAnsi="Times New Roman"/>
          </w:rPr>
          <w:t>http://ca.ishares.com/home.htm</w:t>
        </w:r>
      </w:hyperlink>
      <w:r>
        <w:rPr>
          <w:rFonts w:ascii="Times New Roman" w:hAnsi="Times New Roman"/>
        </w:rPr>
        <w:t xml:space="preserve">.  </w:t>
      </w:r>
      <w:r w:rsidR="004A7C31">
        <w:rPr>
          <w:rFonts w:ascii="Times New Roman" w:hAnsi="Times New Roman"/>
        </w:rPr>
        <w:t xml:space="preserve">Please note that this link will now take you to Blackrock’s site. </w:t>
      </w:r>
      <w:r w:rsidRPr="00754364">
        <w:t xml:space="preserve">As of </w:t>
      </w:r>
      <w:r w:rsidR="00EA4FF5">
        <w:t xml:space="preserve">January </w:t>
      </w:r>
      <w:r w:rsidRPr="00754364">
        <w:t>20</w:t>
      </w:r>
      <w:r w:rsidR="00EA4FF5">
        <w:t>19</w:t>
      </w:r>
      <w:r w:rsidRPr="00754364">
        <w:t xml:space="preserve">, Barclays offers </w:t>
      </w:r>
      <w:r w:rsidR="00A91A17">
        <w:t>1</w:t>
      </w:r>
      <w:r w:rsidR="00EA4FF5">
        <w:t>1</w:t>
      </w:r>
      <w:r w:rsidR="00A91A17">
        <w:t>5</w:t>
      </w:r>
      <w:r w:rsidRPr="00754364">
        <w:t xml:space="preserve"> Canadian ETFs, available for trading on the Toronto Stock Exchange.  The 3 ETFs selected for examination here are:</w:t>
      </w:r>
      <w:r w:rsidR="00EA4FF5">
        <w:rPr>
          <w:szCs w:val="15"/>
        </w:rPr>
        <w:t xml:space="preserve"> </w:t>
      </w:r>
      <w:r w:rsidR="00EA4FF5" w:rsidRPr="00754364">
        <w:rPr>
          <w:szCs w:val="15"/>
        </w:rPr>
        <w:t>iShares™</w:t>
      </w:r>
      <w:r w:rsidR="00EA4FF5">
        <w:rPr>
          <w:szCs w:val="15"/>
        </w:rPr>
        <w:t xml:space="preserve"> S&amp;P /TSX 60 Index ETF</w:t>
      </w:r>
      <w:r w:rsidRPr="00754364">
        <w:rPr>
          <w:szCs w:val="15"/>
        </w:rPr>
        <w:t xml:space="preserve">, </w:t>
      </w:r>
      <w:proofErr w:type="spellStart"/>
      <w:r w:rsidRPr="00754364">
        <w:rPr>
          <w:szCs w:val="15"/>
        </w:rPr>
        <w:t>iShares™</w:t>
      </w:r>
      <w:r w:rsidR="00EA4FF5">
        <w:rPr>
          <w:szCs w:val="15"/>
        </w:rPr>
        <w:t>S&amp;P</w:t>
      </w:r>
      <w:proofErr w:type="spellEnd"/>
      <w:r w:rsidR="00EA4FF5">
        <w:rPr>
          <w:szCs w:val="15"/>
        </w:rPr>
        <w:t>/TSX Capped Energy Index ETF</w:t>
      </w:r>
      <w:r w:rsidR="00EA4FF5" w:rsidRPr="00754364" w:rsidDel="00EA4FF5">
        <w:rPr>
          <w:szCs w:val="15"/>
        </w:rPr>
        <w:t xml:space="preserve"> </w:t>
      </w:r>
      <w:r w:rsidRPr="00754364">
        <w:rPr>
          <w:szCs w:val="15"/>
        </w:rPr>
        <w:t xml:space="preserve">and iShares™ CDN </w:t>
      </w:r>
      <w:proofErr w:type="spellStart"/>
      <w:r w:rsidRPr="00754364">
        <w:rPr>
          <w:szCs w:val="15"/>
        </w:rPr>
        <w:t>Jantzi</w:t>
      </w:r>
      <w:proofErr w:type="spellEnd"/>
      <w:r w:rsidRPr="00754364">
        <w:rPr>
          <w:szCs w:val="15"/>
        </w:rPr>
        <w:t xml:space="preserve"> Social Index® Fund</w:t>
      </w:r>
      <w:r w:rsidRPr="00754364">
        <w:rPr>
          <w:szCs w:val="15"/>
        </w:rPr>
        <w:br/>
      </w:r>
    </w:p>
    <w:p w14:paraId="36419E71" w14:textId="77777777" w:rsidR="00ED2B6B" w:rsidRPr="00754364" w:rsidRDefault="00242D08" w:rsidP="006743F1">
      <w:pPr>
        <w:shd w:val="clear" w:color="auto" w:fill="FFFFFF"/>
        <w:spacing w:line="240" w:lineRule="auto"/>
        <w:ind w:firstLine="547"/>
        <w:rPr>
          <w:rFonts w:ascii="Times New Roman" w:hAnsi="Times New Roman"/>
          <w:szCs w:val="15"/>
        </w:rPr>
      </w:pPr>
      <w:r w:rsidRPr="00754364">
        <w:rPr>
          <w:rFonts w:ascii="Times New Roman" w:hAnsi="Times New Roman"/>
          <w:szCs w:val="15"/>
        </w:rPr>
        <w:t xml:space="preserve">1. </w:t>
      </w:r>
      <w:r w:rsidR="00ED2B6B" w:rsidRPr="00754364">
        <w:rPr>
          <w:szCs w:val="15"/>
        </w:rPr>
        <w:t>iShares™</w:t>
      </w:r>
      <w:r w:rsidR="00ED2B6B">
        <w:rPr>
          <w:szCs w:val="15"/>
        </w:rPr>
        <w:t xml:space="preserve"> S&amp;P /TSX 60 Index ETF</w:t>
      </w:r>
      <w:r w:rsidR="00ED2B6B" w:rsidRPr="00754364" w:rsidDel="00ED2B6B">
        <w:rPr>
          <w:rFonts w:ascii="Times New Roman" w:hAnsi="Times New Roman"/>
          <w:szCs w:val="15"/>
        </w:rPr>
        <w:t xml:space="preserve"> </w:t>
      </w:r>
    </w:p>
    <w:p w14:paraId="0E682D18" w14:textId="77777777" w:rsidR="00242D08" w:rsidRPr="00754364" w:rsidRDefault="00242D08" w:rsidP="006743F1">
      <w:pPr>
        <w:shd w:val="clear" w:color="auto" w:fill="FFFFFF"/>
        <w:spacing w:line="240" w:lineRule="auto"/>
        <w:ind w:firstLine="547"/>
        <w:rPr>
          <w:rFonts w:ascii="Times New Roman" w:hAnsi="Times New Roman"/>
          <w:szCs w:val="15"/>
        </w:rPr>
      </w:pPr>
      <w:r w:rsidRPr="00754364">
        <w:rPr>
          <w:rFonts w:ascii="Times New Roman" w:hAnsi="Times New Roman"/>
          <w:szCs w:val="15"/>
        </w:rPr>
        <w:t>Index that this fund replicates</w:t>
      </w:r>
      <w:r w:rsidR="00452F07">
        <w:rPr>
          <w:rFonts w:ascii="Times New Roman" w:hAnsi="Times New Roman"/>
          <w:szCs w:val="15"/>
        </w:rPr>
        <w:t>: FTSE RAFI Canadian Index</w:t>
      </w:r>
    </w:p>
    <w:p w14:paraId="4D96B59A" w14:textId="77777777" w:rsidR="00242D08" w:rsidRPr="00754364" w:rsidRDefault="00033344" w:rsidP="006743F1">
      <w:pPr>
        <w:shd w:val="clear" w:color="auto" w:fill="FFFFFF"/>
        <w:spacing w:line="240" w:lineRule="auto"/>
        <w:ind w:firstLine="547"/>
        <w:rPr>
          <w:rFonts w:ascii="Times New Roman" w:hAnsi="Times New Roman"/>
          <w:szCs w:val="15"/>
        </w:rPr>
      </w:pPr>
      <w:r>
        <w:rPr>
          <w:rFonts w:ascii="Times New Roman" w:hAnsi="Times New Roman"/>
          <w:szCs w:val="15"/>
        </w:rPr>
        <w:t>MER</w:t>
      </w:r>
      <w:r w:rsidR="00242D08" w:rsidRPr="00754364">
        <w:rPr>
          <w:rFonts w:ascii="Times New Roman" w:hAnsi="Times New Roman"/>
          <w:szCs w:val="15"/>
        </w:rPr>
        <w:t>: 0.</w:t>
      </w:r>
      <w:r w:rsidR="00ED2B6B">
        <w:rPr>
          <w:rFonts w:ascii="Times New Roman" w:hAnsi="Times New Roman"/>
          <w:szCs w:val="15"/>
        </w:rPr>
        <w:t>18</w:t>
      </w:r>
      <w:r w:rsidR="00E47259">
        <w:rPr>
          <w:rFonts w:ascii="Times New Roman" w:hAnsi="Times New Roman"/>
          <w:szCs w:val="15"/>
        </w:rPr>
        <w:t>%</w:t>
      </w:r>
      <w:r w:rsidR="00242D08" w:rsidRPr="00754364">
        <w:rPr>
          <w:rFonts w:ascii="Times New Roman" w:hAnsi="Times New Roman"/>
          <w:szCs w:val="15"/>
        </w:rPr>
        <w:t xml:space="preserve"> of total assets</w:t>
      </w:r>
    </w:p>
    <w:p w14:paraId="29C1C484" w14:textId="0D85E5BD" w:rsidR="00242D08" w:rsidRPr="006743F1" w:rsidRDefault="00242D08" w:rsidP="00A425A4">
      <w:pPr>
        <w:spacing w:line="240" w:lineRule="auto"/>
        <w:ind w:firstLine="547"/>
        <w:rPr>
          <w:rFonts w:ascii="Times New Roman" w:hAnsi="Times New Roman"/>
        </w:rPr>
      </w:pPr>
      <w:r w:rsidRPr="006743F1">
        <w:rPr>
          <w:rFonts w:ascii="Times New Roman" w:hAnsi="Times New Roman"/>
        </w:rPr>
        <w:t xml:space="preserve">As of </w:t>
      </w:r>
      <w:proofErr w:type="gramStart"/>
      <w:r w:rsidR="00F22D23">
        <w:rPr>
          <w:rFonts w:ascii="Times New Roman" w:hAnsi="Times New Roman"/>
        </w:rPr>
        <w:t>December</w:t>
      </w:r>
      <w:proofErr w:type="gramEnd"/>
      <w:r w:rsidR="00F22D23">
        <w:rPr>
          <w:rFonts w:ascii="Times New Roman" w:hAnsi="Times New Roman"/>
        </w:rPr>
        <w:t xml:space="preserve"> 31 2019</w:t>
      </w:r>
      <w:r w:rsidRPr="006743F1">
        <w:rPr>
          <w:rFonts w:ascii="Times New Roman" w:hAnsi="Times New Roman"/>
        </w:rPr>
        <w:t xml:space="preserve">: One year rate of return = </w:t>
      </w:r>
      <w:r w:rsidR="00F22D23">
        <w:rPr>
          <w:rFonts w:ascii="Times New Roman" w:hAnsi="Times New Roman"/>
        </w:rPr>
        <w:t>21.72</w:t>
      </w:r>
      <w:r w:rsidRPr="006743F1">
        <w:rPr>
          <w:rFonts w:ascii="Times New Roman" w:hAnsi="Times New Roman"/>
        </w:rPr>
        <w:t>%</w:t>
      </w:r>
    </w:p>
    <w:p w14:paraId="099CC131" w14:textId="77777777" w:rsidR="00242D08" w:rsidRPr="006743F1" w:rsidRDefault="00242D08" w:rsidP="006743F1">
      <w:pPr>
        <w:shd w:val="clear" w:color="auto" w:fill="FFFFFF"/>
        <w:spacing w:line="240" w:lineRule="auto"/>
        <w:rPr>
          <w:rFonts w:ascii="Times New Roman" w:hAnsi="Times New Roman"/>
          <w:color w:val="666676"/>
          <w:szCs w:val="15"/>
        </w:rPr>
      </w:pPr>
    </w:p>
    <w:p w14:paraId="5DAC21FB" w14:textId="7476883D" w:rsidR="00242D08" w:rsidRPr="00754364" w:rsidRDefault="00242D08" w:rsidP="00F42CA0">
      <w:pPr>
        <w:shd w:val="clear" w:color="auto" w:fill="FFFFFF"/>
        <w:spacing w:line="240" w:lineRule="auto"/>
        <w:ind w:firstLine="547"/>
        <w:rPr>
          <w:rFonts w:ascii="Times New Roman" w:hAnsi="Times New Roman"/>
          <w:szCs w:val="15"/>
        </w:rPr>
      </w:pPr>
      <w:r w:rsidRPr="00754364">
        <w:rPr>
          <w:rFonts w:ascii="Times New Roman" w:hAnsi="Times New Roman"/>
          <w:szCs w:val="15"/>
        </w:rPr>
        <w:t>Top 5 holdings</w:t>
      </w:r>
      <w:r w:rsidRPr="00754364">
        <w:rPr>
          <w:rStyle w:val="plain1"/>
          <w:rFonts w:ascii="Times New Roman" w:hAnsi="Times New Roman"/>
          <w:szCs w:val="10"/>
        </w:rPr>
        <w:t xml:space="preserve"> as of </w:t>
      </w:r>
      <w:r w:rsidR="0026688A">
        <w:rPr>
          <w:rStyle w:val="plain1"/>
          <w:rFonts w:ascii="Times New Roman" w:hAnsi="Times New Roman"/>
          <w:szCs w:val="10"/>
        </w:rPr>
        <w:t xml:space="preserve">December </w:t>
      </w:r>
      <w:proofErr w:type="gramStart"/>
      <w:r w:rsidR="0026688A">
        <w:rPr>
          <w:rStyle w:val="plain1"/>
          <w:rFonts w:ascii="Times New Roman" w:hAnsi="Times New Roman"/>
          <w:szCs w:val="10"/>
        </w:rPr>
        <w:t>31</w:t>
      </w:r>
      <w:proofErr w:type="gramEnd"/>
      <w:r w:rsidR="0026688A">
        <w:rPr>
          <w:rStyle w:val="plain1"/>
          <w:rFonts w:ascii="Times New Roman" w:hAnsi="Times New Roman"/>
          <w:szCs w:val="10"/>
        </w:rPr>
        <w:t xml:space="preserve"> </w:t>
      </w:r>
      <w:r w:rsidR="00EA4FF5">
        <w:rPr>
          <w:rStyle w:val="plain1"/>
          <w:rFonts w:ascii="Times New Roman" w:hAnsi="Times New Roman"/>
          <w:szCs w:val="10"/>
        </w:rPr>
        <w:t>2019</w:t>
      </w:r>
      <w:r w:rsidRPr="00754364">
        <w:rPr>
          <w:rFonts w:ascii="Times New Roman" w:hAnsi="Times New Roman"/>
          <w:szCs w:val="10"/>
        </w:rPr>
        <w:t xml:space="preserve"> </w:t>
      </w:r>
    </w:p>
    <w:tbl>
      <w:tblPr>
        <w:tblW w:w="6096" w:type="dxa"/>
        <w:tblCellSpacing w:w="15" w:type="dxa"/>
        <w:tblInd w:w="612" w:type="dxa"/>
        <w:tblCellMar>
          <w:top w:w="15" w:type="dxa"/>
          <w:left w:w="15" w:type="dxa"/>
          <w:bottom w:w="15" w:type="dxa"/>
          <w:right w:w="15" w:type="dxa"/>
        </w:tblCellMar>
        <w:tblLook w:val="0000" w:firstRow="0" w:lastRow="0" w:firstColumn="0" w:lastColumn="0" w:noHBand="0" w:noVBand="0"/>
      </w:tblPr>
      <w:tblGrid>
        <w:gridCol w:w="1143"/>
        <w:gridCol w:w="4953"/>
      </w:tblGrid>
      <w:tr w:rsidR="00242D08" w:rsidRPr="00754364" w14:paraId="1B7C2BF5" w14:textId="77777777" w:rsidTr="00B56F02">
        <w:trPr>
          <w:tblCellSpacing w:w="15" w:type="dxa"/>
        </w:trPr>
        <w:tc>
          <w:tcPr>
            <w:tcW w:w="1098" w:type="dxa"/>
            <w:vAlign w:val="center"/>
          </w:tcPr>
          <w:p w14:paraId="2FA08854" w14:textId="77777777" w:rsidR="00242D08" w:rsidRPr="00754364" w:rsidRDefault="00242D08" w:rsidP="006743F1">
            <w:pPr>
              <w:spacing w:line="240" w:lineRule="auto"/>
              <w:rPr>
                <w:rFonts w:ascii="Times New Roman" w:hAnsi="Times New Roman"/>
                <w:szCs w:val="10"/>
              </w:rPr>
            </w:pPr>
            <w:r w:rsidRPr="00754364">
              <w:rPr>
                <w:rFonts w:ascii="Times New Roman" w:hAnsi="Times New Roman"/>
                <w:szCs w:val="10"/>
              </w:rPr>
              <w:t>% of funds</w:t>
            </w:r>
          </w:p>
        </w:tc>
        <w:tc>
          <w:tcPr>
            <w:tcW w:w="4908" w:type="dxa"/>
            <w:vAlign w:val="center"/>
          </w:tcPr>
          <w:p w14:paraId="3C9AD8CE" w14:textId="77777777" w:rsidR="00242D08" w:rsidRPr="00754364" w:rsidRDefault="00242D08" w:rsidP="006743F1">
            <w:pPr>
              <w:spacing w:line="240" w:lineRule="auto"/>
              <w:rPr>
                <w:rFonts w:ascii="Times New Roman" w:hAnsi="Times New Roman"/>
                <w:szCs w:val="10"/>
              </w:rPr>
            </w:pPr>
            <w:r w:rsidRPr="00754364">
              <w:rPr>
                <w:rFonts w:ascii="Times New Roman" w:hAnsi="Times New Roman"/>
                <w:szCs w:val="10"/>
              </w:rPr>
              <w:t>Stock</w:t>
            </w:r>
          </w:p>
        </w:tc>
      </w:tr>
      <w:tr w:rsidR="00242D08" w:rsidRPr="00754364" w14:paraId="50709A34" w14:textId="77777777" w:rsidTr="00B56F02">
        <w:trPr>
          <w:tblCellSpacing w:w="15" w:type="dxa"/>
        </w:trPr>
        <w:tc>
          <w:tcPr>
            <w:tcW w:w="1098" w:type="dxa"/>
            <w:vAlign w:val="center"/>
          </w:tcPr>
          <w:p w14:paraId="05AF16AC" w14:textId="1DF547DB" w:rsidR="00242D08" w:rsidRPr="00754364" w:rsidRDefault="00F22D23" w:rsidP="00EC4D3D">
            <w:pPr>
              <w:spacing w:line="240" w:lineRule="auto"/>
              <w:rPr>
                <w:rFonts w:ascii="Times New Roman" w:hAnsi="Times New Roman"/>
                <w:szCs w:val="10"/>
              </w:rPr>
            </w:pPr>
            <w:r>
              <w:rPr>
                <w:rFonts w:ascii="Times New Roman" w:hAnsi="Times New Roman"/>
                <w:szCs w:val="10"/>
              </w:rPr>
              <w:t>7.90%</w:t>
            </w:r>
          </w:p>
        </w:tc>
        <w:tc>
          <w:tcPr>
            <w:tcW w:w="4908" w:type="dxa"/>
            <w:vAlign w:val="center"/>
          </w:tcPr>
          <w:p w14:paraId="29056E99" w14:textId="77777777" w:rsidR="00242D08" w:rsidRPr="00754364" w:rsidRDefault="00242D08" w:rsidP="006743F1">
            <w:pPr>
              <w:spacing w:line="240" w:lineRule="auto"/>
              <w:rPr>
                <w:rFonts w:ascii="Times New Roman" w:hAnsi="Times New Roman"/>
                <w:szCs w:val="10"/>
              </w:rPr>
            </w:pPr>
            <w:r w:rsidRPr="00754364">
              <w:rPr>
                <w:rFonts w:ascii="Times New Roman" w:hAnsi="Times New Roman"/>
                <w:szCs w:val="10"/>
              </w:rPr>
              <w:t xml:space="preserve">ROYAL BANK OF CANADA </w:t>
            </w:r>
          </w:p>
        </w:tc>
      </w:tr>
      <w:tr w:rsidR="00242D08" w:rsidRPr="00754364" w14:paraId="1E460F69" w14:textId="77777777" w:rsidTr="00B56F02">
        <w:trPr>
          <w:tblCellSpacing w:w="15" w:type="dxa"/>
        </w:trPr>
        <w:tc>
          <w:tcPr>
            <w:tcW w:w="1098" w:type="dxa"/>
            <w:vAlign w:val="center"/>
          </w:tcPr>
          <w:p w14:paraId="0AD8A6B1" w14:textId="65D25C65" w:rsidR="00242D08" w:rsidRPr="00754364" w:rsidRDefault="00421799" w:rsidP="00EC4D3D">
            <w:pPr>
              <w:spacing w:line="240" w:lineRule="auto"/>
              <w:rPr>
                <w:rFonts w:ascii="Times New Roman" w:hAnsi="Times New Roman"/>
                <w:szCs w:val="10"/>
              </w:rPr>
            </w:pPr>
            <w:r>
              <w:rPr>
                <w:rFonts w:ascii="Times New Roman" w:hAnsi="Times New Roman"/>
                <w:szCs w:val="10"/>
              </w:rPr>
              <w:t>7.</w:t>
            </w:r>
            <w:r w:rsidR="00F22D23">
              <w:rPr>
                <w:rFonts w:ascii="Times New Roman" w:hAnsi="Times New Roman"/>
                <w:szCs w:val="10"/>
              </w:rPr>
              <w:t>00</w:t>
            </w:r>
            <w:r w:rsidR="00242D08" w:rsidRPr="00754364">
              <w:rPr>
                <w:rFonts w:ascii="Times New Roman" w:hAnsi="Times New Roman"/>
                <w:szCs w:val="10"/>
              </w:rPr>
              <w:t xml:space="preserve">% </w:t>
            </w:r>
          </w:p>
        </w:tc>
        <w:tc>
          <w:tcPr>
            <w:tcW w:w="4908" w:type="dxa"/>
            <w:vAlign w:val="center"/>
          </w:tcPr>
          <w:p w14:paraId="347F9A0F" w14:textId="77777777" w:rsidR="00242D08" w:rsidRPr="00754364" w:rsidRDefault="00242D08" w:rsidP="006743F1">
            <w:pPr>
              <w:spacing w:line="240" w:lineRule="auto"/>
              <w:rPr>
                <w:rFonts w:ascii="Times New Roman" w:hAnsi="Times New Roman"/>
                <w:szCs w:val="10"/>
              </w:rPr>
            </w:pPr>
            <w:r w:rsidRPr="00754364">
              <w:rPr>
                <w:rFonts w:ascii="Times New Roman" w:hAnsi="Times New Roman"/>
                <w:szCs w:val="10"/>
              </w:rPr>
              <w:t>TORONTO-DOMINION BANK</w:t>
            </w:r>
          </w:p>
        </w:tc>
      </w:tr>
      <w:tr w:rsidR="00242D08" w:rsidRPr="00754364" w14:paraId="21C07F33" w14:textId="77777777" w:rsidTr="00B56F02">
        <w:trPr>
          <w:tblCellSpacing w:w="15" w:type="dxa"/>
        </w:trPr>
        <w:tc>
          <w:tcPr>
            <w:tcW w:w="1098" w:type="dxa"/>
            <w:vAlign w:val="center"/>
          </w:tcPr>
          <w:p w14:paraId="00CA0072" w14:textId="522F859A" w:rsidR="00242D08" w:rsidRPr="00754364" w:rsidRDefault="00452F07" w:rsidP="006743F1">
            <w:pPr>
              <w:spacing w:line="240" w:lineRule="auto"/>
              <w:rPr>
                <w:rFonts w:ascii="Times New Roman" w:hAnsi="Times New Roman"/>
                <w:szCs w:val="10"/>
              </w:rPr>
            </w:pPr>
            <w:r>
              <w:rPr>
                <w:rFonts w:ascii="Times New Roman" w:hAnsi="Times New Roman"/>
                <w:szCs w:val="10"/>
              </w:rPr>
              <w:t>5.</w:t>
            </w:r>
            <w:r w:rsidR="00F22D23">
              <w:rPr>
                <w:rFonts w:ascii="Times New Roman" w:hAnsi="Times New Roman"/>
                <w:szCs w:val="10"/>
              </w:rPr>
              <w:t>56</w:t>
            </w:r>
            <w:r w:rsidR="00242D08">
              <w:rPr>
                <w:rFonts w:ascii="Times New Roman" w:hAnsi="Times New Roman"/>
                <w:szCs w:val="10"/>
              </w:rPr>
              <w:t>%</w:t>
            </w:r>
          </w:p>
        </w:tc>
        <w:tc>
          <w:tcPr>
            <w:tcW w:w="4908" w:type="dxa"/>
            <w:vAlign w:val="center"/>
          </w:tcPr>
          <w:p w14:paraId="607FCBF6" w14:textId="77777777" w:rsidR="00242D08" w:rsidRPr="00754364" w:rsidRDefault="00EA4FF5" w:rsidP="006743F1">
            <w:pPr>
              <w:spacing w:line="240" w:lineRule="auto"/>
              <w:rPr>
                <w:rFonts w:ascii="Times New Roman" w:hAnsi="Times New Roman"/>
                <w:szCs w:val="10"/>
              </w:rPr>
            </w:pPr>
            <w:r>
              <w:t>Enbridge</w:t>
            </w:r>
            <w:r w:rsidR="00242D08" w:rsidRPr="00754364" w:rsidDel="00EC4D3D">
              <w:rPr>
                <w:rFonts w:ascii="Times New Roman" w:hAnsi="Times New Roman"/>
                <w:szCs w:val="10"/>
              </w:rPr>
              <w:t xml:space="preserve"> </w:t>
            </w:r>
          </w:p>
        </w:tc>
      </w:tr>
      <w:tr w:rsidR="00242D08" w:rsidRPr="00754364" w14:paraId="38D2D464" w14:textId="77777777" w:rsidTr="00B56F02">
        <w:trPr>
          <w:tblCellSpacing w:w="15" w:type="dxa"/>
        </w:trPr>
        <w:tc>
          <w:tcPr>
            <w:tcW w:w="1098" w:type="dxa"/>
            <w:vAlign w:val="center"/>
          </w:tcPr>
          <w:p w14:paraId="70DC9CDE" w14:textId="028614EF" w:rsidR="00242D08" w:rsidRPr="00754364" w:rsidRDefault="00F22D23" w:rsidP="00EC4D3D">
            <w:pPr>
              <w:spacing w:line="240" w:lineRule="auto"/>
              <w:rPr>
                <w:rFonts w:ascii="Times New Roman" w:hAnsi="Times New Roman"/>
                <w:szCs w:val="10"/>
              </w:rPr>
            </w:pPr>
            <w:r>
              <w:rPr>
                <w:rFonts w:ascii="Times New Roman" w:hAnsi="Times New Roman"/>
                <w:szCs w:val="10"/>
              </w:rPr>
              <w:t>4</w:t>
            </w:r>
            <w:r w:rsidR="00421799">
              <w:rPr>
                <w:rFonts w:ascii="Times New Roman" w:hAnsi="Times New Roman"/>
                <w:szCs w:val="10"/>
              </w:rPr>
              <w:t>.</w:t>
            </w:r>
            <w:r>
              <w:rPr>
                <w:rFonts w:ascii="Times New Roman" w:hAnsi="Times New Roman"/>
                <w:szCs w:val="10"/>
              </w:rPr>
              <w:t>65</w:t>
            </w:r>
            <w:r w:rsidR="00242D08" w:rsidRPr="00754364">
              <w:rPr>
                <w:rFonts w:ascii="Times New Roman" w:hAnsi="Times New Roman"/>
                <w:szCs w:val="10"/>
              </w:rPr>
              <w:t xml:space="preserve">% </w:t>
            </w:r>
          </w:p>
        </w:tc>
        <w:tc>
          <w:tcPr>
            <w:tcW w:w="4908" w:type="dxa"/>
            <w:vAlign w:val="center"/>
          </w:tcPr>
          <w:p w14:paraId="5A7AEC94" w14:textId="7611F149" w:rsidR="00242D08" w:rsidRPr="00754364" w:rsidRDefault="0026688A" w:rsidP="006743F1">
            <w:pPr>
              <w:spacing w:line="240" w:lineRule="auto"/>
              <w:rPr>
                <w:rFonts w:ascii="Times New Roman" w:hAnsi="Times New Roman"/>
                <w:szCs w:val="10"/>
              </w:rPr>
            </w:pPr>
            <w:r>
              <w:rPr>
                <w:rFonts w:ascii="Times New Roman" w:hAnsi="Times New Roman"/>
                <w:szCs w:val="10"/>
              </w:rPr>
              <w:t>Canadian National Railway</w:t>
            </w:r>
          </w:p>
        </w:tc>
      </w:tr>
      <w:tr w:rsidR="00242D08" w:rsidRPr="00754364" w14:paraId="7AA3530B" w14:textId="77777777" w:rsidTr="00B56F02">
        <w:trPr>
          <w:tblCellSpacing w:w="15" w:type="dxa"/>
        </w:trPr>
        <w:tc>
          <w:tcPr>
            <w:tcW w:w="1098" w:type="dxa"/>
            <w:vAlign w:val="center"/>
          </w:tcPr>
          <w:p w14:paraId="0B2AC604" w14:textId="0C4D26E6" w:rsidR="00242D08" w:rsidRPr="00754364" w:rsidRDefault="00452F07" w:rsidP="00EC4D3D">
            <w:pPr>
              <w:spacing w:line="240" w:lineRule="auto"/>
              <w:rPr>
                <w:rFonts w:ascii="Times New Roman" w:hAnsi="Times New Roman"/>
                <w:szCs w:val="10"/>
              </w:rPr>
            </w:pPr>
            <w:r>
              <w:rPr>
                <w:rFonts w:ascii="Times New Roman" w:hAnsi="Times New Roman"/>
                <w:szCs w:val="10"/>
              </w:rPr>
              <w:t>4.</w:t>
            </w:r>
            <w:r w:rsidR="00F22D23">
              <w:rPr>
                <w:rFonts w:ascii="Times New Roman" w:hAnsi="Times New Roman"/>
                <w:szCs w:val="10"/>
              </w:rPr>
              <w:t>59</w:t>
            </w:r>
            <w:r>
              <w:rPr>
                <w:rFonts w:ascii="Times New Roman" w:hAnsi="Times New Roman"/>
                <w:szCs w:val="10"/>
              </w:rPr>
              <w:t>%</w:t>
            </w:r>
            <w:r w:rsidR="00242D08" w:rsidRPr="00754364">
              <w:rPr>
                <w:rFonts w:ascii="Times New Roman" w:hAnsi="Times New Roman"/>
                <w:szCs w:val="10"/>
              </w:rPr>
              <w:t xml:space="preserve"> </w:t>
            </w:r>
          </w:p>
        </w:tc>
        <w:tc>
          <w:tcPr>
            <w:tcW w:w="4908" w:type="dxa"/>
            <w:vAlign w:val="center"/>
          </w:tcPr>
          <w:p w14:paraId="02FB3816" w14:textId="26332654" w:rsidR="00F22D23" w:rsidRPr="00754364" w:rsidRDefault="00F22D23" w:rsidP="006743F1">
            <w:pPr>
              <w:spacing w:line="240" w:lineRule="auto"/>
              <w:rPr>
                <w:rFonts w:ascii="Times New Roman" w:hAnsi="Times New Roman"/>
                <w:szCs w:val="10"/>
              </w:rPr>
            </w:pPr>
            <w:r>
              <w:t>Bank of Nova Scotia</w:t>
            </w:r>
          </w:p>
        </w:tc>
      </w:tr>
    </w:tbl>
    <w:p w14:paraId="66B5CFE5" w14:textId="77777777" w:rsidR="00242D08" w:rsidRDefault="00242D08" w:rsidP="006743F1">
      <w:pPr>
        <w:spacing w:line="240" w:lineRule="auto"/>
        <w:rPr>
          <w:rFonts w:ascii="Times New Roman" w:hAnsi="Times New Roman"/>
          <w:szCs w:val="15"/>
        </w:rPr>
      </w:pPr>
      <w:r w:rsidRPr="00754364">
        <w:rPr>
          <w:rFonts w:ascii="Times New Roman" w:hAnsi="Times New Roman"/>
          <w:szCs w:val="15"/>
        </w:rPr>
        <w:tab/>
      </w:r>
    </w:p>
    <w:p w14:paraId="67F5818B" w14:textId="77777777" w:rsidR="00ED2B6B" w:rsidRPr="00754364" w:rsidRDefault="00242D08" w:rsidP="00B56F02">
      <w:pPr>
        <w:spacing w:line="240" w:lineRule="auto"/>
        <w:ind w:left="567"/>
        <w:rPr>
          <w:rFonts w:ascii="Times New Roman" w:hAnsi="Times New Roman"/>
          <w:szCs w:val="15"/>
        </w:rPr>
      </w:pPr>
      <w:r w:rsidRPr="00754364">
        <w:rPr>
          <w:rFonts w:ascii="Times New Roman" w:hAnsi="Times New Roman"/>
          <w:szCs w:val="15"/>
        </w:rPr>
        <w:t xml:space="preserve">2. </w:t>
      </w:r>
      <w:proofErr w:type="spellStart"/>
      <w:r w:rsidR="00ED2B6B" w:rsidRPr="00754364">
        <w:rPr>
          <w:szCs w:val="15"/>
        </w:rPr>
        <w:t>iShares™</w:t>
      </w:r>
      <w:r w:rsidR="00ED2B6B">
        <w:rPr>
          <w:szCs w:val="15"/>
        </w:rPr>
        <w:t>S&amp;P</w:t>
      </w:r>
      <w:proofErr w:type="spellEnd"/>
      <w:r w:rsidR="00ED2B6B">
        <w:rPr>
          <w:szCs w:val="15"/>
        </w:rPr>
        <w:t>/TSX Capped Energy Index ETF</w:t>
      </w:r>
      <w:r w:rsidR="00ED2B6B" w:rsidRPr="00754364" w:rsidDel="00ED2B6B">
        <w:rPr>
          <w:rFonts w:ascii="Times New Roman" w:hAnsi="Times New Roman"/>
          <w:szCs w:val="15"/>
        </w:rPr>
        <w:t xml:space="preserve"> </w:t>
      </w:r>
    </w:p>
    <w:p w14:paraId="5077AD47" w14:textId="77777777" w:rsidR="00242D08" w:rsidRPr="00754364" w:rsidRDefault="00242D08" w:rsidP="00ED2B6B">
      <w:pPr>
        <w:spacing w:line="240" w:lineRule="auto"/>
        <w:ind w:left="567"/>
        <w:rPr>
          <w:rFonts w:ascii="Times New Roman" w:hAnsi="Times New Roman"/>
          <w:szCs w:val="15"/>
        </w:rPr>
      </w:pPr>
      <w:r w:rsidRPr="00754364">
        <w:rPr>
          <w:rFonts w:ascii="Times New Roman" w:hAnsi="Times New Roman"/>
          <w:szCs w:val="15"/>
        </w:rPr>
        <w:t>Index that this fund replicates: S&amp;P®/TSX® Capped Energy Index</w:t>
      </w:r>
    </w:p>
    <w:p w14:paraId="1A3F5955" w14:textId="06D9F1D7" w:rsidR="00242D08" w:rsidRPr="00754364" w:rsidRDefault="00242D08" w:rsidP="00F42CA0">
      <w:pPr>
        <w:spacing w:line="240" w:lineRule="auto"/>
        <w:ind w:firstLine="720"/>
        <w:rPr>
          <w:rFonts w:ascii="Times New Roman" w:hAnsi="Times New Roman"/>
          <w:szCs w:val="15"/>
        </w:rPr>
      </w:pPr>
      <w:r w:rsidRPr="00754364">
        <w:rPr>
          <w:rFonts w:ascii="Times New Roman" w:hAnsi="Times New Roman"/>
          <w:szCs w:val="15"/>
        </w:rPr>
        <w:t>MER = .</w:t>
      </w:r>
      <w:r w:rsidR="00033344">
        <w:rPr>
          <w:rFonts w:ascii="Times New Roman" w:hAnsi="Times New Roman"/>
          <w:szCs w:val="15"/>
        </w:rPr>
        <w:t>6</w:t>
      </w:r>
      <w:r w:rsidR="00F22D23">
        <w:rPr>
          <w:rFonts w:ascii="Times New Roman" w:hAnsi="Times New Roman"/>
          <w:szCs w:val="15"/>
        </w:rPr>
        <w:t>1</w:t>
      </w:r>
      <w:r w:rsidR="00E47259">
        <w:rPr>
          <w:rFonts w:ascii="Times New Roman" w:hAnsi="Times New Roman"/>
          <w:szCs w:val="15"/>
        </w:rPr>
        <w:t>%</w:t>
      </w:r>
      <w:r w:rsidRPr="00754364">
        <w:rPr>
          <w:rFonts w:ascii="Times New Roman" w:hAnsi="Times New Roman"/>
          <w:szCs w:val="15"/>
        </w:rPr>
        <w:t xml:space="preserve"> of total fund assets</w:t>
      </w:r>
    </w:p>
    <w:p w14:paraId="0B52D1DF" w14:textId="542CF2AD" w:rsidR="00242D08" w:rsidRPr="006743F1" w:rsidRDefault="00242D08" w:rsidP="00F42CA0">
      <w:pPr>
        <w:spacing w:line="240" w:lineRule="auto"/>
        <w:ind w:firstLine="720"/>
        <w:rPr>
          <w:rFonts w:ascii="Times New Roman" w:hAnsi="Times New Roman"/>
        </w:rPr>
      </w:pPr>
      <w:r w:rsidRPr="006743F1">
        <w:rPr>
          <w:rFonts w:ascii="Times New Roman" w:hAnsi="Times New Roman"/>
        </w:rPr>
        <w:t xml:space="preserve">As of </w:t>
      </w:r>
      <w:r w:rsidR="00F22D23">
        <w:rPr>
          <w:rFonts w:ascii="Times New Roman" w:hAnsi="Times New Roman"/>
        </w:rPr>
        <w:t>December</w:t>
      </w:r>
      <w:r w:rsidR="00250424">
        <w:rPr>
          <w:rFonts w:ascii="Times New Roman" w:hAnsi="Times New Roman"/>
        </w:rPr>
        <w:t xml:space="preserve"> 31</w:t>
      </w:r>
      <w:r w:rsidR="00421799">
        <w:rPr>
          <w:rFonts w:ascii="Times New Roman" w:hAnsi="Times New Roman"/>
        </w:rPr>
        <w:t>, 201</w:t>
      </w:r>
      <w:r w:rsidR="00EF7071">
        <w:rPr>
          <w:rFonts w:ascii="Times New Roman" w:hAnsi="Times New Roman"/>
        </w:rPr>
        <w:t>9</w:t>
      </w:r>
      <w:r w:rsidRPr="006743F1">
        <w:rPr>
          <w:rFonts w:ascii="Times New Roman" w:hAnsi="Times New Roman"/>
        </w:rPr>
        <w:t xml:space="preserve">: </w:t>
      </w:r>
      <w:proofErr w:type="gramStart"/>
      <w:r w:rsidRPr="006743F1">
        <w:rPr>
          <w:rFonts w:ascii="Times New Roman" w:hAnsi="Times New Roman"/>
        </w:rPr>
        <w:t>One year</w:t>
      </w:r>
      <w:proofErr w:type="gramEnd"/>
      <w:r w:rsidRPr="006743F1">
        <w:rPr>
          <w:rFonts w:ascii="Times New Roman" w:hAnsi="Times New Roman"/>
        </w:rPr>
        <w:t xml:space="preserve"> rate of return = </w:t>
      </w:r>
      <w:r w:rsidR="00F22D23">
        <w:rPr>
          <w:rFonts w:ascii="Times New Roman" w:hAnsi="Times New Roman"/>
        </w:rPr>
        <w:t>8.98%</w:t>
      </w:r>
    </w:p>
    <w:p w14:paraId="034A1023" w14:textId="77777777" w:rsidR="00242D08" w:rsidRPr="006743F1" w:rsidRDefault="00242D08" w:rsidP="006743F1">
      <w:pPr>
        <w:spacing w:line="240" w:lineRule="auto"/>
        <w:rPr>
          <w:rFonts w:ascii="Times New Roman" w:hAnsi="Times New Roman"/>
          <w:color w:val="666676"/>
          <w:szCs w:val="15"/>
        </w:rPr>
      </w:pPr>
    </w:p>
    <w:p w14:paraId="4B59C410" w14:textId="59A174A5" w:rsidR="00242D08" w:rsidRPr="00754364" w:rsidRDefault="00242D08" w:rsidP="00B56F02">
      <w:pPr>
        <w:shd w:val="clear" w:color="auto" w:fill="FFFFFF"/>
        <w:spacing w:line="240" w:lineRule="auto"/>
        <w:ind w:left="720"/>
        <w:rPr>
          <w:rFonts w:ascii="Times New Roman" w:hAnsi="Times New Roman"/>
          <w:szCs w:val="13"/>
        </w:rPr>
      </w:pPr>
      <w:r w:rsidRPr="00754364">
        <w:rPr>
          <w:rFonts w:ascii="Times New Roman" w:hAnsi="Times New Roman"/>
          <w:szCs w:val="13"/>
        </w:rPr>
        <w:t xml:space="preserve">Top 5 Holdings </w:t>
      </w:r>
      <w:r w:rsidRPr="00754364">
        <w:rPr>
          <w:rStyle w:val="plain1"/>
          <w:rFonts w:ascii="Times New Roman" w:hAnsi="Times New Roman"/>
          <w:szCs w:val="13"/>
        </w:rPr>
        <w:t xml:space="preserve">as </w:t>
      </w:r>
      <w:r w:rsidR="006E2781">
        <w:rPr>
          <w:rStyle w:val="plain1"/>
          <w:rFonts w:ascii="Times New Roman" w:hAnsi="Times New Roman"/>
          <w:szCs w:val="13"/>
        </w:rPr>
        <w:t>o</w:t>
      </w:r>
      <w:r w:rsidR="00ED2B6B">
        <w:rPr>
          <w:rStyle w:val="plain1"/>
          <w:rFonts w:ascii="Times New Roman" w:hAnsi="Times New Roman"/>
          <w:szCs w:val="13"/>
        </w:rPr>
        <w:t xml:space="preserve">f </w:t>
      </w:r>
      <w:r w:rsidR="0026688A">
        <w:rPr>
          <w:rStyle w:val="plain1"/>
          <w:rFonts w:ascii="Times New Roman" w:hAnsi="Times New Roman"/>
          <w:szCs w:val="13"/>
          <w:vertAlign w:val="superscript"/>
        </w:rPr>
        <w:t xml:space="preserve">December </w:t>
      </w:r>
      <w:r w:rsidR="0026688A">
        <w:rPr>
          <w:rStyle w:val="plain1"/>
          <w:rFonts w:ascii="Times New Roman" w:hAnsi="Times New Roman"/>
          <w:szCs w:val="13"/>
        </w:rPr>
        <w:t>31</w:t>
      </w:r>
      <w:r w:rsidR="00421799">
        <w:rPr>
          <w:rStyle w:val="plain1"/>
          <w:rFonts w:ascii="Times New Roman" w:hAnsi="Times New Roman"/>
          <w:szCs w:val="13"/>
        </w:rPr>
        <w:t>201</w:t>
      </w:r>
      <w:r w:rsidR="00ED2B6B">
        <w:rPr>
          <w:rStyle w:val="plain1"/>
          <w:rFonts w:ascii="Times New Roman" w:hAnsi="Times New Roman"/>
          <w:szCs w:val="13"/>
        </w:rPr>
        <w:t>9</w:t>
      </w:r>
      <w:r w:rsidR="00421799">
        <w:rPr>
          <w:rStyle w:val="plain1"/>
          <w:rFonts w:ascii="Times New Roman" w:hAnsi="Times New Roman"/>
          <w:szCs w:val="13"/>
        </w:rPr>
        <w:t xml:space="preserve"> </w:t>
      </w:r>
    </w:p>
    <w:tbl>
      <w:tblPr>
        <w:tblW w:w="6555" w:type="dxa"/>
        <w:tblCellSpacing w:w="15" w:type="dxa"/>
        <w:tblInd w:w="720" w:type="dxa"/>
        <w:tblCellMar>
          <w:top w:w="15" w:type="dxa"/>
          <w:left w:w="15" w:type="dxa"/>
          <w:bottom w:w="15" w:type="dxa"/>
          <w:right w:w="15" w:type="dxa"/>
        </w:tblCellMar>
        <w:tblLook w:val="0000" w:firstRow="0" w:lastRow="0" w:firstColumn="0" w:lastColumn="0" w:noHBand="0" w:noVBand="0"/>
      </w:tblPr>
      <w:tblGrid>
        <w:gridCol w:w="1775"/>
        <w:gridCol w:w="4780"/>
      </w:tblGrid>
      <w:tr w:rsidR="00242D08" w:rsidRPr="00754364" w14:paraId="1EED9BED" w14:textId="77777777" w:rsidTr="007A7923">
        <w:trPr>
          <w:tblCellSpacing w:w="15" w:type="dxa"/>
        </w:trPr>
        <w:tc>
          <w:tcPr>
            <w:tcW w:w="1730" w:type="dxa"/>
            <w:vAlign w:val="center"/>
          </w:tcPr>
          <w:p w14:paraId="09CE3702" w14:textId="77777777" w:rsidR="00242D08" w:rsidRDefault="00242D08" w:rsidP="006743F1">
            <w:pPr>
              <w:spacing w:line="240" w:lineRule="auto"/>
              <w:rPr>
                <w:rFonts w:ascii="Times New Roman" w:hAnsi="Times New Roman"/>
                <w:szCs w:val="10"/>
              </w:rPr>
            </w:pPr>
            <w:r w:rsidRPr="00754364">
              <w:rPr>
                <w:rFonts w:ascii="Times New Roman" w:hAnsi="Times New Roman"/>
                <w:szCs w:val="10"/>
              </w:rPr>
              <w:t>% of funds</w:t>
            </w:r>
          </w:p>
          <w:p w14:paraId="4DC3803E" w14:textId="56541C93" w:rsidR="00F22D23" w:rsidRPr="00754364" w:rsidRDefault="00F22D23" w:rsidP="006743F1">
            <w:pPr>
              <w:spacing w:line="240" w:lineRule="auto"/>
              <w:rPr>
                <w:rFonts w:ascii="Times New Roman" w:hAnsi="Times New Roman"/>
                <w:szCs w:val="13"/>
              </w:rPr>
            </w:pPr>
            <w:r>
              <w:rPr>
                <w:rFonts w:ascii="Times New Roman" w:hAnsi="Times New Roman"/>
                <w:szCs w:val="13"/>
              </w:rPr>
              <w:t>25.28%</w:t>
            </w:r>
          </w:p>
        </w:tc>
        <w:tc>
          <w:tcPr>
            <w:tcW w:w="4735" w:type="dxa"/>
            <w:vAlign w:val="center"/>
          </w:tcPr>
          <w:p w14:paraId="1356C9D3" w14:textId="77777777" w:rsidR="00242D08" w:rsidRDefault="00242D08" w:rsidP="006743F1">
            <w:pPr>
              <w:spacing w:line="240" w:lineRule="auto"/>
              <w:rPr>
                <w:rFonts w:ascii="Times New Roman" w:hAnsi="Times New Roman"/>
                <w:szCs w:val="10"/>
              </w:rPr>
            </w:pPr>
            <w:r w:rsidRPr="00754364">
              <w:rPr>
                <w:rFonts w:ascii="Times New Roman" w:hAnsi="Times New Roman"/>
                <w:szCs w:val="10"/>
              </w:rPr>
              <w:t>Stock</w:t>
            </w:r>
          </w:p>
          <w:p w14:paraId="601BA09D" w14:textId="4ADFB09F" w:rsidR="00F22D23" w:rsidRPr="00754364" w:rsidRDefault="00F22D23" w:rsidP="006743F1">
            <w:pPr>
              <w:spacing w:line="240" w:lineRule="auto"/>
              <w:rPr>
                <w:rFonts w:ascii="Times New Roman" w:hAnsi="Times New Roman"/>
                <w:szCs w:val="13"/>
              </w:rPr>
            </w:pPr>
            <w:r>
              <w:t>SUNCOR ENERGY INC</w:t>
            </w:r>
          </w:p>
        </w:tc>
      </w:tr>
      <w:tr w:rsidR="00ED2B6B" w:rsidRPr="00754364" w14:paraId="5CBCD92C" w14:textId="77777777" w:rsidTr="007A7923">
        <w:trPr>
          <w:tblCellSpacing w:w="15" w:type="dxa"/>
        </w:trPr>
        <w:tc>
          <w:tcPr>
            <w:tcW w:w="1730" w:type="dxa"/>
            <w:vAlign w:val="center"/>
          </w:tcPr>
          <w:p w14:paraId="1C83945D" w14:textId="5A6B11D0" w:rsidR="00ED2B6B" w:rsidRPr="00754364" w:rsidRDefault="00ED2B6B" w:rsidP="00ED2B6B">
            <w:pPr>
              <w:spacing w:line="240" w:lineRule="auto"/>
              <w:rPr>
                <w:rFonts w:ascii="Times New Roman" w:hAnsi="Times New Roman"/>
                <w:szCs w:val="13"/>
              </w:rPr>
            </w:pPr>
            <w:r>
              <w:rPr>
                <w:rFonts w:ascii="Times New Roman" w:hAnsi="Times New Roman"/>
                <w:szCs w:val="13"/>
              </w:rPr>
              <w:t>24.</w:t>
            </w:r>
            <w:r w:rsidR="00F22D23">
              <w:rPr>
                <w:rFonts w:ascii="Times New Roman" w:hAnsi="Times New Roman"/>
                <w:szCs w:val="13"/>
              </w:rPr>
              <w:t>77</w:t>
            </w:r>
            <w:r w:rsidRPr="00754364">
              <w:rPr>
                <w:rFonts w:ascii="Times New Roman" w:hAnsi="Times New Roman"/>
                <w:szCs w:val="13"/>
              </w:rPr>
              <w:t xml:space="preserve">% </w:t>
            </w:r>
          </w:p>
        </w:tc>
        <w:tc>
          <w:tcPr>
            <w:tcW w:w="4735" w:type="dxa"/>
            <w:vAlign w:val="center"/>
          </w:tcPr>
          <w:p w14:paraId="7EDF6F46" w14:textId="77777777" w:rsidR="00ED2B6B" w:rsidRPr="00754364" w:rsidRDefault="00ED2B6B" w:rsidP="00ED2B6B">
            <w:pPr>
              <w:spacing w:line="240" w:lineRule="auto"/>
              <w:rPr>
                <w:rFonts w:ascii="Times New Roman" w:hAnsi="Times New Roman"/>
                <w:szCs w:val="13"/>
              </w:rPr>
            </w:pPr>
            <w:r>
              <w:t>CANADIAN NATURLA RESOURCES LTD.</w:t>
            </w:r>
          </w:p>
        </w:tc>
      </w:tr>
      <w:tr w:rsidR="0026688A" w:rsidRPr="00754364" w14:paraId="1CA3FFC6" w14:textId="77777777" w:rsidTr="007A7923">
        <w:trPr>
          <w:tblCellSpacing w:w="15" w:type="dxa"/>
        </w:trPr>
        <w:tc>
          <w:tcPr>
            <w:tcW w:w="1730" w:type="dxa"/>
            <w:vAlign w:val="center"/>
          </w:tcPr>
          <w:p w14:paraId="53E459DB" w14:textId="66E4F748" w:rsidR="0026688A" w:rsidRPr="00754364" w:rsidRDefault="0026688A" w:rsidP="00ED2B6B">
            <w:pPr>
              <w:spacing w:line="240" w:lineRule="auto"/>
              <w:rPr>
                <w:rFonts w:ascii="Times New Roman" w:hAnsi="Times New Roman"/>
                <w:szCs w:val="13"/>
              </w:rPr>
            </w:pPr>
            <w:r>
              <w:rPr>
                <w:rFonts w:ascii="Times New Roman" w:hAnsi="Times New Roman"/>
                <w:szCs w:val="13"/>
              </w:rPr>
              <w:t>9.59%</w:t>
            </w:r>
          </w:p>
        </w:tc>
        <w:tc>
          <w:tcPr>
            <w:tcW w:w="4735" w:type="dxa"/>
            <w:vAlign w:val="center"/>
          </w:tcPr>
          <w:p w14:paraId="7A57FD79" w14:textId="46F2B861" w:rsidR="0026688A" w:rsidRPr="00754364" w:rsidRDefault="0026688A" w:rsidP="00ED2B6B">
            <w:pPr>
              <w:spacing w:line="240" w:lineRule="auto"/>
              <w:rPr>
                <w:rFonts w:ascii="Times New Roman" w:hAnsi="Times New Roman"/>
                <w:szCs w:val="13"/>
              </w:rPr>
            </w:pPr>
            <w:r>
              <w:t>CENOVUS ENERGY INC.</w:t>
            </w:r>
          </w:p>
        </w:tc>
      </w:tr>
      <w:tr w:rsidR="0026688A" w:rsidRPr="00754364" w14:paraId="25DB4679" w14:textId="77777777" w:rsidTr="007A7923">
        <w:trPr>
          <w:tblCellSpacing w:w="15" w:type="dxa"/>
        </w:trPr>
        <w:tc>
          <w:tcPr>
            <w:tcW w:w="1730" w:type="dxa"/>
            <w:vAlign w:val="center"/>
          </w:tcPr>
          <w:p w14:paraId="5A98094C" w14:textId="78EF7FBC" w:rsidR="0026688A" w:rsidRPr="00754364" w:rsidRDefault="0026688A" w:rsidP="00ED2B6B">
            <w:pPr>
              <w:spacing w:line="240" w:lineRule="auto"/>
              <w:rPr>
                <w:rFonts w:ascii="Times New Roman" w:hAnsi="Times New Roman"/>
                <w:szCs w:val="13"/>
              </w:rPr>
            </w:pPr>
            <w:r>
              <w:rPr>
                <w:rFonts w:ascii="Times New Roman" w:hAnsi="Times New Roman"/>
                <w:szCs w:val="13"/>
              </w:rPr>
              <w:t>6.36%%</w:t>
            </w:r>
            <w:r w:rsidRPr="00754364">
              <w:rPr>
                <w:rFonts w:ascii="Times New Roman" w:hAnsi="Times New Roman"/>
                <w:szCs w:val="13"/>
              </w:rPr>
              <w:t xml:space="preserve"> </w:t>
            </w:r>
          </w:p>
        </w:tc>
        <w:tc>
          <w:tcPr>
            <w:tcW w:w="4735" w:type="dxa"/>
            <w:vAlign w:val="center"/>
          </w:tcPr>
          <w:p w14:paraId="68983289" w14:textId="77777777" w:rsidR="0026688A" w:rsidRDefault="0026688A" w:rsidP="00ED2B6B">
            <w:pPr>
              <w:spacing w:line="240" w:lineRule="auto"/>
            </w:pPr>
            <w:r>
              <w:t>IMPERIAL OIL LTD</w:t>
            </w:r>
          </w:p>
          <w:p w14:paraId="15A9958F" w14:textId="24D36827" w:rsidR="0026688A" w:rsidRPr="00754364" w:rsidRDefault="0026688A" w:rsidP="00ED2B6B">
            <w:pPr>
              <w:spacing w:line="240" w:lineRule="auto"/>
              <w:rPr>
                <w:rFonts w:ascii="Times New Roman" w:hAnsi="Times New Roman"/>
                <w:szCs w:val="13"/>
              </w:rPr>
            </w:pPr>
          </w:p>
        </w:tc>
      </w:tr>
      <w:tr w:rsidR="0026688A" w:rsidRPr="00754364" w14:paraId="6D4A9AAD" w14:textId="77777777" w:rsidTr="007A7923">
        <w:trPr>
          <w:tblCellSpacing w:w="15" w:type="dxa"/>
        </w:trPr>
        <w:tc>
          <w:tcPr>
            <w:tcW w:w="1730" w:type="dxa"/>
            <w:vAlign w:val="center"/>
          </w:tcPr>
          <w:p w14:paraId="682B5A49" w14:textId="1C5C2863" w:rsidR="0026688A" w:rsidRPr="00754364" w:rsidRDefault="0026688A" w:rsidP="00ED2B6B">
            <w:pPr>
              <w:spacing w:line="240" w:lineRule="auto"/>
              <w:rPr>
                <w:rFonts w:ascii="Times New Roman" w:hAnsi="Times New Roman"/>
                <w:szCs w:val="13"/>
              </w:rPr>
            </w:pPr>
            <w:r>
              <w:rPr>
                <w:rFonts w:ascii="Times New Roman" w:hAnsi="Times New Roman"/>
                <w:szCs w:val="13"/>
              </w:rPr>
              <w:t>5.545%</w:t>
            </w:r>
          </w:p>
        </w:tc>
        <w:tc>
          <w:tcPr>
            <w:tcW w:w="4735" w:type="dxa"/>
            <w:vAlign w:val="center"/>
          </w:tcPr>
          <w:p w14:paraId="6233838D" w14:textId="35898C0B" w:rsidR="0026688A" w:rsidRPr="00754364" w:rsidRDefault="0026688A" w:rsidP="00ED2B6B">
            <w:pPr>
              <w:spacing w:line="240" w:lineRule="auto"/>
              <w:rPr>
                <w:rFonts w:ascii="Times New Roman" w:hAnsi="Times New Roman"/>
                <w:szCs w:val="13"/>
              </w:rPr>
            </w:pPr>
            <w:r>
              <w:t>ENCANA</w:t>
            </w:r>
          </w:p>
        </w:tc>
      </w:tr>
      <w:tr w:rsidR="0026688A" w:rsidRPr="00754364" w14:paraId="59397D1A" w14:textId="77777777" w:rsidTr="007A7923">
        <w:trPr>
          <w:tblCellSpacing w:w="15" w:type="dxa"/>
        </w:trPr>
        <w:tc>
          <w:tcPr>
            <w:tcW w:w="1730" w:type="dxa"/>
            <w:vAlign w:val="center"/>
          </w:tcPr>
          <w:p w14:paraId="621CD29C" w14:textId="6F980692" w:rsidR="0026688A" w:rsidRPr="00754364" w:rsidRDefault="0026688A" w:rsidP="00ED2B6B">
            <w:pPr>
              <w:spacing w:line="240" w:lineRule="auto"/>
              <w:rPr>
                <w:rFonts w:ascii="Times New Roman" w:hAnsi="Times New Roman"/>
                <w:szCs w:val="13"/>
              </w:rPr>
            </w:pPr>
          </w:p>
        </w:tc>
        <w:tc>
          <w:tcPr>
            <w:tcW w:w="4735" w:type="dxa"/>
            <w:vAlign w:val="center"/>
          </w:tcPr>
          <w:p w14:paraId="06C89CF1" w14:textId="02F4CCB7" w:rsidR="0026688A" w:rsidRPr="00754364" w:rsidRDefault="0026688A" w:rsidP="00ED2B6B">
            <w:pPr>
              <w:spacing w:line="240" w:lineRule="auto"/>
              <w:rPr>
                <w:rFonts w:ascii="Times New Roman" w:hAnsi="Times New Roman"/>
                <w:szCs w:val="13"/>
              </w:rPr>
            </w:pPr>
          </w:p>
        </w:tc>
      </w:tr>
      <w:tr w:rsidR="0026688A" w:rsidRPr="00754364" w14:paraId="7F5F87EB" w14:textId="77777777" w:rsidTr="009570DC">
        <w:trPr>
          <w:tblCellSpacing w:w="15" w:type="dxa"/>
        </w:trPr>
        <w:tc>
          <w:tcPr>
            <w:tcW w:w="1730" w:type="dxa"/>
            <w:vAlign w:val="center"/>
          </w:tcPr>
          <w:p w14:paraId="361DF89D" w14:textId="3640FB9C" w:rsidR="0026688A" w:rsidRPr="00754364" w:rsidRDefault="0026688A" w:rsidP="009570DC">
            <w:pPr>
              <w:spacing w:line="240" w:lineRule="auto"/>
              <w:rPr>
                <w:rFonts w:ascii="Times New Roman" w:hAnsi="Times New Roman"/>
                <w:szCs w:val="13"/>
              </w:rPr>
            </w:pPr>
          </w:p>
        </w:tc>
        <w:tc>
          <w:tcPr>
            <w:tcW w:w="4735" w:type="dxa"/>
            <w:vAlign w:val="center"/>
          </w:tcPr>
          <w:p w14:paraId="36D75EE0" w14:textId="648C1BA0" w:rsidR="0026688A" w:rsidRPr="00754364" w:rsidRDefault="0026688A" w:rsidP="009570DC">
            <w:pPr>
              <w:spacing w:line="240" w:lineRule="auto"/>
              <w:rPr>
                <w:rFonts w:ascii="Times New Roman" w:hAnsi="Times New Roman"/>
                <w:szCs w:val="13"/>
              </w:rPr>
            </w:pPr>
          </w:p>
        </w:tc>
      </w:tr>
    </w:tbl>
    <w:p w14:paraId="0D812717" w14:textId="77777777" w:rsidR="00242D08" w:rsidRPr="00754364" w:rsidRDefault="00242D08" w:rsidP="006743F1">
      <w:pPr>
        <w:spacing w:line="240" w:lineRule="auto"/>
        <w:rPr>
          <w:rFonts w:ascii="Times New Roman" w:hAnsi="Times New Roman"/>
        </w:rPr>
      </w:pPr>
    </w:p>
    <w:p w14:paraId="2EC54C43" w14:textId="0B61AA8E" w:rsidR="00242D08" w:rsidRPr="00FE728F" w:rsidRDefault="00242D08" w:rsidP="00FE728F">
      <w:pPr>
        <w:pStyle w:val="ListParagraph"/>
        <w:numPr>
          <w:ilvl w:val="0"/>
          <w:numId w:val="29"/>
        </w:numPr>
        <w:spacing w:line="240" w:lineRule="auto"/>
        <w:ind w:left="993"/>
        <w:rPr>
          <w:rFonts w:ascii="Times New Roman" w:hAnsi="Times New Roman"/>
          <w:szCs w:val="15"/>
        </w:rPr>
      </w:pPr>
      <w:r w:rsidRPr="00FE728F">
        <w:rPr>
          <w:rFonts w:ascii="Times New Roman" w:hAnsi="Times New Roman"/>
          <w:szCs w:val="15"/>
        </w:rPr>
        <w:t xml:space="preserve">iShares™ </w:t>
      </w:r>
      <w:proofErr w:type="spellStart"/>
      <w:r w:rsidRPr="00FE728F">
        <w:rPr>
          <w:rFonts w:ascii="Times New Roman" w:hAnsi="Times New Roman"/>
          <w:szCs w:val="15"/>
        </w:rPr>
        <w:t>Jantzi</w:t>
      </w:r>
      <w:proofErr w:type="spellEnd"/>
      <w:r w:rsidRPr="00FE728F">
        <w:rPr>
          <w:rFonts w:ascii="Times New Roman" w:hAnsi="Times New Roman"/>
          <w:szCs w:val="15"/>
        </w:rPr>
        <w:t xml:space="preserve"> Social Index® Fund</w:t>
      </w:r>
    </w:p>
    <w:p w14:paraId="620B74F0" w14:textId="77777777" w:rsidR="00242D08" w:rsidRPr="00754364" w:rsidRDefault="00242D08" w:rsidP="009C50D3">
      <w:pPr>
        <w:shd w:val="clear" w:color="auto" w:fill="FFFFFF"/>
        <w:spacing w:line="240" w:lineRule="auto"/>
        <w:ind w:firstLine="720"/>
        <w:rPr>
          <w:rFonts w:ascii="Times New Roman" w:hAnsi="Times New Roman"/>
          <w:szCs w:val="15"/>
        </w:rPr>
      </w:pPr>
      <w:r w:rsidRPr="00754364">
        <w:rPr>
          <w:rFonts w:ascii="Times New Roman" w:hAnsi="Times New Roman"/>
          <w:szCs w:val="15"/>
        </w:rPr>
        <w:t xml:space="preserve">Index that this fund replicates: </w:t>
      </w:r>
      <w:proofErr w:type="spellStart"/>
      <w:r w:rsidRPr="00754364">
        <w:rPr>
          <w:rFonts w:ascii="Times New Roman" w:hAnsi="Times New Roman"/>
          <w:szCs w:val="15"/>
        </w:rPr>
        <w:t>Jantzi</w:t>
      </w:r>
      <w:proofErr w:type="spellEnd"/>
      <w:r w:rsidRPr="00754364">
        <w:rPr>
          <w:rFonts w:ascii="Times New Roman" w:hAnsi="Times New Roman"/>
          <w:szCs w:val="15"/>
        </w:rPr>
        <w:t xml:space="preserve"> Social Index</w:t>
      </w:r>
    </w:p>
    <w:p w14:paraId="6C9209C7" w14:textId="4B4C7CB4" w:rsidR="00242D08" w:rsidRPr="00754364" w:rsidRDefault="00242D08" w:rsidP="009C50D3">
      <w:pPr>
        <w:spacing w:line="240" w:lineRule="auto"/>
        <w:ind w:firstLine="720"/>
        <w:rPr>
          <w:rFonts w:ascii="Times New Roman" w:hAnsi="Times New Roman"/>
        </w:rPr>
      </w:pPr>
      <w:r w:rsidRPr="00754364">
        <w:rPr>
          <w:rFonts w:ascii="Times New Roman" w:hAnsi="Times New Roman"/>
        </w:rPr>
        <w:t>MER =.</w:t>
      </w:r>
      <w:r w:rsidR="002E76A3">
        <w:rPr>
          <w:rFonts w:ascii="Times New Roman" w:hAnsi="Times New Roman"/>
        </w:rPr>
        <w:t>0.</w:t>
      </w:r>
      <w:r w:rsidRPr="00754364">
        <w:rPr>
          <w:rFonts w:ascii="Times New Roman" w:hAnsi="Times New Roman"/>
        </w:rPr>
        <w:t>5</w:t>
      </w:r>
      <w:r w:rsidR="00ED2B6B">
        <w:rPr>
          <w:rFonts w:ascii="Times New Roman" w:hAnsi="Times New Roman"/>
        </w:rPr>
        <w:t>5</w:t>
      </w:r>
      <w:r w:rsidR="00E47259">
        <w:rPr>
          <w:rFonts w:ascii="Times New Roman" w:hAnsi="Times New Roman"/>
        </w:rPr>
        <w:t>%</w:t>
      </w:r>
      <w:r w:rsidRPr="00754364">
        <w:rPr>
          <w:rFonts w:ascii="Times New Roman" w:hAnsi="Times New Roman"/>
        </w:rPr>
        <w:t xml:space="preserve"> of total fund assets</w:t>
      </w:r>
    </w:p>
    <w:p w14:paraId="2630DA92" w14:textId="1D41ADF6" w:rsidR="00EF7071" w:rsidRDefault="00242D08" w:rsidP="0000171A">
      <w:pPr>
        <w:spacing w:line="240" w:lineRule="auto"/>
        <w:ind w:firstLine="720"/>
        <w:rPr>
          <w:rFonts w:ascii="Times New Roman" w:hAnsi="Times New Roman"/>
        </w:rPr>
      </w:pPr>
      <w:r w:rsidRPr="00754364">
        <w:rPr>
          <w:rFonts w:ascii="Times New Roman" w:hAnsi="Times New Roman"/>
        </w:rPr>
        <w:t xml:space="preserve">As of </w:t>
      </w:r>
      <w:proofErr w:type="gramStart"/>
      <w:r w:rsidR="0026688A">
        <w:rPr>
          <w:rFonts w:ascii="Times New Roman" w:hAnsi="Times New Roman"/>
        </w:rPr>
        <w:t>D</w:t>
      </w:r>
      <w:r w:rsidR="002E76A3">
        <w:rPr>
          <w:rFonts w:ascii="Times New Roman" w:hAnsi="Times New Roman"/>
        </w:rPr>
        <w:t>ecember 31</w:t>
      </w:r>
      <w:proofErr w:type="gramEnd"/>
      <w:r w:rsidR="00ED2B6B">
        <w:rPr>
          <w:rFonts w:ascii="Times New Roman" w:hAnsi="Times New Roman"/>
        </w:rPr>
        <w:t xml:space="preserve"> </w:t>
      </w:r>
      <w:r w:rsidR="00EF7071">
        <w:rPr>
          <w:rFonts w:ascii="Times New Roman" w:hAnsi="Times New Roman"/>
        </w:rPr>
        <w:t>31</w:t>
      </w:r>
      <w:r w:rsidR="00421799">
        <w:rPr>
          <w:rFonts w:ascii="Times New Roman" w:hAnsi="Times New Roman"/>
        </w:rPr>
        <w:t>, 201</w:t>
      </w:r>
      <w:r w:rsidR="00EF7071">
        <w:rPr>
          <w:rFonts w:ascii="Times New Roman" w:hAnsi="Times New Roman"/>
        </w:rPr>
        <w:t>9</w:t>
      </w:r>
      <w:r w:rsidRPr="00754364">
        <w:rPr>
          <w:rFonts w:ascii="Times New Roman" w:hAnsi="Times New Roman"/>
        </w:rPr>
        <w:t xml:space="preserve"> One year rate of return = </w:t>
      </w:r>
      <w:r w:rsidR="002E76A3">
        <w:rPr>
          <w:rFonts w:ascii="Times New Roman" w:hAnsi="Times New Roman"/>
        </w:rPr>
        <w:t>16.64</w:t>
      </w:r>
      <w:r w:rsidR="00EF7071">
        <w:rPr>
          <w:rFonts w:ascii="Times New Roman" w:hAnsi="Times New Roman"/>
        </w:rPr>
        <w:t>%</w:t>
      </w:r>
    </w:p>
    <w:p w14:paraId="398E1B64" w14:textId="055D5502" w:rsidR="00242D08" w:rsidRPr="00754364" w:rsidRDefault="00242D08" w:rsidP="003004D1">
      <w:pPr>
        <w:spacing w:line="240" w:lineRule="auto"/>
        <w:rPr>
          <w:rFonts w:ascii="Times New Roman" w:hAnsi="Times New Roman"/>
        </w:rPr>
      </w:pPr>
    </w:p>
    <w:p w14:paraId="1BBDAE29" w14:textId="77777777" w:rsidR="00242D08" w:rsidRPr="00754364" w:rsidRDefault="00242D08" w:rsidP="006743F1">
      <w:pPr>
        <w:spacing w:line="240" w:lineRule="auto"/>
        <w:rPr>
          <w:rFonts w:ascii="Times New Roman" w:hAnsi="Times New Roman"/>
        </w:rPr>
      </w:pPr>
    </w:p>
    <w:p w14:paraId="56CF24C6" w14:textId="70A45A91" w:rsidR="00242D08" w:rsidRPr="00754364" w:rsidRDefault="00242D08" w:rsidP="00B56F02">
      <w:pPr>
        <w:shd w:val="clear" w:color="auto" w:fill="FFFFFF"/>
        <w:spacing w:line="240" w:lineRule="auto"/>
        <w:ind w:left="720"/>
        <w:rPr>
          <w:rFonts w:ascii="Times New Roman" w:hAnsi="Times New Roman"/>
          <w:szCs w:val="13"/>
        </w:rPr>
      </w:pPr>
      <w:r w:rsidRPr="00754364">
        <w:rPr>
          <w:rFonts w:ascii="Times New Roman" w:hAnsi="Times New Roman"/>
          <w:szCs w:val="13"/>
        </w:rPr>
        <w:t xml:space="preserve">Top Holdings </w:t>
      </w:r>
      <w:r w:rsidRPr="00754364">
        <w:rPr>
          <w:rStyle w:val="plain1"/>
          <w:rFonts w:ascii="Times New Roman" w:hAnsi="Times New Roman"/>
          <w:szCs w:val="13"/>
        </w:rPr>
        <w:t xml:space="preserve">as </w:t>
      </w:r>
      <w:proofErr w:type="gramStart"/>
      <w:r w:rsidRPr="00754364">
        <w:rPr>
          <w:rStyle w:val="plain1"/>
          <w:rFonts w:ascii="Times New Roman" w:hAnsi="Times New Roman"/>
          <w:szCs w:val="13"/>
        </w:rPr>
        <w:t>of</w:t>
      </w:r>
      <w:r w:rsidR="00ED2B6B">
        <w:rPr>
          <w:rStyle w:val="plain1"/>
          <w:rFonts w:ascii="Times New Roman" w:hAnsi="Times New Roman"/>
          <w:szCs w:val="13"/>
        </w:rPr>
        <w:t xml:space="preserve"> </w:t>
      </w:r>
      <w:r w:rsidR="0026688A">
        <w:rPr>
          <w:rStyle w:val="plain1"/>
          <w:rFonts w:ascii="Times New Roman" w:hAnsi="Times New Roman"/>
          <w:szCs w:val="13"/>
          <w:vertAlign w:val="superscript"/>
        </w:rPr>
        <w:t xml:space="preserve"> </w:t>
      </w:r>
      <w:r w:rsidR="0026688A">
        <w:rPr>
          <w:rStyle w:val="plain1"/>
          <w:rFonts w:ascii="Times New Roman" w:hAnsi="Times New Roman"/>
          <w:szCs w:val="13"/>
        </w:rPr>
        <w:t>December</w:t>
      </w:r>
      <w:proofErr w:type="gramEnd"/>
      <w:r w:rsidR="0026688A">
        <w:rPr>
          <w:rStyle w:val="plain1"/>
          <w:rFonts w:ascii="Times New Roman" w:hAnsi="Times New Roman"/>
          <w:szCs w:val="13"/>
        </w:rPr>
        <w:t xml:space="preserve"> 31 </w:t>
      </w:r>
      <w:r w:rsidR="00421799">
        <w:rPr>
          <w:rStyle w:val="plain1"/>
          <w:rFonts w:ascii="Times New Roman" w:hAnsi="Times New Roman"/>
          <w:szCs w:val="13"/>
        </w:rPr>
        <w:t>201</w:t>
      </w:r>
      <w:r w:rsidR="00ED2B6B">
        <w:rPr>
          <w:rStyle w:val="plain1"/>
          <w:rFonts w:ascii="Times New Roman" w:hAnsi="Times New Roman"/>
          <w:szCs w:val="13"/>
        </w:rPr>
        <w:t>9</w:t>
      </w:r>
    </w:p>
    <w:p w14:paraId="7F506F36" w14:textId="77777777" w:rsidR="00242D08" w:rsidRPr="006743F1" w:rsidRDefault="00242D08" w:rsidP="006743F1">
      <w:pPr>
        <w:spacing w:line="240" w:lineRule="auto"/>
        <w:rPr>
          <w:rFonts w:ascii="Times New Roman" w:hAnsi="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6"/>
        <w:gridCol w:w="4490"/>
      </w:tblGrid>
      <w:tr w:rsidR="0026688A" w14:paraId="605B8AEA" w14:textId="77777777" w:rsidTr="00877DFF">
        <w:tc>
          <w:tcPr>
            <w:tcW w:w="2876" w:type="dxa"/>
          </w:tcPr>
          <w:p w14:paraId="0C4BB833" w14:textId="3CC22171" w:rsidR="0026688A" w:rsidRDefault="0026688A" w:rsidP="006743F1">
            <w:pPr>
              <w:tabs>
                <w:tab w:val="left" w:pos="540"/>
              </w:tabs>
              <w:spacing w:line="240" w:lineRule="auto"/>
              <w:rPr>
                <w:rFonts w:ascii="Times New Roman" w:hAnsi="Times New Roman"/>
              </w:rPr>
            </w:pPr>
            <w:r>
              <w:rPr>
                <w:rFonts w:ascii="Times New Roman" w:hAnsi="Times New Roman"/>
              </w:rPr>
              <w:t>% of Stock Funds</w:t>
            </w:r>
          </w:p>
        </w:tc>
        <w:tc>
          <w:tcPr>
            <w:tcW w:w="4490" w:type="dxa"/>
          </w:tcPr>
          <w:p w14:paraId="4FE63ACB" w14:textId="77777777" w:rsidR="0026688A" w:rsidRDefault="0026688A" w:rsidP="006743F1">
            <w:pPr>
              <w:tabs>
                <w:tab w:val="left" w:pos="540"/>
              </w:tabs>
              <w:spacing w:line="240" w:lineRule="auto"/>
              <w:rPr>
                <w:rFonts w:ascii="Times New Roman" w:hAnsi="Times New Roman"/>
              </w:rPr>
            </w:pPr>
          </w:p>
        </w:tc>
      </w:tr>
      <w:tr w:rsidR="0026688A" w14:paraId="787F9E95" w14:textId="77777777" w:rsidTr="00877DFF">
        <w:tc>
          <w:tcPr>
            <w:tcW w:w="2876" w:type="dxa"/>
          </w:tcPr>
          <w:p w14:paraId="32ED10D2" w14:textId="59CA1468" w:rsidR="0026688A" w:rsidRDefault="0026688A" w:rsidP="006743F1">
            <w:pPr>
              <w:tabs>
                <w:tab w:val="left" w:pos="540"/>
              </w:tabs>
              <w:spacing w:line="240" w:lineRule="auto"/>
              <w:rPr>
                <w:rFonts w:ascii="Times New Roman" w:hAnsi="Times New Roman"/>
              </w:rPr>
            </w:pPr>
            <w:r>
              <w:rPr>
                <w:rFonts w:ascii="Times New Roman" w:hAnsi="Times New Roman"/>
              </w:rPr>
              <w:t>10.08 %</w:t>
            </w:r>
          </w:p>
        </w:tc>
        <w:tc>
          <w:tcPr>
            <w:tcW w:w="4490" w:type="dxa"/>
          </w:tcPr>
          <w:p w14:paraId="4BAB0BA6" w14:textId="0757DE9D" w:rsidR="0026688A" w:rsidRDefault="0026688A" w:rsidP="006743F1">
            <w:pPr>
              <w:tabs>
                <w:tab w:val="left" w:pos="540"/>
              </w:tabs>
              <w:spacing w:line="240" w:lineRule="auto"/>
              <w:rPr>
                <w:rFonts w:ascii="Times New Roman" w:hAnsi="Times New Roman"/>
              </w:rPr>
            </w:pPr>
            <w:r>
              <w:rPr>
                <w:rFonts w:ascii="Times New Roman" w:hAnsi="Times New Roman"/>
              </w:rPr>
              <w:t>CANADIAN NATIONAL RAILWAY</w:t>
            </w:r>
          </w:p>
        </w:tc>
      </w:tr>
      <w:tr w:rsidR="0026688A" w14:paraId="57AAB939" w14:textId="77777777" w:rsidTr="00877DFF">
        <w:tc>
          <w:tcPr>
            <w:tcW w:w="2876" w:type="dxa"/>
          </w:tcPr>
          <w:p w14:paraId="52F3B17D" w14:textId="64472A3D" w:rsidR="0026688A" w:rsidRDefault="0026688A" w:rsidP="006743F1">
            <w:pPr>
              <w:tabs>
                <w:tab w:val="left" w:pos="540"/>
              </w:tabs>
              <w:spacing w:line="240" w:lineRule="auto"/>
              <w:rPr>
                <w:rFonts w:ascii="Times New Roman" w:hAnsi="Times New Roman"/>
              </w:rPr>
            </w:pPr>
            <w:r>
              <w:rPr>
                <w:rFonts w:ascii="Times New Roman" w:hAnsi="Times New Roman"/>
              </w:rPr>
              <w:t>10.02%</w:t>
            </w:r>
          </w:p>
        </w:tc>
        <w:tc>
          <w:tcPr>
            <w:tcW w:w="4490" w:type="dxa"/>
          </w:tcPr>
          <w:p w14:paraId="69ECEFE2" w14:textId="094A25DC" w:rsidR="0026688A" w:rsidRDefault="0026688A" w:rsidP="006743F1">
            <w:pPr>
              <w:tabs>
                <w:tab w:val="left" w:pos="540"/>
              </w:tabs>
              <w:spacing w:line="240" w:lineRule="auto"/>
              <w:rPr>
                <w:rFonts w:ascii="Times New Roman" w:hAnsi="Times New Roman"/>
              </w:rPr>
            </w:pPr>
            <w:r>
              <w:rPr>
                <w:rFonts w:ascii="Times New Roman" w:hAnsi="Times New Roman"/>
              </w:rPr>
              <w:t>Royal Bank of Canada</w:t>
            </w:r>
          </w:p>
        </w:tc>
      </w:tr>
      <w:tr w:rsidR="0026688A" w14:paraId="07C9BC9C" w14:textId="77777777" w:rsidTr="00877DFF">
        <w:tc>
          <w:tcPr>
            <w:tcW w:w="2876" w:type="dxa"/>
          </w:tcPr>
          <w:p w14:paraId="4B90ABC1" w14:textId="7638471C" w:rsidR="0026688A" w:rsidRDefault="0026688A" w:rsidP="006743F1">
            <w:pPr>
              <w:tabs>
                <w:tab w:val="left" w:pos="540"/>
              </w:tabs>
              <w:spacing w:line="240" w:lineRule="auto"/>
              <w:rPr>
                <w:rFonts w:ascii="Times New Roman" w:hAnsi="Times New Roman"/>
              </w:rPr>
            </w:pPr>
            <w:r>
              <w:rPr>
                <w:rFonts w:ascii="Times New Roman" w:hAnsi="Times New Roman"/>
              </w:rPr>
              <w:t>9.94%</w:t>
            </w:r>
          </w:p>
        </w:tc>
        <w:tc>
          <w:tcPr>
            <w:tcW w:w="4490" w:type="dxa"/>
          </w:tcPr>
          <w:p w14:paraId="0819E21C" w14:textId="7B4F520F" w:rsidR="0026688A" w:rsidRDefault="0026688A" w:rsidP="006743F1">
            <w:pPr>
              <w:tabs>
                <w:tab w:val="left" w:pos="540"/>
              </w:tabs>
              <w:spacing w:line="240" w:lineRule="auto"/>
              <w:rPr>
                <w:rFonts w:ascii="Times New Roman" w:hAnsi="Times New Roman"/>
              </w:rPr>
            </w:pPr>
            <w:r>
              <w:rPr>
                <w:rFonts w:ascii="Times New Roman" w:hAnsi="Times New Roman"/>
              </w:rPr>
              <w:t xml:space="preserve">Toronto-Dominion </w:t>
            </w:r>
            <w:bookmarkStart w:id="0" w:name="_GoBack"/>
            <w:bookmarkEnd w:id="0"/>
            <w:r>
              <w:rPr>
                <w:rFonts w:ascii="Times New Roman" w:hAnsi="Times New Roman"/>
              </w:rPr>
              <w:t>Bank</w:t>
            </w:r>
          </w:p>
        </w:tc>
      </w:tr>
      <w:tr w:rsidR="0026688A" w14:paraId="1E101E35" w14:textId="77777777" w:rsidTr="00877DFF">
        <w:tc>
          <w:tcPr>
            <w:tcW w:w="2876" w:type="dxa"/>
          </w:tcPr>
          <w:p w14:paraId="61556CA9" w14:textId="694AE37A" w:rsidR="0026688A" w:rsidRDefault="0026688A" w:rsidP="006743F1">
            <w:pPr>
              <w:tabs>
                <w:tab w:val="left" w:pos="540"/>
              </w:tabs>
              <w:spacing w:line="240" w:lineRule="auto"/>
              <w:rPr>
                <w:rFonts w:ascii="Times New Roman" w:hAnsi="Times New Roman"/>
              </w:rPr>
            </w:pPr>
            <w:r>
              <w:rPr>
                <w:rFonts w:ascii="Times New Roman" w:hAnsi="Times New Roman"/>
              </w:rPr>
              <w:t>7.70%</w:t>
            </w:r>
          </w:p>
        </w:tc>
        <w:tc>
          <w:tcPr>
            <w:tcW w:w="4490" w:type="dxa"/>
          </w:tcPr>
          <w:p w14:paraId="25366DE2" w14:textId="126B458A" w:rsidR="0026688A" w:rsidRDefault="0026688A" w:rsidP="006743F1">
            <w:pPr>
              <w:tabs>
                <w:tab w:val="left" w:pos="540"/>
              </w:tabs>
              <w:spacing w:line="240" w:lineRule="auto"/>
              <w:rPr>
                <w:rFonts w:ascii="Times New Roman" w:hAnsi="Times New Roman"/>
              </w:rPr>
            </w:pPr>
            <w:r>
              <w:rPr>
                <w:rFonts w:ascii="Times New Roman" w:hAnsi="Times New Roman"/>
              </w:rPr>
              <w:t>Suncor Energy</w:t>
            </w:r>
          </w:p>
        </w:tc>
      </w:tr>
      <w:tr w:rsidR="00877DFF" w14:paraId="05850410" w14:textId="77777777" w:rsidTr="00877DFF">
        <w:tc>
          <w:tcPr>
            <w:tcW w:w="2876" w:type="dxa"/>
          </w:tcPr>
          <w:p w14:paraId="347E4644" w14:textId="35B1A7EF" w:rsidR="00877DFF" w:rsidRDefault="00877DFF" w:rsidP="006743F1">
            <w:pPr>
              <w:tabs>
                <w:tab w:val="left" w:pos="540"/>
              </w:tabs>
              <w:spacing w:line="240" w:lineRule="auto"/>
              <w:rPr>
                <w:rFonts w:ascii="Times New Roman" w:hAnsi="Times New Roman"/>
              </w:rPr>
            </w:pPr>
            <w:r>
              <w:rPr>
                <w:rFonts w:ascii="Times New Roman" w:hAnsi="Times New Roman"/>
              </w:rPr>
              <w:t>7.44%</w:t>
            </w:r>
          </w:p>
        </w:tc>
        <w:tc>
          <w:tcPr>
            <w:tcW w:w="4490" w:type="dxa"/>
          </w:tcPr>
          <w:p w14:paraId="6B5A6296" w14:textId="435F6CD5" w:rsidR="00877DFF" w:rsidRDefault="00877DFF" w:rsidP="006743F1">
            <w:pPr>
              <w:tabs>
                <w:tab w:val="left" w:pos="540"/>
              </w:tabs>
              <w:spacing w:line="240" w:lineRule="auto"/>
              <w:rPr>
                <w:rFonts w:ascii="Times New Roman" w:hAnsi="Times New Roman"/>
              </w:rPr>
            </w:pPr>
            <w:r>
              <w:rPr>
                <w:rFonts w:ascii="Times New Roman" w:hAnsi="Times New Roman"/>
              </w:rPr>
              <w:t>Bank of Montreal</w:t>
            </w:r>
          </w:p>
        </w:tc>
      </w:tr>
    </w:tbl>
    <w:p w14:paraId="4BC775C2" w14:textId="77777777" w:rsidR="00242D08" w:rsidRPr="006743F1" w:rsidRDefault="00242D08" w:rsidP="006743F1">
      <w:pPr>
        <w:tabs>
          <w:tab w:val="left" w:pos="540"/>
        </w:tabs>
        <w:spacing w:line="240" w:lineRule="auto"/>
        <w:rPr>
          <w:rFonts w:ascii="Times New Roman" w:hAnsi="Times New Roman"/>
        </w:rPr>
      </w:pPr>
    </w:p>
    <w:p w14:paraId="3DFD7928" w14:textId="77777777" w:rsidR="00242D08" w:rsidRPr="006743F1" w:rsidRDefault="00242D08" w:rsidP="006743F1">
      <w:pPr>
        <w:spacing w:line="240" w:lineRule="auto"/>
        <w:rPr>
          <w:rFonts w:ascii="Times New Roman" w:hAnsi="Times New Roman"/>
        </w:rPr>
      </w:pPr>
    </w:p>
    <w:p w14:paraId="401DB9AA" w14:textId="77777777" w:rsidR="00242D08" w:rsidRPr="005D3177" w:rsidRDefault="00242D08" w:rsidP="007A7923">
      <w:pPr>
        <w:spacing w:line="240" w:lineRule="auto"/>
        <w:rPr>
          <w:rFonts w:ascii="Times New Roman" w:hAnsi="Times New Roman"/>
          <w:bCs/>
        </w:rPr>
      </w:pPr>
      <w:r w:rsidRPr="006743F1">
        <w:rPr>
          <w:rFonts w:ascii="Times New Roman" w:hAnsi="Times New Roman"/>
          <w:bCs/>
        </w:rPr>
        <w:t>2</w:t>
      </w:r>
      <w:r>
        <w:rPr>
          <w:rFonts w:ascii="Times New Roman" w:hAnsi="Times New Roman"/>
          <w:bCs/>
        </w:rPr>
        <w:t>2</w:t>
      </w:r>
      <w:r w:rsidRPr="006743F1">
        <w:rPr>
          <w:rFonts w:ascii="Times New Roman" w:hAnsi="Times New Roman"/>
          <w:bCs/>
        </w:rPr>
        <w:t xml:space="preserve">. </w:t>
      </w:r>
      <w:r w:rsidRPr="006743F1">
        <w:rPr>
          <w:rFonts w:ascii="Times New Roman" w:hAnsi="Times New Roman"/>
          <w:bCs/>
        </w:rPr>
        <w:tab/>
      </w:r>
      <w:r w:rsidRPr="005D3177">
        <w:rPr>
          <w:rFonts w:ascii="Times New Roman" w:hAnsi="Times New Roman"/>
          <w:bCs/>
        </w:rPr>
        <w:t>For the purpose of this solution, we provide 3 mutual funds from RBC Global Asset Management</w:t>
      </w:r>
    </w:p>
    <w:p w14:paraId="4F688932" w14:textId="77777777" w:rsidR="00242D08" w:rsidRPr="005D3177" w:rsidRDefault="00242D08" w:rsidP="006743F1">
      <w:pPr>
        <w:spacing w:line="240" w:lineRule="auto"/>
        <w:ind w:left="480" w:hanging="480"/>
        <w:rPr>
          <w:rFonts w:ascii="Times New Roman" w:hAnsi="Times New Roman"/>
          <w:bCs/>
        </w:rPr>
      </w:pPr>
    </w:p>
    <w:p w14:paraId="78642637" w14:textId="77777777" w:rsidR="00242D08" w:rsidRPr="005D3177" w:rsidRDefault="00242D08" w:rsidP="009C50D3">
      <w:pPr>
        <w:spacing w:line="240" w:lineRule="auto"/>
        <w:ind w:left="480"/>
        <w:rPr>
          <w:lang w:val="en-CA"/>
        </w:rPr>
      </w:pPr>
      <w:r w:rsidRPr="005D3177">
        <w:rPr>
          <w:bCs/>
        </w:rPr>
        <w:t xml:space="preserve">NOTE: </w:t>
      </w:r>
      <w:r w:rsidRPr="005D3177">
        <w:rPr>
          <w:lang w:val="en-CA"/>
        </w:rPr>
        <w:t>Management Expense Ratio, MER, is the sum of management fee</w:t>
      </w:r>
      <w:r w:rsidR="00901831" w:rsidRPr="005D3177">
        <w:rPr>
          <w:lang w:val="en-CA"/>
        </w:rPr>
        <w:t>s</w:t>
      </w:r>
      <w:r w:rsidRPr="005D3177">
        <w:rPr>
          <w:lang w:val="en-CA"/>
        </w:rPr>
        <w:t xml:space="preserve"> (the administrative costs and the wages and bonuses of fund managers) plus all other expense</w:t>
      </w:r>
      <w:r w:rsidR="00901831" w:rsidRPr="005D3177">
        <w:rPr>
          <w:lang w:val="en-CA"/>
        </w:rPr>
        <w:t>s</w:t>
      </w:r>
      <w:r w:rsidRPr="005D3177">
        <w:rPr>
          <w:lang w:val="en-CA"/>
        </w:rPr>
        <w:t xml:space="preserve"> charged to fund (marketing expense) divided by the fund’s total assets.</w:t>
      </w:r>
    </w:p>
    <w:p w14:paraId="351B1121" w14:textId="77777777" w:rsidR="00242D08" w:rsidRPr="005D3177" w:rsidRDefault="00242D08" w:rsidP="007A7923">
      <w:pPr>
        <w:spacing w:line="240" w:lineRule="auto"/>
        <w:rPr>
          <w:rFonts w:ascii="Times New Roman" w:hAnsi="Times New Roman"/>
          <w:lang w:val="en-CA"/>
        </w:rPr>
      </w:pPr>
    </w:p>
    <w:p w14:paraId="6A6CF049" w14:textId="77777777" w:rsidR="00242D08" w:rsidRPr="005D3177" w:rsidRDefault="00242D08" w:rsidP="006743F1">
      <w:pPr>
        <w:spacing w:line="240" w:lineRule="auto"/>
        <w:ind w:left="480"/>
        <w:rPr>
          <w:rFonts w:ascii="Times New Roman" w:hAnsi="Times New Roman"/>
          <w:bCs/>
        </w:rPr>
      </w:pPr>
      <w:r w:rsidRPr="005D3177">
        <w:rPr>
          <w:rFonts w:ascii="Times New Roman" w:hAnsi="Times New Roman"/>
          <w:lang w:val="en-CA"/>
        </w:rPr>
        <w:t>1. RBC Asian Equity</w:t>
      </w:r>
      <w:r w:rsidR="005D3177">
        <w:rPr>
          <w:rFonts w:ascii="Times New Roman" w:hAnsi="Times New Roman"/>
          <w:lang w:val="en-CA"/>
        </w:rPr>
        <w:t xml:space="preserve"> Fund A </w:t>
      </w:r>
    </w:p>
    <w:p w14:paraId="704AFD6E" w14:textId="77777777" w:rsidR="00242D08" w:rsidRPr="005D3177" w:rsidRDefault="00242D08" w:rsidP="00225278">
      <w:pPr>
        <w:pStyle w:val="Heading4"/>
        <w:ind w:left="547" w:hanging="72"/>
        <w:rPr>
          <w:b w:val="0"/>
          <w:lang w:val="en-CA"/>
        </w:rPr>
      </w:pPr>
      <w:r w:rsidRPr="005D3177">
        <w:rPr>
          <w:b w:val="0"/>
          <w:lang w:val="en-CA"/>
        </w:rPr>
        <w:t>Fund Objectives: The Fund seeks capital appreciation through equity securities issued by companies located in or having a principal business interest in any or all of the countries of Asia. These countries include Hong Kong, South Korea, China, Taiwan, Australia, New Zealand, Singapore, Malaysia, Thailand, the Philippines, Indonesia and Vietnam. This fund is affected by changing conditions of the markets in which they invest and the rate of exchange of foreign currencies against the Canadian dollar.</w:t>
      </w:r>
    </w:p>
    <w:p w14:paraId="07E947CC" w14:textId="77777777" w:rsidR="00242D08" w:rsidRPr="005D3177" w:rsidRDefault="00242D08" w:rsidP="004F6846">
      <w:pPr>
        <w:pStyle w:val="Heading4"/>
        <w:ind w:firstLine="480"/>
        <w:rPr>
          <w:b w:val="0"/>
          <w:lang w:val="en-CA"/>
        </w:rPr>
      </w:pPr>
      <w:r w:rsidRPr="005D3177">
        <w:rPr>
          <w:b w:val="0"/>
          <w:lang w:val="en-CA"/>
        </w:rPr>
        <w:t>MER = 2.</w:t>
      </w:r>
      <w:r w:rsidR="005D3177">
        <w:rPr>
          <w:b w:val="0"/>
          <w:lang w:val="en-CA"/>
        </w:rPr>
        <w:t>00</w:t>
      </w:r>
      <w:r w:rsidRPr="005D3177">
        <w:rPr>
          <w:b w:val="0"/>
          <w:lang w:val="en-CA"/>
        </w:rPr>
        <w:t>% of fund’s total assets</w:t>
      </w:r>
    </w:p>
    <w:p w14:paraId="1B7400B4" w14:textId="77777777" w:rsidR="00242D08" w:rsidRPr="005D3177" w:rsidRDefault="00242D08" w:rsidP="004F6846">
      <w:pPr>
        <w:pStyle w:val="Heading4"/>
        <w:ind w:firstLine="480"/>
        <w:rPr>
          <w:b w:val="0"/>
          <w:lang w:val="en-CA"/>
        </w:rPr>
      </w:pPr>
      <w:r w:rsidRPr="005D3177">
        <w:rPr>
          <w:b w:val="0"/>
          <w:lang w:val="en-CA"/>
        </w:rPr>
        <w:t xml:space="preserve">One-Year Return </w:t>
      </w:r>
      <w:r w:rsidRPr="005D3177">
        <w:rPr>
          <w:rStyle w:val="detail"/>
          <w:b w:val="0"/>
          <w:lang w:val="en-CA"/>
        </w:rPr>
        <w:t xml:space="preserve">as at </w:t>
      </w:r>
      <w:r w:rsidR="005D3177">
        <w:rPr>
          <w:rStyle w:val="detail"/>
          <w:b w:val="0"/>
          <w:lang w:val="en-CA"/>
        </w:rPr>
        <w:t>March 23rd</w:t>
      </w:r>
      <w:r w:rsidR="00BF349D" w:rsidRPr="005D3177">
        <w:rPr>
          <w:rStyle w:val="detail"/>
          <w:b w:val="0"/>
          <w:lang w:val="en-CA"/>
        </w:rPr>
        <w:t>, 201</w:t>
      </w:r>
      <w:r w:rsidR="005D3177">
        <w:rPr>
          <w:rStyle w:val="detail"/>
          <w:b w:val="0"/>
          <w:lang w:val="en-CA"/>
        </w:rPr>
        <w:t>9</w:t>
      </w:r>
      <w:r w:rsidR="00BF349D" w:rsidRPr="005D3177">
        <w:rPr>
          <w:rStyle w:val="detail"/>
          <w:b w:val="0"/>
          <w:lang w:val="en-CA"/>
        </w:rPr>
        <w:t>:</w:t>
      </w:r>
      <w:r w:rsidRPr="005D3177">
        <w:rPr>
          <w:rStyle w:val="detail"/>
          <w:b w:val="0"/>
          <w:lang w:val="en-CA"/>
        </w:rPr>
        <w:t xml:space="preserve"> </w:t>
      </w:r>
      <w:r w:rsidR="005D3177">
        <w:rPr>
          <w:rStyle w:val="detail"/>
          <w:b w:val="0"/>
          <w:lang w:val="en-CA"/>
        </w:rPr>
        <w:t>7</w:t>
      </w:r>
      <w:r w:rsidR="00BF349D" w:rsidRPr="005D3177">
        <w:rPr>
          <w:rStyle w:val="detail"/>
          <w:b w:val="0"/>
          <w:lang w:val="en-CA"/>
        </w:rPr>
        <w:t>.</w:t>
      </w:r>
      <w:r w:rsidR="005D3177">
        <w:rPr>
          <w:rStyle w:val="detail"/>
          <w:b w:val="0"/>
          <w:lang w:val="en-CA"/>
        </w:rPr>
        <w:t>09</w:t>
      </w:r>
      <w:r w:rsidRPr="005D3177">
        <w:rPr>
          <w:rStyle w:val="detail"/>
          <w:b w:val="0"/>
          <w:lang w:val="en-CA"/>
        </w:rPr>
        <w:t>%</w:t>
      </w:r>
    </w:p>
    <w:p w14:paraId="4C4BB795" w14:textId="77777777" w:rsidR="00242D08" w:rsidRPr="005D3177" w:rsidRDefault="00242D08" w:rsidP="009C50D3">
      <w:pPr>
        <w:pStyle w:val="footnote"/>
        <w:ind w:firstLine="480"/>
        <w:rPr>
          <w:lang w:val="en-CA"/>
        </w:rPr>
      </w:pPr>
      <w:r w:rsidRPr="005D3177">
        <w:rPr>
          <w:lang w:val="en-CA"/>
        </w:rPr>
        <w:t xml:space="preserve">Benchmark index: MSCI </w:t>
      </w:r>
      <w:r w:rsidR="00BF349D" w:rsidRPr="005D3177">
        <w:rPr>
          <w:lang w:val="en-CA"/>
        </w:rPr>
        <w:t>AC Pacific Free Total Return Index</w:t>
      </w:r>
      <w:r w:rsidRPr="005D3177">
        <w:rPr>
          <w:lang w:val="en-CA"/>
        </w:rPr>
        <w:t xml:space="preserve"> ($ </w:t>
      </w:r>
      <w:proofErr w:type="spellStart"/>
      <w:r w:rsidRPr="005D3177">
        <w:rPr>
          <w:lang w:val="en-CA"/>
        </w:rPr>
        <w:t>Cdn</w:t>
      </w:r>
      <w:proofErr w:type="spellEnd"/>
      <w:r w:rsidRPr="005D3177">
        <w:rPr>
          <w:lang w:val="en-CA"/>
        </w:rPr>
        <w:t>)</w:t>
      </w:r>
    </w:p>
    <w:p w14:paraId="0FCE9FD4" w14:textId="77777777" w:rsidR="005D3177" w:rsidRPr="005D3177" w:rsidRDefault="005D3177" w:rsidP="006743F1">
      <w:pPr>
        <w:spacing w:line="240" w:lineRule="auto"/>
        <w:ind w:left="480"/>
        <w:rPr>
          <w:rFonts w:ascii="Times New Roman" w:hAnsi="Times New Roman"/>
          <w:bCs/>
        </w:rPr>
      </w:pPr>
      <w:r>
        <w:rPr>
          <w:rFonts w:ascii="Times New Roman" w:hAnsi="Times New Roman"/>
          <w:noProof/>
          <w:szCs w:val="24"/>
          <w:lang w:val="en-CA" w:eastAsia="en-CA"/>
        </w:rPr>
        <w:drawing>
          <wp:inline distT="0" distB="0" distL="0" distR="0" wp14:anchorId="138B8E4C" wp14:editId="6BDEAD4F">
            <wp:extent cx="5486400" cy="21075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9-03-24 at 11.36.38 PM.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86400" cy="2107565"/>
                    </a:xfrm>
                    <a:prstGeom prst="rect">
                      <a:avLst/>
                    </a:prstGeom>
                  </pic:spPr>
                </pic:pic>
              </a:graphicData>
            </a:graphic>
          </wp:inline>
        </w:drawing>
      </w:r>
    </w:p>
    <w:p w14:paraId="04D6538C" w14:textId="77777777" w:rsidR="00242D08" w:rsidRPr="005D3177" w:rsidRDefault="00242D08" w:rsidP="006743F1">
      <w:pPr>
        <w:spacing w:line="240" w:lineRule="auto"/>
        <w:ind w:left="480"/>
        <w:rPr>
          <w:rFonts w:ascii="Times New Roman" w:hAnsi="Times New Roman"/>
          <w:bCs/>
        </w:rPr>
      </w:pPr>
    </w:p>
    <w:p w14:paraId="2D4FD8EF" w14:textId="77777777" w:rsidR="00242D08" w:rsidRPr="005D3177" w:rsidRDefault="00242D08" w:rsidP="006743F1">
      <w:pPr>
        <w:spacing w:line="240" w:lineRule="auto"/>
        <w:ind w:left="480"/>
        <w:rPr>
          <w:rFonts w:ascii="Times New Roman" w:hAnsi="Times New Roman"/>
          <w:lang w:val="en-CA"/>
        </w:rPr>
      </w:pPr>
      <w:r w:rsidRPr="005D3177">
        <w:rPr>
          <w:rFonts w:ascii="Times New Roman" w:hAnsi="Times New Roman"/>
          <w:lang w:val="en-CA"/>
        </w:rPr>
        <w:lastRenderedPageBreak/>
        <w:t>2. RBC Canadian Index</w:t>
      </w:r>
      <w:r w:rsidR="005D3177">
        <w:rPr>
          <w:rFonts w:ascii="Times New Roman" w:hAnsi="Times New Roman"/>
          <w:lang w:val="en-CA"/>
        </w:rPr>
        <w:t xml:space="preserve"> Fund A</w:t>
      </w:r>
    </w:p>
    <w:p w14:paraId="6B420FB4" w14:textId="77777777" w:rsidR="00242D08" w:rsidRPr="005D3177" w:rsidRDefault="00242D08" w:rsidP="009C50D3">
      <w:pPr>
        <w:pStyle w:val="Heading4"/>
        <w:ind w:left="480"/>
        <w:rPr>
          <w:b w:val="0"/>
          <w:lang w:val="en-CA"/>
        </w:rPr>
      </w:pPr>
      <w:r w:rsidRPr="005D3177">
        <w:rPr>
          <w:b w:val="0"/>
          <w:lang w:val="en-CA"/>
        </w:rPr>
        <w:t>Fund Objectives: The Fund seeks to provide long-term capital growth by investing primarily in Canadian equity securities. The fund seeks to achieve returns similar to a generally recognized index of Canadian equity market performance, currently being The Toronto Stock Exchange 300 Total Return Index.</w:t>
      </w:r>
    </w:p>
    <w:p w14:paraId="60616626" w14:textId="77777777" w:rsidR="00242D08" w:rsidRPr="005D3177" w:rsidRDefault="00242D08" w:rsidP="00B42AED">
      <w:pPr>
        <w:pStyle w:val="Heading4"/>
        <w:ind w:firstLine="480"/>
        <w:rPr>
          <w:b w:val="0"/>
          <w:lang w:val="en-CA"/>
        </w:rPr>
      </w:pPr>
      <w:r w:rsidRPr="005D3177">
        <w:rPr>
          <w:b w:val="0"/>
          <w:lang w:val="en-CA"/>
        </w:rPr>
        <w:t>MER = 0.</w:t>
      </w:r>
      <w:r w:rsidR="005D3177">
        <w:rPr>
          <w:b w:val="0"/>
          <w:lang w:val="en-CA"/>
        </w:rPr>
        <w:t>69</w:t>
      </w:r>
      <w:r w:rsidRPr="005D3177">
        <w:rPr>
          <w:b w:val="0"/>
          <w:lang w:val="en-CA"/>
        </w:rPr>
        <w:t>% of total fund assets</w:t>
      </w:r>
    </w:p>
    <w:p w14:paraId="1398A017" w14:textId="77777777" w:rsidR="00242D08" w:rsidRPr="005D3177" w:rsidRDefault="00242D08" w:rsidP="007A5BEE">
      <w:pPr>
        <w:pStyle w:val="Heading4"/>
        <w:ind w:firstLine="480"/>
        <w:rPr>
          <w:b w:val="0"/>
          <w:lang w:val="en-CA"/>
        </w:rPr>
      </w:pPr>
      <w:r w:rsidRPr="005D3177">
        <w:rPr>
          <w:b w:val="0"/>
          <w:lang w:val="en-CA"/>
        </w:rPr>
        <w:t xml:space="preserve">One-Year Return </w:t>
      </w:r>
      <w:r w:rsidRPr="005D3177">
        <w:rPr>
          <w:rStyle w:val="detail"/>
          <w:b w:val="0"/>
          <w:lang w:val="en-CA"/>
        </w:rPr>
        <w:t xml:space="preserve">as at </w:t>
      </w:r>
      <w:r w:rsidR="005D3177">
        <w:rPr>
          <w:rStyle w:val="detail"/>
          <w:b w:val="0"/>
          <w:lang w:val="en-CA"/>
        </w:rPr>
        <w:t>March 23rd</w:t>
      </w:r>
      <w:r w:rsidR="005D3177" w:rsidRPr="005D3177">
        <w:rPr>
          <w:rStyle w:val="detail"/>
          <w:b w:val="0"/>
          <w:lang w:val="en-CA"/>
        </w:rPr>
        <w:t>, 201</w:t>
      </w:r>
      <w:r w:rsidR="005D3177">
        <w:rPr>
          <w:rStyle w:val="detail"/>
          <w:b w:val="0"/>
          <w:lang w:val="en-CA"/>
        </w:rPr>
        <w:t>9</w:t>
      </w:r>
      <w:r w:rsidRPr="005D3177">
        <w:rPr>
          <w:rStyle w:val="detail"/>
          <w:b w:val="0"/>
          <w:lang w:val="en-CA"/>
        </w:rPr>
        <w:t>:</w:t>
      </w:r>
      <w:r w:rsidR="005D3177">
        <w:rPr>
          <w:rStyle w:val="detail"/>
          <w:b w:val="0"/>
          <w:lang w:val="en-CA"/>
        </w:rPr>
        <w:t>12.28</w:t>
      </w:r>
      <w:r w:rsidR="005437B0" w:rsidRPr="005D3177">
        <w:rPr>
          <w:rStyle w:val="detail"/>
          <w:b w:val="0"/>
          <w:lang w:val="en-CA"/>
        </w:rPr>
        <w:t>%</w:t>
      </w:r>
    </w:p>
    <w:p w14:paraId="6142557D" w14:textId="77777777" w:rsidR="00242D08" w:rsidRPr="005D3177" w:rsidRDefault="00242D08" w:rsidP="009C50D3">
      <w:pPr>
        <w:pStyle w:val="footnote"/>
        <w:ind w:firstLine="480"/>
        <w:rPr>
          <w:lang w:val="en-CA"/>
        </w:rPr>
      </w:pPr>
      <w:r w:rsidRPr="005D3177">
        <w:rPr>
          <w:lang w:val="en-CA"/>
        </w:rPr>
        <w:t xml:space="preserve">Benchmark Index: S&amp;P/TSX </w:t>
      </w:r>
      <w:r w:rsidR="005437B0" w:rsidRPr="005D3177">
        <w:rPr>
          <w:lang w:val="en-CA"/>
        </w:rPr>
        <w:t>Capped Composite Index</w:t>
      </w:r>
    </w:p>
    <w:p w14:paraId="48D69305" w14:textId="77777777" w:rsidR="00242D08" w:rsidRPr="005D3177" w:rsidRDefault="005D3177" w:rsidP="006743F1">
      <w:pPr>
        <w:pStyle w:val="Heading3"/>
        <w:ind w:left="513"/>
        <w:rPr>
          <w:b w:val="0"/>
          <w:sz w:val="24"/>
          <w:szCs w:val="24"/>
          <w:lang w:val="en-CA"/>
        </w:rPr>
      </w:pPr>
      <w:r>
        <w:rPr>
          <w:b w:val="0"/>
          <w:noProof/>
          <w:szCs w:val="24"/>
          <w:lang w:val="en-CA" w:eastAsia="en-CA"/>
        </w:rPr>
        <w:drawing>
          <wp:inline distT="0" distB="0" distL="0" distR="0" wp14:anchorId="58AB9646" wp14:editId="49B0EEE5">
            <wp:extent cx="5486400" cy="21609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9-03-24 at 11.39.39 PM.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86400" cy="2160905"/>
                    </a:xfrm>
                    <a:prstGeom prst="rect">
                      <a:avLst/>
                    </a:prstGeom>
                  </pic:spPr>
                </pic:pic>
              </a:graphicData>
            </a:graphic>
          </wp:inline>
        </w:drawing>
      </w:r>
      <w:r w:rsidR="00242D08" w:rsidRPr="005D3177">
        <w:rPr>
          <w:b w:val="0"/>
          <w:sz w:val="24"/>
          <w:szCs w:val="24"/>
          <w:lang w:val="en-CA"/>
        </w:rPr>
        <w:t xml:space="preserve">3. </w:t>
      </w:r>
      <w:proofErr w:type="spellStart"/>
      <w:r w:rsidR="00242D08" w:rsidRPr="005D3177">
        <w:rPr>
          <w:b w:val="0"/>
          <w:sz w:val="24"/>
          <w:szCs w:val="24"/>
          <w:lang w:val="en-CA"/>
        </w:rPr>
        <w:t>Jantzi</w:t>
      </w:r>
      <w:proofErr w:type="spellEnd"/>
      <w:r w:rsidR="00242D08" w:rsidRPr="005D3177">
        <w:rPr>
          <w:b w:val="0"/>
          <w:sz w:val="24"/>
          <w:szCs w:val="24"/>
          <w:lang w:val="en-CA"/>
        </w:rPr>
        <w:t xml:space="preserve"> </w:t>
      </w:r>
      <w:r>
        <w:rPr>
          <w:b w:val="0"/>
          <w:sz w:val="24"/>
          <w:szCs w:val="24"/>
          <w:lang w:val="en-CA"/>
        </w:rPr>
        <w:t>Social Index Fund</w:t>
      </w:r>
    </w:p>
    <w:p w14:paraId="6AD31542" w14:textId="77777777" w:rsidR="00242D08" w:rsidRPr="005D3177" w:rsidRDefault="00242D08" w:rsidP="009C50D3">
      <w:pPr>
        <w:pStyle w:val="Heading4"/>
        <w:ind w:left="513"/>
        <w:rPr>
          <w:b w:val="0"/>
          <w:lang w:val="en-CA"/>
        </w:rPr>
      </w:pPr>
      <w:r w:rsidRPr="005D3177">
        <w:rPr>
          <w:b w:val="0"/>
          <w:lang w:val="en-CA"/>
        </w:rPr>
        <w:t xml:space="preserve">Fund Objectives:  To provide long-term capital growth. The fund invests primarily in equity securities of Canadian companies and follows a socially responsible approach to investing. </w:t>
      </w:r>
    </w:p>
    <w:p w14:paraId="3EE37B24" w14:textId="77777777" w:rsidR="00242D08" w:rsidRPr="005D3177" w:rsidRDefault="00242D08" w:rsidP="007A5BEE">
      <w:pPr>
        <w:pStyle w:val="Heading3"/>
        <w:ind w:firstLine="513"/>
        <w:rPr>
          <w:b w:val="0"/>
          <w:sz w:val="24"/>
          <w:lang w:val="en-CA"/>
        </w:rPr>
      </w:pPr>
      <w:r w:rsidRPr="005D3177">
        <w:rPr>
          <w:b w:val="0"/>
          <w:sz w:val="24"/>
          <w:lang w:val="en-CA"/>
        </w:rPr>
        <w:t>MER= 2.</w:t>
      </w:r>
      <w:r w:rsidR="005D3177">
        <w:rPr>
          <w:b w:val="0"/>
          <w:sz w:val="24"/>
          <w:lang w:val="en-CA"/>
        </w:rPr>
        <w:t>14</w:t>
      </w:r>
      <w:r w:rsidRPr="005D3177">
        <w:rPr>
          <w:b w:val="0"/>
          <w:sz w:val="24"/>
          <w:lang w:val="en-CA"/>
        </w:rPr>
        <w:t>%</w:t>
      </w:r>
    </w:p>
    <w:p w14:paraId="37F7D8CA" w14:textId="77777777" w:rsidR="00242D08" w:rsidRPr="005D3177" w:rsidRDefault="00242D08" w:rsidP="007A5BEE">
      <w:pPr>
        <w:pStyle w:val="Heading4"/>
        <w:ind w:firstLine="513"/>
        <w:rPr>
          <w:b w:val="0"/>
          <w:lang w:val="en-CA"/>
        </w:rPr>
      </w:pPr>
      <w:r w:rsidRPr="005D3177">
        <w:rPr>
          <w:b w:val="0"/>
          <w:lang w:val="en-CA"/>
        </w:rPr>
        <w:t xml:space="preserve">One-Year Return </w:t>
      </w:r>
      <w:r w:rsidRPr="005D3177">
        <w:rPr>
          <w:rStyle w:val="detail"/>
          <w:b w:val="0"/>
          <w:lang w:val="en-CA"/>
        </w:rPr>
        <w:t xml:space="preserve">as at </w:t>
      </w:r>
      <w:r w:rsidR="005D3177">
        <w:rPr>
          <w:rStyle w:val="detail"/>
          <w:b w:val="0"/>
          <w:lang w:val="en-CA"/>
        </w:rPr>
        <w:t>March 23rd</w:t>
      </w:r>
      <w:r w:rsidR="005D3177" w:rsidRPr="005D3177">
        <w:rPr>
          <w:rStyle w:val="detail"/>
          <w:b w:val="0"/>
          <w:lang w:val="en-CA"/>
        </w:rPr>
        <w:t>, 201</w:t>
      </w:r>
      <w:r w:rsidR="005D3177">
        <w:rPr>
          <w:rStyle w:val="detail"/>
          <w:b w:val="0"/>
          <w:lang w:val="en-CA"/>
        </w:rPr>
        <w:t>9</w:t>
      </w:r>
      <w:r w:rsidRPr="005D3177">
        <w:rPr>
          <w:rStyle w:val="detail"/>
          <w:b w:val="0"/>
          <w:lang w:val="en-CA"/>
        </w:rPr>
        <w:t xml:space="preserve">: </w:t>
      </w:r>
      <w:r w:rsidR="005D3177">
        <w:rPr>
          <w:rStyle w:val="detail"/>
          <w:b w:val="0"/>
          <w:lang w:val="en-CA"/>
        </w:rPr>
        <w:t>11.83</w:t>
      </w:r>
      <w:r w:rsidRPr="005D3177">
        <w:rPr>
          <w:rStyle w:val="detail"/>
          <w:b w:val="0"/>
          <w:lang w:val="en-CA"/>
        </w:rPr>
        <w:t>%</w:t>
      </w:r>
    </w:p>
    <w:p w14:paraId="3A448683" w14:textId="77777777" w:rsidR="00242D08" w:rsidRPr="005D3177" w:rsidRDefault="00242D08" w:rsidP="009C50D3">
      <w:pPr>
        <w:pStyle w:val="footnote"/>
        <w:ind w:firstLine="513"/>
        <w:rPr>
          <w:lang w:val="en-CA"/>
        </w:rPr>
      </w:pPr>
      <w:r w:rsidRPr="005D3177">
        <w:rPr>
          <w:lang w:val="en-CA"/>
        </w:rPr>
        <w:t>Benchmark Index: S&amp;P/TSX Total Return</w:t>
      </w:r>
    </w:p>
    <w:p w14:paraId="71E93437" w14:textId="77777777" w:rsidR="005D3177" w:rsidRPr="005D3177" w:rsidRDefault="005D3177" w:rsidP="005D50A6">
      <w:pPr>
        <w:pStyle w:val="Heading4"/>
        <w:rPr>
          <w:b w:val="0"/>
          <w:lang w:val="en-CA"/>
        </w:rPr>
      </w:pPr>
      <w:r>
        <w:rPr>
          <w:noProof/>
          <w:lang w:val="en-CA" w:eastAsia="en-CA"/>
        </w:rPr>
        <w:lastRenderedPageBreak/>
        <w:drawing>
          <wp:inline distT="0" distB="0" distL="0" distR="0" wp14:anchorId="23C99D83" wp14:editId="08AC67A9">
            <wp:extent cx="5486400" cy="20739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shot 2019-03-24 at 11.41.26 PM.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86400" cy="2073910"/>
                    </a:xfrm>
                    <a:prstGeom prst="rect">
                      <a:avLst/>
                    </a:prstGeom>
                  </pic:spPr>
                </pic:pic>
              </a:graphicData>
            </a:graphic>
          </wp:inline>
        </w:drawing>
      </w:r>
    </w:p>
    <w:p w14:paraId="1A852003" w14:textId="77777777" w:rsidR="00242D08" w:rsidRPr="006743F1" w:rsidRDefault="00242D08" w:rsidP="006743F1">
      <w:pPr>
        <w:tabs>
          <w:tab w:val="left" w:pos="900"/>
        </w:tabs>
        <w:spacing w:line="240" w:lineRule="auto"/>
        <w:rPr>
          <w:rFonts w:ascii="Times New Roman" w:hAnsi="Times New Roman"/>
        </w:rPr>
      </w:pPr>
    </w:p>
    <w:p w14:paraId="0029DAA7" w14:textId="77777777" w:rsidR="00242D08" w:rsidRPr="006743F1" w:rsidRDefault="00242D08" w:rsidP="006743F1">
      <w:pPr>
        <w:tabs>
          <w:tab w:val="left" w:pos="900"/>
        </w:tabs>
        <w:spacing w:line="240" w:lineRule="auto"/>
        <w:ind w:left="567" w:hanging="567"/>
        <w:rPr>
          <w:rFonts w:ascii="Times New Roman" w:hAnsi="Times New Roman"/>
        </w:rPr>
      </w:pPr>
      <w:r w:rsidRPr="006743F1">
        <w:rPr>
          <w:rFonts w:ascii="Times New Roman" w:hAnsi="Times New Roman"/>
        </w:rPr>
        <w:t>23.</w:t>
      </w:r>
      <w:r w:rsidRPr="006743F1">
        <w:rPr>
          <w:rFonts w:ascii="Times New Roman" w:hAnsi="Times New Roman"/>
        </w:rPr>
        <w:tab/>
        <w:t xml:space="preserve">If you go into the website of any of Canada’s large chartered banks (including The Royal Bank of Canada and Scotiabank) you will find that services are provided to three broad groups: individuals, small businesses, and corporations. The banks will typically provide a variety of banking, borrowing and investing, and insurance services to all three groups. Additional more sophisticated services, such as those pertaining to global banking services and industry solutions and international banking are provided to corporations and small businesses. </w:t>
      </w:r>
      <w:r w:rsidRPr="006743F1">
        <w:rPr>
          <w:rFonts w:ascii="Times New Roman" w:hAnsi="Times New Roman"/>
        </w:rPr>
        <w:br/>
      </w:r>
    </w:p>
    <w:p w14:paraId="60B5D7B0" w14:textId="0454B46A" w:rsidR="005D3177" w:rsidRDefault="00242D08" w:rsidP="0029308C">
      <w:pPr>
        <w:spacing w:line="240" w:lineRule="auto"/>
        <w:ind w:left="547" w:hanging="547"/>
        <w:rPr>
          <w:rFonts w:ascii="Times New Roman" w:hAnsi="Times New Roman"/>
        </w:rPr>
      </w:pPr>
      <w:proofErr w:type="gramStart"/>
      <w:r w:rsidRPr="006743F1">
        <w:rPr>
          <w:rFonts w:ascii="Times New Roman" w:hAnsi="Times New Roman"/>
        </w:rPr>
        <w:t>24</w:t>
      </w:r>
      <w:r w:rsidR="00A04E78">
        <w:rPr>
          <w:rFonts w:ascii="Times New Roman" w:hAnsi="Times New Roman"/>
        </w:rPr>
        <w:t xml:space="preserve">  Typically</w:t>
      </w:r>
      <w:proofErr w:type="gramEnd"/>
      <w:r w:rsidR="00A04E78">
        <w:rPr>
          <w:rFonts w:ascii="Times New Roman" w:hAnsi="Times New Roman"/>
        </w:rPr>
        <w:t>, m</w:t>
      </w:r>
      <w:r w:rsidR="00A04E78" w:rsidRPr="006743F1">
        <w:rPr>
          <w:rFonts w:ascii="Times New Roman" w:hAnsi="Times New Roman"/>
        </w:rPr>
        <w:t xml:space="preserve">ost of the information reported relates the performance of the fund.  The “standard” </w:t>
      </w:r>
      <w:r w:rsidR="00A04E78">
        <w:rPr>
          <w:rFonts w:ascii="Times New Roman" w:hAnsi="Times New Roman"/>
        </w:rPr>
        <w:t>r</w:t>
      </w:r>
      <w:r w:rsidR="00A04E78" w:rsidRPr="006743F1">
        <w:rPr>
          <w:rFonts w:ascii="Times New Roman" w:hAnsi="Times New Roman"/>
        </w:rPr>
        <w:t xml:space="preserve">eports </w:t>
      </w:r>
      <w:r w:rsidR="00A04E78">
        <w:rPr>
          <w:rFonts w:ascii="Times New Roman" w:hAnsi="Times New Roman"/>
        </w:rPr>
        <w:t xml:space="preserve">could be metrics such as </w:t>
      </w:r>
      <w:r w:rsidR="00A04E78" w:rsidRPr="006743F1">
        <w:rPr>
          <w:rFonts w:ascii="Times New Roman" w:hAnsi="Times New Roman"/>
        </w:rPr>
        <w:t xml:space="preserve">the price per unit, price change from previous data and rates of return.  </w:t>
      </w:r>
      <w:r w:rsidR="00A04E78">
        <w:rPr>
          <w:rFonts w:ascii="Times New Roman" w:hAnsi="Times New Roman"/>
        </w:rPr>
        <w:t xml:space="preserve">Also, </w:t>
      </w:r>
      <w:r w:rsidR="00A04E78" w:rsidRPr="006743F1">
        <w:rPr>
          <w:rFonts w:ascii="Times New Roman" w:hAnsi="Times New Roman"/>
        </w:rPr>
        <w:t>short-term</w:t>
      </w:r>
      <w:r w:rsidR="00A04E78">
        <w:rPr>
          <w:rFonts w:ascii="Times New Roman" w:hAnsi="Times New Roman"/>
        </w:rPr>
        <w:t xml:space="preserve"> information may provide</w:t>
      </w:r>
      <w:r w:rsidR="00A04E78" w:rsidRPr="006743F1">
        <w:rPr>
          <w:rFonts w:ascii="Times New Roman" w:hAnsi="Times New Roman"/>
        </w:rPr>
        <w:t xml:space="preserve"> the rates of return within the last 30 days </w:t>
      </w:r>
      <w:r w:rsidR="00A04E78">
        <w:rPr>
          <w:rFonts w:ascii="Times New Roman" w:hAnsi="Times New Roman"/>
        </w:rPr>
        <w:t>while “long-term”</w:t>
      </w:r>
      <w:r w:rsidR="00A04E78" w:rsidRPr="006743F1">
        <w:rPr>
          <w:rFonts w:ascii="Times New Roman" w:hAnsi="Times New Roman"/>
        </w:rPr>
        <w:t xml:space="preserve"> </w:t>
      </w:r>
      <w:r w:rsidR="00A04E78">
        <w:rPr>
          <w:rFonts w:ascii="Times New Roman" w:hAnsi="Times New Roman"/>
        </w:rPr>
        <w:t>may give</w:t>
      </w:r>
      <w:r w:rsidR="00A04E78" w:rsidRPr="006743F1">
        <w:rPr>
          <w:rFonts w:ascii="Times New Roman" w:hAnsi="Times New Roman"/>
        </w:rPr>
        <w:t xml:space="preserve"> the rates of return over 1 to 15 years.  The “annual” </w:t>
      </w:r>
      <w:r w:rsidR="00A04E78">
        <w:rPr>
          <w:rFonts w:ascii="Times New Roman" w:hAnsi="Times New Roman"/>
        </w:rPr>
        <w:t>metrics</w:t>
      </w:r>
      <w:r w:rsidR="00A04E78" w:rsidRPr="006743F1">
        <w:rPr>
          <w:rFonts w:ascii="Times New Roman" w:hAnsi="Times New Roman"/>
        </w:rPr>
        <w:t xml:space="preserve"> </w:t>
      </w:r>
      <w:r w:rsidR="00A04E78">
        <w:rPr>
          <w:rFonts w:ascii="Times New Roman" w:hAnsi="Times New Roman"/>
        </w:rPr>
        <w:t xml:space="preserve">provide </w:t>
      </w:r>
      <w:r w:rsidR="00A04E78" w:rsidRPr="006743F1">
        <w:rPr>
          <w:rFonts w:ascii="Times New Roman" w:hAnsi="Times New Roman"/>
        </w:rPr>
        <w:t xml:space="preserve">the one-year rate of return for each of the past </w:t>
      </w:r>
      <w:r w:rsidR="00A04E78">
        <w:rPr>
          <w:rFonts w:ascii="Times New Roman" w:hAnsi="Times New Roman"/>
        </w:rPr>
        <w:t xml:space="preserve">several </w:t>
      </w:r>
      <w:r w:rsidR="00A04E78" w:rsidRPr="006743F1">
        <w:rPr>
          <w:rFonts w:ascii="Times New Roman" w:hAnsi="Times New Roman"/>
        </w:rPr>
        <w:t>years. The “quartile ranking” and the “</w:t>
      </w:r>
      <w:r w:rsidR="00A04E78">
        <w:rPr>
          <w:rFonts w:ascii="Times New Roman" w:hAnsi="Times New Roman"/>
        </w:rPr>
        <w:t>5-</w:t>
      </w:r>
      <w:r w:rsidR="00A04E78" w:rsidRPr="006743F1">
        <w:rPr>
          <w:rFonts w:ascii="Times New Roman" w:hAnsi="Times New Roman"/>
        </w:rPr>
        <w:t xml:space="preserve">star </w:t>
      </w:r>
      <w:r w:rsidR="00A04E78">
        <w:rPr>
          <w:rFonts w:ascii="Times New Roman" w:hAnsi="Times New Roman"/>
        </w:rPr>
        <w:t>Ratings</w:t>
      </w:r>
      <w:r w:rsidR="00A04E78" w:rsidRPr="006743F1">
        <w:rPr>
          <w:rFonts w:ascii="Times New Roman" w:hAnsi="Times New Roman"/>
        </w:rPr>
        <w:t xml:space="preserve">” both </w:t>
      </w:r>
      <w:proofErr w:type="gramStart"/>
      <w:r w:rsidR="00A04E78" w:rsidRPr="006743F1">
        <w:rPr>
          <w:rFonts w:ascii="Times New Roman" w:hAnsi="Times New Roman"/>
        </w:rPr>
        <w:t>report</w:t>
      </w:r>
      <w:proofErr w:type="gramEnd"/>
      <w:r w:rsidR="00A04E78" w:rsidRPr="006743F1">
        <w:rPr>
          <w:rFonts w:ascii="Times New Roman" w:hAnsi="Times New Roman"/>
        </w:rPr>
        <w:t xml:space="preserve"> how the funds performed relative to each other for various periods.  For example, if the fund’s return was among the top 25% of funds in this category, its quartile ranking is 1.  The </w:t>
      </w:r>
      <w:proofErr w:type="gramStart"/>
      <w:r w:rsidR="00A04E78" w:rsidRPr="006743F1">
        <w:rPr>
          <w:rFonts w:ascii="Times New Roman" w:hAnsi="Times New Roman"/>
        </w:rPr>
        <w:t>five star</w:t>
      </w:r>
      <w:proofErr w:type="gramEnd"/>
      <w:r w:rsidR="00A04E78" w:rsidRPr="006743F1">
        <w:rPr>
          <w:rFonts w:ascii="Times New Roman" w:hAnsi="Times New Roman"/>
        </w:rPr>
        <w:t xml:space="preserve"> ranking is Globe Fund’s ranking of the fund.  Finally, </w:t>
      </w:r>
      <w:r w:rsidR="00A04E78">
        <w:rPr>
          <w:rFonts w:ascii="Times New Roman" w:hAnsi="Times New Roman"/>
        </w:rPr>
        <w:t>“</w:t>
      </w:r>
      <w:r w:rsidR="00A04E78" w:rsidRPr="006743F1">
        <w:rPr>
          <w:rFonts w:ascii="Times New Roman" w:hAnsi="Times New Roman"/>
        </w:rPr>
        <w:t xml:space="preserve">key facts” reports </w:t>
      </w:r>
      <w:r w:rsidR="00A04E78">
        <w:rPr>
          <w:rFonts w:ascii="Times New Roman" w:hAnsi="Times New Roman"/>
        </w:rPr>
        <w:t xml:space="preserve">provide </w:t>
      </w:r>
      <w:r w:rsidR="00A04E78" w:rsidRPr="006743F1">
        <w:rPr>
          <w:rFonts w:ascii="Times New Roman" w:hAnsi="Times New Roman"/>
        </w:rPr>
        <w:t>certain details about the funds, including the dollar amount of its assets, its MER, the load type (fees charged when the funds are bought or sold), the minimum dollar amount an investor can invest and whether the fund qualifies to be included in an investor’s registered retirement savings plan, RSP.</w:t>
      </w:r>
      <w:r w:rsidR="00A04E78">
        <w:rPr>
          <w:rFonts w:ascii="Times New Roman" w:hAnsi="Times New Roman"/>
        </w:rPr>
        <w:br/>
      </w:r>
    </w:p>
    <w:p w14:paraId="29878CBC" w14:textId="77777777" w:rsidR="00242D08" w:rsidRPr="006743F1" w:rsidRDefault="00242D08" w:rsidP="00225278">
      <w:pPr>
        <w:spacing w:line="240" w:lineRule="auto"/>
        <w:ind w:left="547" w:hanging="547"/>
        <w:rPr>
          <w:rFonts w:ascii="Times New Roman" w:hAnsi="Times New Roman"/>
        </w:rPr>
      </w:pPr>
      <w:r w:rsidRPr="006743F1">
        <w:rPr>
          <w:rFonts w:ascii="Times New Roman" w:hAnsi="Times New Roman"/>
        </w:rPr>
        <w:t xml:space="preserve">25.  </w:t>
      </w:r>
      <w:r>
        <w:rPr>
          <w:rFonts w:ascii="Times New Roman" w:hAnsi="Times New Roman"/>
        </w:rPr>
        <w:tab/>
        <w:t xml:space="preserve">We compare the iShares CDN </w:t>
      </w:r>
      <w:r w:rsidR="001B6144">
        <w:rPr>
          <w:rFonts w:ascii="Times New Roman" w:hAnsi="Times New Roman"/>
        </w:rPr>
        <w:t xml:space="preserve">Capped </w:t>
      </w:r>
      <w:r>
        <w:rPr>
          <w:rFonts w:ascii="Times New Roman" w:hAnsi="Times New Roman"/>
        </w:rPr>
        <w:t>Composite Index ETF with the RBC Canadian mutual fund:</w:t>
      </w:r>
      <w:r>
        <w:rPr>
          <w:rFonts w:ascii="Times New Roman" w:hAnsi="Times New Roman"/>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910"/>
        <w:gridCol w:w="836"/>
        <w:gridCol w:w="1501"/>
        <w:gridCol w:w="2348"/>
      </w:tblGrid>
      <w:tr w:rsidR="00242D08" w:rsidRPr="00E047F2" w14:paraId="303C0A58" w14:textId="77777777" w:rsidTr="00E047F2">
        <w:tc>
          <w:tcPr>
            <w:tcW w:w="2628" w:type="dxa"/>
          </w:tcPr>
          <w:p w14:paraId="502EC49D" w14:textId="77777777" w:rsidR="00242D08" w:rsidRPr="00E047F2" w:rsidRDefault="00242D08" w:rsidP="00E047F2">
            <w:pPr>
              <w:spacing w:line="240" w:lineRule="auto"/>
              <w:rPr>
                <w:rFonts w:ascii="Times New Roman" w:hAnsi="Times New Roman"/>
              </w:rPr>
            </w:pPr>
            <w:r w:rsidRPr="00E047F2">
              <w:rPr>
                <w:rFonts w:ascii="Times New Roman" w:hAnsi="Times New Roman"/>
              </w:rPr>
              <w:t>Fund Name</w:t>
            </w:r>
          </w:p>
        </w:tc>
        <w:tc>
          <w:tcPr>
            <w:tcW w:w="836" w:type="dxa"/>
          </w:tcPr>
          <w:p w14:paraId="2D399D58" w14:textId="77777777" w:rsidR="00242D08" w:rsidRPr="00E047F2" w:rsidRDefault="00242D08" w:rsidP="00E047F2">
            <w:pPr>
              <w:spacing w:line="240" w:lineRule="auto"/>
              <w:rPr>
                <w:rFonts w:ascii="Times New Roman" w:hAnsi="Times New Roman"/>
              </w:rPr>
            </w:pPr>
            <w:r w:rsidRPr="00E047F2">
              <w:rPr>
                <w:rFonts w:ascii="Times New Roman" w:hAnsi="Times New Roman"/>
              </w:rPr>
              <w:t>Fund Type</w:t>
            </w:r>
          </w:p>
        </w:tc>
        <w:tc>
          <w:tcPr>
            <w:tcW w:w="836" w:type="dxa"/>
          </w:tcPr>
          <w:p w14:paraId="1655F870" w14:textId="77777777" w:rsidR="00242D08" w:rsidRPr="00E047F2" w:rsidRDefault="00242D08" w:rsidP="00E047F2">
            <w:pPr>
              <w:spacing w:line="240" w:lineRule="auto"/>
              <w:rPr>
                <w:rFonts w:ascii="Times New Roman" w:hAnsi="Times New Roman"/>
              </w:rPr>
            </w:pPr>
            <w:r w:rsidRPr="00E047F2">
              <w:rPr>
                <w:rFonts w:ascii="Times New Roman" w:hAnsi="Times New Roman"/>
              </w:rPr>
              <w:t>MER</w:t>
            </w:r>
          </w:p>
        </w:tc>
        <w:tc>
          <w:tcPr>
            <w:tcW w:w="1501" w:type="dxa"/>
          </w:tcPr>
          <w:p w14:paraId="7B288E64" w14:textId="77777777" w:rsidR="00242D08" w:rsidRPr="00E047F2" w:rsidRDefault="00242D08" w:rsidP="00E047F2">
            <w:pPr>
              <w:spacing w:line="240" w:lineRule="auto"/>
              <w:rPr>
                <w:rFonts w:ascii="Times New Roman" w:hAnsi="Times New Roman"/>
              </w:rPr>
            </w:pPr>
            <w:r w:rsidRPr="00E047F2">
              <w:rPr>
                <w:rFonts w:ascii="Times New Roman" w:hAnsi="Times New Roman"/>
              </w:rPr>
              <w:t>One year rate of return</w:t>
            </w:r>
          </w:p>
        </w:tc>
        <w:tc>
          <w:tcPr>
            <w:tcW w:w="2348" w:type="dxa"/>
          </w:tcPr>
          <w:p w14:paraId="5DEB8AE3" w14:textId="77777777" w:rsidR="00242D08" w:rsidRPr="00E047F2" w:rsidRDefault="00242D08" w:rsidP="00E047F2">
            <w:pPr>
              <w:spacing w:line="240" w:lineRule="auto"/>
              <w:rPr>
                <w:rFonts w:ascii="Times New Roman" w:hAnsi="Times New Roman"/>
              </w:rPr>
            </w:pPr>
            <w:r w:rsidRPr="00E047F2">
              <w:rPr>
                <w:rFonts w:ascii="Times New Roman" w:hAnsi="Times New Roman"/>
              </w:rPr>
              <w:t>Benchmark Index</w:t>
            </w:r>
          </w:p>
        </w:tc>
      </w:tr>
      <w:tr w:rsidR="00242D08" w:rsidRPr="00E047F2" w14:paraId="3BDDD858" w14:textId="77777777" w:rsidTr="00E047F2">
        <w:tc>
          <w:tcPr>
            <w:tcW w:w="2628" w:type="dxa"/>
          </w:tcPr>
          <w:p w14:paraId="0A65B0AF" w14:textId="77777777" w:rsidR="00242D08" w:rsidRPr="002D1C6E" w:rsidRDefault="00E47259" w:rsidP="00E047F2">
            <w:pPr>
              <w:shd w:val="clear" w:color="auto" w:fill="FFFFFF"/>
              <w:spacing w:line="240" w:lineRule="auto"/>
              <w:rPr>
                <w:rFonts w:ascii="Times New Roman" w:hAnsi="Times New Roman"/>
                <w:szCs w:val="15"/>
              </w:rPr>
            </w:pPr>
            <w:r w:rsidRPr="00754364">
              <w:rPr>
                <w:szCs w:val="15"/>
              </w:rPr>
              <w:t>iShares™</w:t>
            </w:r>
            <w:r>
              <w:rPr>
                <w:szCs w:val="15"/>
              </w:rPr>
              <w:t xml:space="preserve"> S&amp;P /TSX 60 Index ETF</w:t>
            </w:r>
            <w:r w:rsidRPr="00754364" w:rsidDel="00ED2B6B">
              <w:rPr>
                <w:rFonts w:ascii="Times New Roman" w:hAnsi="Times New Roman"/>
                <w:szCs w:val="15"/>
              </w:rPr>
              <w:t xml:space="preserve"> </w:t>
            </w:r>
          </w:p>
        </w:tc>
        <w:tc>
          <w:tcPr>
            <w:tcW w:w="836" w:type="dxa"/>
          </w:tcPr>
          <w:p w14:paraId="7A37CD76" w14:textId="77777777" w:rsidR="00242D08" w:rsidRPr="002D1C6E" w:rsidRDefault="00242D08" w:rsidP="00E047F2">
            <w:pPr>
              <w:spacing w:line="240" w:lineRule="auto"/>
              <w:rPr>
                <w:rFonts w:ascii="Times New Roman" w:hAnsi="Times New Roman"/>
                <w:szCs w:val="15"/>
              </w:rPr>
            </w:pPr>
            <w:r w:rsidRPr="002D1C6E">
              <w:rPr>
                <w:rFonts w:ascii="Times New Roman" w:hAnsi="Times New Roman"/>
                <w:szCs w:val="15"/>
              </w:rPr>
              <w:t>ETF</w:t>
            </w:r>
          </w:p>
        </w:tc>
        <w:tc>
          <w:tcPr>
            <w:tcW w:w="836" w:type="dxa"/>
          </w:tcPr>
          <w:p w14:paraId="49D2284B" w14:textId="77777777" w:rsidR="00242D08" w:rsidRPr="002D1C6E" w:rsidRDefault="00E47259" w:rsidP="00E047F2">
            <w:pPr>
              <w:spacing w:line="240" w:lineRule="auto"/>
              <w:rPr>
                <w:rFonts w:ascii="Times New Roman" w:hAnsi="Times New Roman"/>
              </w:rPr>
            </w:pPr>
            <w:r w:rsidRPr="00754364">
              <w:rPr>
                <w:rFonts w:ascii="Times New Roman" w:hAnsi="Times New Roman"/>
                <w:szCs w:val="15"/>
              </w:rPr>
              <w:t>0.</w:t>
            </w:r>
            <w:r>
              <w:rPr>
                <w:rFonts w:ascii="Times New Roman" w:hAnsi="Times New Roman"/>
                <w:szCs w:val="15"/>
              </w:rPr>
              <w:t>18%</w:t>
            </w:r>
          </w:p>
        </w:tc>
        <w:tc>
          <w:tcPr>
            <w:tcW w:w="1501" w:type="dxa"/>
          </w:tcPr>
          <w:p w14:paraId="1E60ABFA" w14:textId="77777777" w:rsidR="00242D08" w:rsidRPr="002D1C6E" w:rsidRDefault="00E47259" w:rsidP="00E047F2">
            <w:pPr>
              <w:spacing w:line="240" w:lineRule="auto"/>
              <w:rPr>
                <w:rFonts w:ascii="Times New Roman" w:hAnsi="Times New Roman"/>
              </w:rPr>
            </w:pPr>
            <w:r>
              <w:rPr>
                <w:rFonts w:ascii="Times New Roman" w:hAnsi="Times New Roman"/>
              </w:rPr>
              <w:t>7.58</w:t>
            </w:r>
            <w:r w:rsidR="001B6144">
              <w:rPr>
                <w:rFonts w:ascii="Times New Roman" w:hAnsi="Times New Roman"/>
              </w:rPr>
              <w:t>%</w:t>
            </w:r>
          </w:p>
        </w:tc>
        <w:tc>
          <w:tcPr>
            <w:tcW w:w="2348" w:type="dxa"/>
          </w:tcPr>
          <w:p w14:paraId="7DB24A6B" w14:textId="77777777" w:rsidR="00242D08" w:rsidRPr="002D1C6E" w:rsidRDefault="00242D08" w:rsidP="00E047F2">
            <w:pPr>
              <w:spacing w:line="240" w:lineRule="auto"/>
              <w:rPr>
                <w:rFonts w:ascii="Times New Roman" w:hAnsi="Times New Roman"/>
              </w:rPr>
            </w:pPr>
            <w:r w:rsidRPr="002D1C6E">
              <w:rPr>
                <w:rFonts w:ascii="Times New Roman" w:hAnsi="Times New Roman"/>
                <w:szCs w:val="15"/>
              </w:rPr>
              <w:t>S&amp;P®/TSX® Capped Composite Index</w:t>
            </w:r>
          </w:p>
        </w:tc>
      </w:tr>
      <w:tr w:rsidR="00242D08" w:rsidRPr="00E047F2" w14:paraId="00F53459" w14:textId="77777777" w:rsidTr="00E047F2">
        <w:tc>
          <w:tcPr>
            <w:tcW w:w="2628" w:type="dxa"/>
          </w:tcPr>
          <w:p w14:paraId="48C169FB" w14:textId="77777777" w:rsidR="00242D08" w:rsidRPr="00E047F2" w:rsidRDefault="00242D08" w:rsidP="00E047F2">
            <w:pPr>
              <w:spacing w:line="240" w:lineRule="auto"/>
              <w:rPr>
                <w:rFonts w:ascii="Times New Roman" w:hAnsi="Times New Roman"/>
              </w:rPr>
            </w:pPr>
            <w:r w:rsidRPr="00E047F2">
              <w:rPr>
                <w:rFonts w:ascii="Times New Roman" w:hAnsi="Times New Roman"/>
                <w:lang w:val="en-CA"/>
              </w:rPr>
              <w:t>RBC Canadian Index</w:t>
            </w:r>
          </w:p>
        </w:tc>
        <w:tc>
          <w:tcPr>
            <w:tcW w:w="836" w:type="dxa"/>
          </w:tcPr>
          <w:p w14:paraId="3F0B9CFF" w14:textId="77777777" w:rsidR="00242D08" w:rsidRPr="00E047F2" w:rsidRDefault="00242D08" w:rsidP="00E047F2">
            <w:pPr>
              <w:spacing w:line="240" w:lineRule="auto"/>
              <w:rPr>
                <w:rFonts w:ascii="Times New Roman" w:hAnsi="Times New Roman"/>
                <w:lang w:val="en-CA"/>
              </w:rPr>
            </w:pPr>
            <w:r w:rsidRPr="00E047F2">
              <w:rPr>
                <w:rFonts w:ascii="Times New Roman" w:hAnsi="Times New Roman"/>
                <w:lang w:val="en-CA"/>
              </w:rPr>
              <w:t>Mutual</w:t>
            </w:r>
          </w:p>
        </w:tc>
        <w:tc>
          <w:tcPr>
            <w:tcW w:w="836" w:type="dxa"/>
          </w:tcPr>
          <w:p w14:paraId="3B92C22C" w14:textId="77777777" w:rsidR="00242D08" w:rsidRPr="00E047F2" w:rsidRDefault="00E47259" w:rsidP="0036472A">
            <w:pPr>
              <w:spacing w:line="240" w:lineRule="auto"/>
              <w:rPr>
                <w:rFonts w:ascii="Times New Roman" w:hAnsi="Times New Roman"/>
              </w:rPr>
            </w:pPr>
            <w:r>
              <w:rPr>
                <w:rFonts w:ascii="Times New Roman" w:hAnsi="Times New Roman"/>
                <w:lang w:val="en-CA"/>
              </w:rPr>
              <w:t>0.69</w:t>
            </w:r>
            <w:r w:rsidR="00242D08" w:rsidRPr="00E047F2">
              <w:rPr>
                <w:rFonts w:ascii="Times New Roman" w:hAnsi="Times New Roman"/>
                <w:lang w:val="en-CA"/>
              </w:rPr>
              <w:t>%</w:t>
            </w:r>
          </w:p>
        </w:tc>
        <w:tc>
          <w:tcPr>
            <w:tcW w:w="1501" w:type="dxa"/>
          </w:tcPr>
          <w:p w14:paraId="082FDC2B" w14:textId="77777777" w:rsidR="00242D08" w:rsidRPr="00E047F2" w:rsidRDefault="00E47259" w:rsidP="00153639">
            <w:pPr>
              <w:pStyle w:val="Heading4"/>
              <w:spacing w:before="0" w:beforeAutospacing="0" w:after="0" w:afterAutospacing="0"/>
              <w:rPr>
                <w:b w:val="0"/>
                <w:lang w:val="en-CA"/>
              </w:rPr>
            </w:pPr>
            <w:r>
              <w:rPr>
                <w:rStyle w:val="detail"/>
                <w:b w:val="0"/>
                <w:lang w:val="en-CA"/>
              </w:rPr>
              <w:t>12.28</w:t>
            </w:r>
            <w:r w:rsidR="00242D08" w:rsidRPr="00E047F2">
              <w:rPr>
                <w:rStyle w:val="detail"/>
                <w:b w:val="0"/>
                <w:lang w:val="en-CA"/>
              </w:rPr>
              <w:t>%</w:t>
            </w:r>
          </w:p>
          <w:p w14:paraId="2F1E0A5B" w14:textId="77777777" w:rsidR="00242D08" w:rsidRPr="00E047F2" w:rsidRDefault="00242D08" w:rsidP="00E047F2">
            <w:pPr>
              <w:spacing w:line="240" w:lineRule="auto"/>
              <w:rPr>
                <w:rFonts w:ascii="Times New Roman" w:hAnsi="Times New Roman"/>
              </w:rPr>
            </w:pPr>
          </w:p>
        </w:tc>
        <w:tc>
          <w:tcPr>
            <w:tcW w:w="2348" w:type="dxa"/>
          </w:tcPr>
          <w:p w14:paraId="2E800965" w14:textId="77777777" w:rsidR="00242D08" w:rsidRPr="00E047F2" w:rsidRDefault="00911BE2" w:rsidP="00E047F2">
            <w:pPr>
              <w:spacing w:line="240" w:lineRule="auto"/>
              <w:rPr>
                <w:rFonts w:ascii="Times New Roman" w:hAnsi="Times New Roman"/>
              </w:rPr>
            </w:pPr>
            <w:r w:rsidRPr="002D1C6E">
              <w:rPr>
                <w:rFonts w:ascii="Times New Roman" w:hAnsi="Times New Roman"/>
                <w:szCs w:val="15"/>
              </w:rPr>
              <w:t>S&amp;P®/TSX® Capped Composite Index</w:t>
            </w:r>
          </w:p>
        </w:tc>
      </w:tr>
    </w:tbl>
    <w:p w14:paraId="59E5E6D7" w14:textId="77777777" w:rsidR="00242D08" w:rsidRDefault="00242D08" w:rsidP="006743F1">
      <w:pPr>
        <w:shd w:val="clear" w:color="auto" w:fill="FFFFFF"/>
        <w:spacing w:line="240" w:lineRule="auto"/>
        <w:rPr>
          <w:rFonts w:ascii="Times New Roman" w:hAnsi="Times New Roman"/>
          <w:color w:val="666676"/>
          <w:szCs w:val="15"/>
        </w:rPr>
      </w:pPr>
    </w:p>
    <w:p w14:paraId="63D59BE6" w14:textId="790B5198" w:rsidR="00242D08" w:rsidRDefault="00242D08" w:rsidP="006743F1">
      <w:pPr>
        <w:shd w:val="clear" w:color="auto" w:fill="FFFFFF"/>
        <w:spacing w:line="240" w:lineRule="auto"/>
        <w:rPr>
          <w:rFonts w:ascii="Times New Roman" w:hAnsi="Times New Roman"/>
          <w:szCs w:val="15"/>
        </w:rPr>
      </w:pPr>
      <w:r>
        <w:rPr>
          <w:rFonts w:ascii="Times New Roman" w:hAnsi="Times New Roman"/>
          <w:szCs w:val="15"/>
        </w:rPr>
        <w:t>Note the higher MER for the mutual fund than the E</w:t>
      </w:r>
      <w:r w:rsidR="00911BE2">
        <w:rPr>
          <w:rFonts w:ascii="Times New Roman" w:hAnsi="Times New Roman"/>
          <w:szCs w:val="15"/>
        </w:rPr>
        <w:t>TF</w:t>
      </w:r>
      <w:r>
        <w:rPr>
          <w:rFonts w:ascii="Times New Roman" w:hAnsi="Times New Roman"/>
          <w:szCs w:val="15"/>
        </w:rPr>
        <w:t xml:space="preserve">: </w:t>
      </w:r>
      <w:r w:rsidR="00911BE2">
        <w:rPr>
          <w:rFonts w:ascii="Times New Roman" w:hAnsi="Times New Roman"/>
          <w:szCs w:val="15"/>
        </w:rPr>
        <w:t>2.06</w:t>
      </w:r>
      <w:r>
        <w:rPr>
          <w:rFonts w:ascii="Times New Roman" w:hAnsi="Times New Roman"/>
          <w:szCs w:val="15"/>
        </w:rPr>
        <w:t>% versus 0.</w:t>
      </w:r>
      <w:r w:rsidR="00911BE2">
        <w:rPr>
          <w:rFonts w:ascii="Times New Roman" w:hAnsi="Times New Roman"/>
          <w:szCs w:val="15"/>
        </w:rPr>
        <w:t>05</w:t>
      </w:r>
      <w:r>
        <w:rPr>
          <w:rFonts w:ascii="Times New Roman" w:hAnsi="Times New Roman"/>
          <w:szCs w:val="15"/>
        </w:rPr>
        <w:t xml:space="preserve">%.  </w:t>
      </w:r>
      <w:r w:rsidR="00911BE2">
        <w:rPr>
          <w:rFonts w:ascii="Times New Roman" w:hAnsi="Times New Roman"/>
          <w:szCs w:val="15"/>
        </w:rPr>
        <w:t xml:space="preserve">The rates of return differ </w:t>
      </w:r>
      <w:proofErr w:type="gramStart"/>
      <w:r w:rsidR="00911BE2">
        <w:rPr>
          <w:rFonts w:ascii="Times New Roman" w:hAnsi="Times New Roman"/>
          <w:szCs w:val="15"/>
        </w:rPr>
        <w:t>substantially, but</w:t>
      </w:r>
      <w:proofErr w:type="gramEnd"/>
      <w:r w:rsidR="00911BE2">
        <w:rPr>
          <w:rFonts w:ascii="Times New Roman" w:hAnsi="Times New Roman"/>
          <w:szCs w:val="15"/>
        </w:rPr>
        <w:t xml:space="preserve"> were taken at different dates.</w:t>
      </w:r>
    </w:p>
    <w:p w14:paraId="4246376B" w14:textId="1AC8DFD0" w:rsidR="00A04E78" w:rsidRDefault="00A04E78" w:rsidP="006743F1">
      <w:pPr>
        <w:shd w:val="clear" w:color="auto" w:fill="FFFFFF"/>
        <w:spacing w:line="240" w:lineRule="auto"/>
        <w:rPr>
          <w:rFonts w:ascii="Times New Roman" w:hAnsi="Times New Roman"/>
          <w:szCs w:val="15"/>
        </w:rPr>
      </w:pPr>
    </w:p>
    <w:p w14:paraId="273EDD2B" w14:textId="3140B2FA" w:rsidR="00A04E78" w:rsidRPr="00153639" w:rsidRDefault="00A04E78" w:rsidP="006743F1">
      <w:pPr>
        <w:shd w:val="clear" w:color="auto" w:fill="FFFFFF"/>
        <w:spacing w:line="240" w:lineRule="auto"/>
        <w:rPr>
          <w:rFonts w:ascii="Times New Roman" w:hAnsi="Times New Roman"/>
          <w:szCs w:val="15"/>
        </w:rPr>
      </w:pPr>
      <w:r>
        <w:rPr>
          <w:rFonts w:ascii="Times New Roman" w:hAnsi="Times New Roman"/>
          <w:szCs w:val="15"/>
        </w:rPr>
        <w:t>As an example, the information below is for 2014.</w:t>
      </w:r>
    </w:p>
    <w:p w14:paraId="14CAAB09" w14:textId="77777777" w:rsidR="00242D08" w:rsidRPr="002D1C6E" w:rsidRDefault="00242D08" w:rsidP="006743F1">
      <w:pPr>
        <w:shd w:val="clear" w:color="auto" w:fill="FFFFFF"/>
        <w:spacing w:line="240" w:lineRule="auto"/>
        <w:rPr>
          <w:rFonts w:ascii="Times New Roman" w:hAnsi="Times New Roman"/>
          <w:szCs w:val="10"/>
        </w:rPr>
      </w:pPr>
      <w:r w:rsidRPr="006743F1">
        <w:rPr>
          <w:rFonts w:ascii="Times New Roman" w:hAnsi="Times New Roman"/>
        </w:rPr>
        <w:tab/>
      </w:r>
      <w:r w:rsidRPr="002D1C6E">
        <w:rPr>
          <w:rStyle w:val="plain1"/>
          <w:rFonts w:ascii="Times New Roman" w:hAnsi="Times New Roman"/>
          <w:szCs w:val="10"/>
        </w:rPr>
        <w:t xml:space="preserve"> </w:t>
      </w:r>
    </w:p>
    <w:tbl>
      <w:tblPr>
        <w:tblW w:w="10395" w:type="dxa"/>
        <w:tblCellSpacing w:w="15" w:type="dxa"/>
        <w:tblInd w:w="-90" w:type="dxa"/>
        <w:tblCellMar>
          <w:top w:w="15" w:type="dxa"/>
          <w:left w:w="15" w:type="dxa"/>
          <w:bottom w:w="15" w:type="dxa"/>
          <w:right w:w="15" w:type="dxa"/>
        </w:tblCellMar>
        <w:tblLook w:val="0000" w:firstRow="0" w:lastRow="0" w:firstColumn="0" w:lastColumn="0" w:noHBand="0" w:noVBand="0"/>
      </w:tblPr>
      <w:tblGrid>
        <w:gridCol w:w="1845"/>
        <w:gridCol w:w="3690"/>
        <w:gridCol w:w="1620"/>
        <w:gridCol w:w="3240"/>
      </w:tblGrid>
      <w:tr w:rsidR="00242D08" w:rsidRPr="00E47259" w14:paraId="4F04C25D" w14:textId="77777777" w:rsidTr="00F3555F">
        <w:trPr>
          <w:tblCellSpacing w:w="15" w:type="dxa"/>
        </w:trPr>
        <w:tc>
          <w:tcPr>
            <w:tcW w:w="5490" w:type="dxa"/>
            <w:gridSpan w:val="2"/>
            <w:vAlign w:val="center"/>
          </w:tcPr>
          <w:p w14:paraId="3E104200" w14:textId="77777777" w:rsidR="00242D08" w:rsidRPr="00F3555F" w:rsidRDefault="00242D08" w:rsidP="00153639">
            <w:pPr>
              <w:spacing w:line="240" w:lineRule="auto"/>
              <w:jc w:val="center"/>
              <w:rPr>
                <w:rFonts w:ascii="Times New Roman" w:hAnsi="Times New Roman"/>
                <w:b/>
                <w:szCs w:val="10"/>
              </w:rPr>
            </w:pPr>
            <w:r w:rsidRPr="00F3555F">
              <w:rPr>
                <w:rFonts w:ascii="Times New Roman" w:hAnsi="Times New Roman"/>
                <w:b/>
              </w:rPr>
              <w:t>iShares CDN Composite Index ETF</w:t>
            </w:r>
          </w:p>
        </w:tc>
        <w:tc>
          <w:tcPr>
            <w:tcW w:w="4815" w:type="dxa"/>
            <w:gridSpan w:val="2"/>
            <w:vAlign w:val="center"/>
          </w:tcPr>
          <w:p w14:paraId="10C0C9A7" w14:textId="77777777" w:rsidR="00242D08" w:rsidRPr="00F3555F" w:rsidRDefault="00242D08" w:rsidP="00225278">
            <w:pPr>
              <w:pStyle w:val="Heading4"/>
              <w:spacing w:before="0" w:beforeAutospacing="0" w:after="0" w:afterAutospacing="0"/>
              <w:ind w:firstLine="475"/>
              <w:rPr>
                <w:rFonts w:cs="Arial"/>
                <w:bCs w:val="0"/>
              </w:rPr>
            </w:pPr>
            <w:r w:rsidRPr="00F3555F">
              <w:t>RBC Canadian mutual fund</w:t>
            </w:r>
            <w:r w:rsidRPr="00F3555F">
              <w:br/>
            </w:r>
          </w:p>
        </w:tc>
      </w:tr>
      <w:tr w:rsidR="00242D08" w:rsidRPr="00E47259" w14:paraId="18406BC6" w14:textId="77777777" w:rsidTr="00F3555F">
        <w:trPr>
          <w:tblCellSpacing w:w="15" w:type="dxa"/>
        </w:trPr>
        <w:tc>
          <w:tcPr>
            <w:tcW w:w="5490" w:type="dxa"/>
            <w:gridSpan w:val="2"/>
            <w:vAlign w:val="center"/>
          </w:tcPr>
          <w:p w14:paraId="04A15A8E" w14:textId="77777777" w:rsidR="00242D08" w:rsidRPr="00F3555F" w:rsidRDefault="00242D08" w:rsidP="000248D9">
            <w:pPr>
              <w:spacing w:line="240" w:lineRule="auto"/>
              <w:rPr>
                <w:rFonts w:ascii="Times New Roman" w:hAnsi="Times New Roman"/>
                <w:szCs w:val="10"/>
              </w:rPr>
            </w:pPr>
            <w:r w:rsidRPr="00F3555F">
              <w:rPr>
                <w:rFonts w:ascii="Times New Roman" w:hAnsi="Times New Roman"/>
                <w:szCs w:val="10"/>
              </w:rPr>
              <w:t xml:space="preserve">Top Holdings </w:t>
            </w:r>
            <w:r w:rsidRPr="00F3555F">
              <w:rPr>
                <w:rStyle w:val="plain1"/>
                <w:rFonts w:ascii="Times New Roman" w:hAnsi="Times New Roman"/>
                <w:szCs w:val="10"/>
              </w:rPr>
              <w:t xml:space="preserve">as of </w:t>
            </w:r>
            <w:r w:rsidR="001B6144" w:rsidRPr="00F3555F">
              <w:rPr>
                <w:rStyle w:val="plain1"/>
                <w:rFonts w:ascii="Times New Roman" w:hAnsi="Times New Roman"/>
                <w:szCs w:val="10"/>
              </w:rPr>
              <w:t>S</w:t>
            </w:r>
            <w:r w:rsidR="00911BE2" w:rsidRPr="00F3555F">
              <w:rPr>
                <w:rStyle w:val="plain1"/>
                <w:rFonts w:ascii="Times New Roman" w:hAnsi="Times New Roman"/>
                <w:szCs w:val="10"/>
              </w:rPr>
              <w:t>eptember 30, 2014</w:t>
            </w:r>
          </w:p>
        </w:tc>
        <w:tc>
          <w:tcPr>
            <w:tcW w:w="4815" w:type="dxa"/>
            <w:gridSpan w:val="2"/>
            <w:vAlign w:val="center"/>
          </w:tcPr>
          <w:p w14:paraId="3D1BBB39" w14:textId="77777777" w:rsidR="00242D08" w:rsidRPr="00F3555F" w:rsidRDefault="00242D08" w:rsidP="0036472A">
            <w:pPr>
              <w:pStyle w:val="Heading4"/>
              <w:spacing w:before="0" w:beforeAutospacing="0" w:after="0" w:afterAutospacing="0"/>
              <w:rPr>
                <w:b w:val="0"/>
                <w:lang w:val="en-CA"/>
              </w:rPr>
            </w:pPr>
            <w:r w:rsidRPr="00F3555F">
              <w:rPr>
                <w:b w:val="0"/>
                <w:lang w:val="en-CA"/>
              </w:rPr>
              <w:t xml:space="preserve">Top Holdings </w:t>
            </w:r>
            <w:r w:rsidRPr="00F3555F">
              <w:rPr>
                <w:rStyle w:val="detail"/>
                <w:b w:val="0"/>
                <w:lang w:val="en-CA"/>
              </w:rPr>
              <w:t>as at April 30, 201</w:t>
            </w:r>
            <w:r w:rsidR="00F04E3A" w:rsidRPr="00F3555F">
              <w:rPr>
                <w:rStyle w:val="detail"/>
                <w:b w:val="0"/>
                <w:lang w:val="en-CA"/>
              </w:rPr>
              <w:t>4</w:t>
            </w:r>
          </w:p>
          <w:p w14:paraId="6BEA580A" w14:textId="77777777" w:rsidR="00242D08" w:rsidRPr="00F3555F" w:rsidRDefault="00242D08" w:rsidP="006743F1">
            <w:pPr>
              <w:spacing w:line="240" w:lineRule="auto"/>
              <w:rPr>
                <w:rFonts w:ascii="Times New Roman" w:hAnsi="Times New Roman" w:cs="Arial"/>
                <w:bCs/>
              </w:rPr>
            </w:pPr>
          </w:p>
        </w:tc>
      </w:tr>
      <w:tr w:rsidR="00242D08" w:rsidRPr="00E47259" w14:paraId="53FE7CB4" w14:textId="77777777" w:rsidTr="00F3555F">
        <w:trPr>
          <w:tblCellSpacing w:w="15" w:type="dxa"/>
        </w:trPr>
        <w:tc>
          <w:tcPr>
            <w:tcW w:w="1800" w:type="dxa"/>
            <w:vAlign w:val="center"/>
          </w:tcPr>
          <w:p w14:paraId="7A735362" w14:textId="77777777" w:rsidR="00242D08" w:rsidRPr="00F3555F" w:rsidRDefault="00242D08" w:rsidP="006743F1">
            <w:pPr>
              <w:spacing w:line="240" w:lineRule="auto"/>
              <w:rPr>
                <w:rFonts w:ascii="Times New Roman" w:hAnsi="Times New Roman"/>
                <w:szCs w:val="10"/>
              </w:rPr>
            </w:pPr>
            <w:r w:rsidRPr="00F3555F">
              <w:rPr>
                <w:rFonts w:ascii="Times New Roman" w:hAnsi="Times New Roman"/>
                <w:szCs w:val="10"/>
              </w:rPr>
              <w:t>% of funds</w:t>
            </w:r>
          </w:p>
        </w:tc>
        <w:tc>
          <w:tcPr>
            <w:tcW w:w="3660" w:type="dxa"/>
            <w:vAlign w:val="center"/>
          </w:tcPr>
          <w:p w14:paraId="3552C93E" w14:textId="77777777" w:rsidR="00242D08" w:rsidRPr="00F3555F" w:rsidRDefault="00242D08" w:rsidP="006743F1">
            <w:pPr>
              <w:spacing w:line="240" w:lineRule="auto"/>
              <w:rPr>
                <w:rFonts w:ascii="Times New Roman" w:hAnsi="Times New Roman"/>
                <w:szCs w:val="10"/>
              </w:rPr>
            </w:pPr>
            <w:r w:rsidRPr="00F3555F">
              <w:rPr>
                <w:rFonts w:ascii="Times New Roman" w:hAnsi="Times New Roman"/>
                <w:szCs w:val="10"/>
              </w:rPr>
              <w:t>Stock</w:t>
            </w:r>
          </w:p>
        </w:tc>
        <w:tc>
          <w:tcPr>
            <w:tcW w:w="1590" w:type="dxa"/>
            <w:vAlign w:val="center"/>
          </w:tcPr>
          <w:p w14:paraId="43FF2611" w14:textId="77777777" w:rsidR="00242D08" w:rsidRPr="00F3555F" w:rsidRDefault="00242D08" w:rsidP="006743F1">
            <w:pPr>
              <w:spacing w:line="240" w:lineRule="auto"/>
              <w:rPr>
                <w:rFonts w:ascii="Times New Roman" w:hAnsi="Times New Roman"/>
                <w:szCs w:val="10"/>
              </w:rPr>
            </w:pPr>
            <w:r w:rsidRPr="00F3555F">
              <w:rPr>
                <w:rFonts w:ascii="Times New Roman" w:hAnsi="Times New Roman"/>
                <w:szCs w:val="10"/>
              </w:rPr>
              <w:t>% of funds</w:t>
            </w:r>
          </w:p>
        </w:tc>
        <w:tc>
          <w:tcPr>
            <w:tcW w:w="3195" w:type="dxa"/>
            <w:vAlign w:val="bottom"/>
          </w:tcPr>
          <w:p w14:paraId="2E642C26" w14:textId="77777777" w:rsidR="00242D08" w:rsidRPr="00F3555F" w:rsidRDefault="00242D08" w:rsidP="006743F1">
            <w:pPr>
              <w:spacing w:line="240" w:lineRule="auto"/>
              <w:rPr>
                <w:rFonts w:ascii="Times New Roman" w:hAnsi="Times New Roman"/>
                <w:szCs w:val="10"/>
              </w:rPr>
            </w:pPr>
            <w:r w:rsidRPr="00F3555F">
              <w:rPr>
                <w:rFonts w:ascii="Times New Roman" w:hAnsi="Times New Roman" w:cs="Arial"/>
                <w:bCs/>
              </w:rPr>
              <w:t>Stock</w:t>
            </w:r>
          </w:p>
        </w:tc>
      </w:tr>
      <w:tr w:rsidR="00242D08" w:rsidRPr="00F3555F" w14:paraId="58708C7E" w14:textId="77777777" w:rsidTr="00F3555F">
        <w:trPr>
          <w:tblCellSpacing w:w="15" w:type="dxa"/>
        </w:trPr>
        <w:tc>
          <w:tcPr>
            <w:tcW w:w="1800" w:type="dxa"/>
            <w:vAlign w:val="center"/>
          </w:tcPr>
          <w:p w14:paraId="6502E97E" w14:textId="77777777" w:rsidR="00242D08" w:rsidRPr="00F3555F" w:rsidRDefault="00911BE2" w:rsidP="006743F1">
            <w:pPr>
              <w:spacing w:line="240" w:lineRule="auto"/>
              <w:rPr>
                <w:rFonts w:ascii="Times New Roman" w:hAnsi="Times New Roman"/>
                <w:szCs w:val="10"/>
              </w:rPr>
            </w:pPr>
            <w:r w:rsidRPr="00F3555F">
              <w:rPr>
                <w:rFonts w:ascii="Times New Roman" w:hAnsi="Times New Roman"/>
                <w:szCs w:val="10"/>
              </w:rPr>
              <w:t>6.19</w:t>
            </w:r>
            <w:r w:rsidR="00242D08" w:rsidRPr="00F3555F">
              <w:rPr>
                <w:rFonts w:ascii="Times New Roman" w:hAnsi="Times New Roman"/>
                <w:szCs w:val="10"/>
              </w:rPr>
              <w:t xml:space="preserve">% </w:t>
            </w:r>
          </w:p>
        </w:tc>
        <w:tc>
          <w:tcPr>
            <w:tcW w:w="3660" w:type="dxa"/>
            <w:vAlign w:val="center"/>
          </w:tcPr>
          <w:p w14:paraId="3BC47A63" w14:textId="77777777" w:rsidR="00242D08" w:rsidRPr="00F3555F" w:rsidRDefault="00242D08" w:rsidP="006743F1">
            <w:pPr>
              <w:spacing w:line="240" w:lineRule="auto"/>
              <w:rPr>
                <w:rFonts w:ascii="Times New Roman" w:hAnsi="Times New Roman"/>
                <w:szCs w:val="10"/>
              </w:rPr>
            </w:pPr>
            <w:r w:rsidRPr="00F3555F">
              <w:rPr>
                <w:rFonts w:ascii="Times New Roman" w:hAnsi="Times New Roman"/>
                <w:szCs w:val="10"/>
              </w:rPr>
              <w:t xml:space="preserve">ROYAL BANK OF CANADA </w:t>
            </w:r>
          </w:p>
        </w:tc>
        <w:tc>
          <w:tcPr>
            <w:tcW w:w="1590" w:type="dxa"/>
            <w:vAlign w:val="bottom"/>
          </w:tcPr>
          <w:p w14:paraId="7B980C37" w14:textId="77777777" w:rsidR="00242D08" w:rsidRPr="00F3555F" w:rsidRDefault="00F04E3A" w:rsidP="006743F1">
            <w:pPr>
              <w:spacing w:line="240" w:lineRule="auto"/>
              <w:rPr>
                <w:rFonts w:ascii="Times New Roman" w:hAnsi="Times New Roman"/>
                <w:szCs w:val="10"/>
              </w:rPr>
            </w:pPr>
            <w:r w:rsidRPr="00F3555F">
              <w:rPr>
                <w:rFonts w:ascii="Times New Roman" w:hAnsi="Times New Roman" w:cs="Arial"/>
              </w:rPr>
              <w:t>7.70</w:t>
            </w:r>
            <w:r w:rsidR="00901831" w:rsidRPr="00F3555F">
              <w:rPr>
                <w:rFonts w:ascii="Times New Roman" w:hAnsi="Times New Roman" w:cs="Arial"/>
              </w:rPr>
              <w:t>%</w:t>
            </w:r>
          </w:p>
        </w:tc>
        <w:tc>
          <w:tcPr>
            <w:tcW w:w="3195" w:type="dxa"/>
            <w:vAlign w:val="center"/>
          </w:tcPr>
          <w:p w14:paraId="13199B89" w14:textId="77777777" w:rsidR="00242D08" w:rsidRPr="00F3555F" w:rsidRDefault="00F04E3A" w:rsidP="0036472A">
            <w:pPr>
              <w:spacing w:line="240" w:lineRule="auto"/>
              <w:rPr>
                <w:rFonts w:ascii="Times New Roman" w:hAnsi="Times New Roman"/>
                <w:szCs w:val="10"/>
              </w:rPr>
            </w:pPr>
            <w:r w:rsidRPr="00F3555F">
              <w:rPr>
                <w:rFonts w:ascii="Times New Roman" w:hAnsi="Times New Roman" w:cs="Arial"/>
              </w:rPr>
              <w:t>RBC CDN Small &amp; Mid-Cap Resources Fund</w:t>
            </w:r>
          </w:p>
        </w:tc>
      </w:tr>
      <w:tr w:rsidR="00242D08" w:rsidRPr="00F3555F" w14:paraId="4326766A" w14:textId="77777777" w:rsidTr="00F3555F">
        <w:trPr>
          <w:tblCellSpacing w:w="15" w:type="dxa"/>
        </w:trPr>
        <w:tc>
          <w:tcPr>
            <w:tcW w:w="1800" w:type="dxa"/>
            <w:vAlign w:val="center"/>
          </w:tcPr>
          <w:p w14:paraId="70CAA0AD" w14:textId="77777777" w:rsidR="00242D08" w:rsidRPr="00F3555F" w:rsidRDefault="00911BE2" w:rsidP="006743F1">
            <w:pPr>
              <w:spacing w:line="240" w:lineRule="auto"/>
              <w:rPr>
                <w:rFonts w:ascii="Times New Roman" w:hAnsi="Times New Roman"/>
                <w:szCs w:val="10"/>
              </w:rPr>
            </w:pPr>
            <w:r w:rsidRPr="00F3555F">
              <w:rPr>
                <w:rFonts w:ascii="Times New Roman" w:hAnsi="Times New Roman"/>
                <w:szCs w:val="10"/>
              </w:rPr>
              <w:t>5.47</w:t>
            </w:r>
            <w:r w:rsidR="00242D08" w:rsidRPr="00F3555F">
              <w:rPr>
                <w:rFonts w:ascii="Times New Roman" w:hAnsi="Times New Roman"/>
                <w:szCs w:val="10"/>
              </w:rPr>
              <w:t xml:space="preserve">% </w:t>
            </w:r>
          </w:p>
        </w:tc>
        <w:tc>
          <w:tcPr>
            <w:tcW w:w="3660" w:type="dxa"/>
            <w:vAlign w:val="center"/>
          </w:tcPr>
          <w:p w14:paraId="2883040F" w14:textId="77777777" w:rsidR="00242D08" w:rsidRPr="00F3555F" w:rsidRDefault="00242D08" w:rsidP="006743F1">
            <w:pPr>
              <w:spacing w:line="240" w:lineRule="auto"/>
              <w:rPr>
                <w:rFonts w:ascii="Times New Roman" w:hAnsi="Times New Roman"/>
                <w:szCs w:val="10"/>
              </w:rPr>
            </w:pPr>
            <w:r w:rsidRPr="00F3555F">
              <w:rPr>
                <w:rFonts w:ascii="Times New Roman" w:hAnsi="Times New Roman"/>
                <w:szCs w:val="10"/>
              </w:rPr>
              <w:t>TORONTO-DOMINION BANK</w:t>
            </w:r>
          </w:p>
        </w:tc>
        <w:tc>
          <w:tcPr>
            <w:tcW w:w="1590" w:type="dxa"/>
            <w:vAlign w:val="bottom"/>
          </w:tcPr>
          <w:p w14:paraId="453F8CFD" w14:textId="77777777" w:rsidR="00242D08" w:rsidRPr="00F3555F" w:rsidRDefault="00F04E3A" w:rsidP="006743F1">
            <w:pPr>
              <w:spacing w:line="240" w:lineRule="auto"/>
              <w:rPr>
                <w:rFonts w:ascii="Times New Roman" w:hAnsi="Times New Roman"/>
                <w:szCs w:val="10"/>
              </w:rPr>
            </w:pPr>
            <w:r w:rsidRPr="00F3555F">
              <w:rPr>
                <w:rFonts w:ascii="Times New Roman" w:hAnsi="Times New Roman" w:cs="Arial"/>
              </w:rPr>
              <w:t>6.00</w:t>
            </w:r>
            <w:r w:rsidR="00901831" w:rsidRPr="00F3555F">
              <w:rPr>
                <w:rFonts w:ascii="Times New Roman" w:hAnsi="Times New Roman" w:cs="Arial"/>
              </w:rPr>
              <w:t>%</w:t>
            </w:r>
          </w:p>
        </w:tc>
        <w:tc>
          <w:tcPr>
            <w:tcW w:w="3195" w:type="dxa"/>
            <w:vAlign w:val="center"/>
          </w:tcPr>
          <w:p w14:paraId="3210A213" w14:textId="77777777" w:rsidR="00242D08" w:rsidRPr="00F3555F" w:rsidRDefault="00F04E3A" w:rsidP="0036472A">
            <w:pPr>
              <w:spacing w:line="240" w:lineRule="auto"/>
              <w:rPr>
                <w:rFonts w:ascii="Times New Roman" w:hAnsi="Times New Roman"/>
                <w:szCs w:val="10"/>
              </w:rPr>
            </w:pPr>
            <w:r w:rsidRPr="00F3555F">
              <w:rPr>
                <w:rFonts w:ascii="Times New Roman" w:hAnsi="Times New Roman" w:cs="Arial"/>
              </w:rPr>
              <w:t>Royal Bank of Canada</w:t>
            </w:r>
          </w:p>
        </w:tc>
      </w:tr>
      <w:tr w:rsidR="00242D08" w:rsidRPr="00F3555F" w14:paraId="7781E6C8" w14:textId="77777777" w:rsidTr="00F3555F">
        <w:trPr>
          <w:tblCellSpacing w:w="15" w:type="dxa"/>
        </w:trPr>
        <w:tc>
          <w:tcPr>
            <w:tcW w:w="1800" w:type="dxa"/>
            <w:vAlign w:val="center"/>
          </w:tcPr>
          <w:p w14:paraId="35998D3C" w14:textId="77777777" w:rsidR="00242D08" w:rsidRPr="00F3555F" w:rsidRDefault="00911BE2" w:rsidP="006743F1">
            <w:pPr>
              <w:spacing w:line="240" w:lineRule="auto"/>
              <w:rPr>
                <w:rFonts w:ascii="Times New Roman" w:hAnsi="Times New Roman"/>
                <w:szCs w:val="10"/>
              </w:rPr>
            </w:pPr>
            <w:r w:rsidRPr="00F3555F">
              <w:rPr>
                <w:rFonts w:ascii="Times New Roman" w:hAnsi="Times New Roman"/>
                <w:szCs w:val="10"/>
              </w:rPr>
              <w:t>4.52</w:t>
            </w:r>
            <w:r w:rsidR="00242D08" w:rsidRPr="00F3555F">
              <w:rPr>
                <w:rFonts w:ascii="Times New Roman" w:hAnsi="Times New Roman"/>
                <w:szCs w:val="10"/>
              </w:rPr>
              <w:t>%</w:t>
            </w:r>
          </w:p>
        </w:tc>
        <w:tc>
          <w:tcPr>
            <w:tcW w:w="3660" w:type="dxa"/>
            <w:vAlign w:val="center"/>
          </w:tcPr>
          <w:p w14:paraId="5ECC10A2" w14:textId="77777777" w:rsidR="00242D08" w:rsidRPr="00F3555F" w:rsidRDefault="00242D08" w:rsidP="006743F1">
            <w:pPr>
              <w:spacing w:line="240" w:lineRule="auto"/>
              <w:rPr>
                <w:rFonts w:ascii="Times New Roman" w:hAnsi="Times New Roman"/>
                <w:szCs w:val="10"/>
              </w:rPr>
            </w:pPr>
            <w:r w:rsidRPr="00F3555F">
              <w:t>BANK OF NOVA SCOTIA</w:t>
            </w:r>
            <w:r w:rsidRPr="00F3555F" w:rsidDel="00EC4D3D">
              <w:rPr>
                <w:rFonts w:ascii="Times New Roman" w:hAnsi="Times New Roman"/>
                <w:szCs w:val="10"/>
              </w:rPr>
              <w:t xml:space="preserve"> </w:t>
            </w:r>
          </w:p>
        </w:tc>
        <w:tc>
          <w:tcPr>
            <w:tcW w:w="1590" w:type="dxa"/>
            <w:vAlign w:val="bottom"/>
          </w:tcPr>
          <w:p w14:paraId="55A70EE3" w14:textId="77777777" w:rsidR="00242D08" w:rsidRPr="00F3555F" w:rsidRDefault="00F04E3A" w:rsidP="006743F1">
            <w:pPr>
              <w:spacing w:line="240" w:lineRule="auto"/>
              <w:rPr>
                <w:rFonts w:ascii="Times New Roman" w:hAnsi="Times New Roman"/>
                <w:szCs w:val="10"/>
              </w:rPr>
            </w:pPr>
            <w:r w:rsidRPr="00F3555F">
              <w:rPr>
                <w:rFonts w:ascii="Times New Roman" w:hAnsi="Times New Roman" w:cs="Arial"/>
              </w:rPr>
              <w:t>5.40</w:t>
            </w:r>
            <w:r w:rsidR="00901831" w:rsidRPr="00F3555F">
              <w:rPr>
                <w:rFonts w:ascii="Times New Roman" w:hAnsi="Times New Roman" w:cs="Arial"/>
              </w:rPr>
              <w:t>%</w:t>
            </w:r>
          </w:p>
        </w:tc>
        <w:tc>
          <w:tcPr>
            <w:tcW w:w="3195" w:type="dxa"/>
            <w:vAlign w:val="center"/>
          </w:tcPr>
          <w:p w14:paraId="04F2F3DC" w14:textId="77777777" w:rsidR="00242D08" w:rsidRPr="00F3555F" w:rsidRDefault="00F04E3A" w:rsidP="0036472A">
            <w:pPr>
              <w:spacing w:line="240" w:lineRule="auto"/>
              <w:rPr>
                <w:rFonts w:ascii="Times New Roman" w:hAnsi="Times New Roman"/>
                <w:szCs w:val="10"/>
              </w:rPr>
            </w:pPr>
            <w:r w:rsidRPr="00F3555F">
              <w:t>Toronto-Dominion Bank</w:t>
            </w:r>
          </w:p>
        </w:tc>
      </w:tr>
      <w:tr w:rsidR="00242D08" w:rsidRPr="00F3555F" w14:paraId="43621324" w14:textId="77777777" w:rsidTr="00F3555F">
        <w:trPr>
          <w:tblCellSpacing w:w="15" w:type="dxa"/>
        </w:trPr>
        <w:tc>
          <w:tcPr>
            <w:tcW w:w="1800" w:type="dxa"/>
            <w:vAlign w:val="center"/>
          </w:tcPr>
          <w:p w14:paraId="4D7F78C6" w14:textId="77777777" w:rsidR="00242D08" w:rsidRPr="00F3555F" w:rsidRDefault="00911BE2" w:rsidP="006743F1">
            <w:pPr>
              <w:spacing w:line="240" w:lineRule="auto"/>
              <w:rPr>
                <w:rFonts w:ascii="Times New Roman" w:hAnsi="Times New Roman"/>
                <w:szCs w:val="10"/>
              </w:rPr>
            </w:pPr>
            <w:r w:rsidRPr="00F3555F">
              <w:rPr>
                <w:rFonts w:ascii="Times New Roman" w:hAnsi="Times New Roman"/>
                <w:szCs w:val="10"/>
              </w:rPr>
              <w:t>3.49</w:t>
            </w:r>
            <w:r w:rsidR="00242D08" w:rsidRPr="00F3555F">
              <w:rPr>
                <w:rFonts w:ascii="Times New Roman" w:hAnsi="Times New Roman"/>
                <w:szCs w:val="10"/>
              </w:rPr>
              <w:t xml:space="preserve">% </w:t>
            </w:r>
          </w:p>
        </w:tc>
        <w:tc>
          <w:tcPr>
            <w:tcW w:w="3660" w:type="dxa"/>
            <w:vAlign w:val="center"/>
          </w:tcPr>
          <w:p w14:paraId="2E490FFC" w14:textId="77777777" w:rsidR="00242D08" w:rsidRPr="00F3555F" w:rsidRDefault="00911BE2" w:rsidP="006743F1">
            <w:pPr>
              <w:spacing w:line="240" w:lineRule="auto"/>
              <w:rPr>
                <w:rFonts w:ascii="Times New Roman" w:hAnsi="Times New Roman"/>
                <w:szCs w:val="10"/>
              </w:rPr>
            </w:pPr>
            <w:r w:rsidRPr="00F3555F">
              <w:t>CANADIAN NATIONAL RAILWAY COMPANY</w:t>
            </w:r>
          </w:p>
        </w:tc>
        <w:tc>
          <w:tcPr>
            <w:tcW w:w="1590" w:type="dxa"/>
            <w:vAlign w:val="bottom"/>
          </w:tcPr>
          <w:p w14:paraId="43F6F809" w14:textId="77777777" w:rsidR="00242D08" w:rsidRPr="00F3555F" w:rsidRDefault="00F04E3A" w:rsidP="006743F1">
            <w:pPr>
              <w:spacing w:line="240" w:lineRule="auto"/>
              <w:rPr>
                <w:rFonts w:ascii="Times New Roman" w:hAnsi="Times New Roman"/>
                <w:szCs w:val="10"/>
              </w:rPr>
            </w:pPr>
            <w:r w:rsidRPr="00F3555F">
              <w:rPr>
                <w:rFonts w:ascii="Times New Roman" w:hAnsi="Times New Roman" w:cs="Arial"/>
              </w:rPr>
              <w:t>4.80</w:t>
            </w:r>
            <w:r w:rsidR="00901831" w:rsidRPr="00F3555F">
              <w:rPr>
                <w:rFonts w:ascii="Times New Roman" w:hAnsi="Times New Roman" w:cs="Arial"/>
              </w:rPr>
              <w:t>%</w:t>
            </w:r>
          </w:p>
        </w:tc>
        <w:tc>
          <w:tcPr>
            <w:tcW w:w="3195" w:type="dxa"/>
            <w:vAlign w:val="center"/>
          </w:tcPr>
          <w:p w14:paraId="749641AA" w14:textId="77777777" w:rsidR="00242D08" w:rsidRPr="00F3555F" w:rsidRDefault="00242D08" w:rsidP="0036472A">
            <w:pPr>
              <w:spacing w:line="240" w:lineRule="auto"/>
              <w:rPr>
                <w:rFonts w:ascii="Times New Roman" w:hAnsi="Times New Roman"/>
                <w:szCs w:val="10"/>
              </w:rPr>
            </w:pPr>
            <w:r w:rsidRPr="00F3555F">
              <w:t>Bank of Nova Scotia</w:t>
            </w:r>
          </w:p>
        </w:tc>
      </w:tr>
      <w:tr w:rsidR="00242D08" w:rsidRPr="002D1C6E" w14:paraId="6CDC8A84" w14:textId="77777777" w:rsidTr="00F3555F">
        <w:trPr>
          <w:tblCellSpacing w:w="15" w:type="dxa"/>
        </w:trPr>
        <w:tc>
          <w:tcPr>
            <w:tcW w:w="1800" w:type="dxa"/>
            <w:vAlign w:val="center"/>
          </w:tcPr>
          <w:p w14:paraId="248513A3" w14:textId="77777777" w:rsidR="00242D08" w:rsidRPr="00F3555F" w:rsidRDefault="00242D08" w:rsidP="006743F1">
            <w:pPr>
              <w:spacing w:line="240" w:lineRule="auto"/>
              <w:rPr>
                <w:rFonts w:ascii="Times New Roman" w:hAnsi="Times New Roman"/>
                <w:szCs w:val="10"/>
              </w:rPr>
            </w:pPr>
            <w:r w:rsidRPr="00F3555F">
              <w:rPr>
                <w:rFonts w:ascii="Times New Roman" w:hAnsi="Times New Roman"/>
                <w:szCs w:val="10"/>
              </w:rPr>
              <w:t>3.</w:t>
            </w:r>
            <w:r w:rsidR="00911BE2" w:rsidRPr="00F3555F">
              <w:rPr>
                <w:rFonts w:ascii="Times New Roman" w:hAnsi="Times New Roman"/>
                <w:szCs w:val="10"/>
              </w:rPr>
              <w:t>18</w:t>
            </w:r>
            <w:r w:rsidRPr="00F3555F">
              <w:rPr>
                <w:rFonts w:ascii="Times New Roman" w:hAnsi="Times New Roman"/>
                <w:szCs w:val="10"/>
              </w:rPr>
              <w:t xml:space="preserve">% </w:t>
            </w:r>
          </w:p>
        </w:tc>
        <w:tc>
          <w:tcPr>
            <w:tcW w:w="3660" w:type="dxa"/>
            <w:vAlign w:val="center"/>
          </w:tcPr>
          <w:p w14:paraId="204F199A" w14:textId="77777777" w:rsidR="00242D08" w:rsidRPr="00F3555F" w:rsidRDefault="00911BE2" w:rsidP="006743F1">
            <w:pPr>
              <w:spacing w:line="240" w:lineRule="auto"/>
              <w:rPr>
                <w:rFonts w:ascii="Times New Roman" w:hAnsi="Times New Roman"/>
                <w:szCs w:val="10"/>
              </w:rPr>
            </w:pPr>
            <w:r w:rsidRPr="00F3555F">
              <w:rPr>
                <w:rFonts w:ascii="Times New Roman" w:hAnsi="Times New Roman"/>
                <w:szCs w:val="10"/>
              </w:rPr>
              <w:t>SUNCOR ENERGY INC.</w:t>
            </w:r>
            <w:r w:rsidR="00242D08" w:rsidRPr="00F3555F">
              <w:rPr>
                <w:rFonts w:ascii="Times New Roman" w:hAnsi="Times New Roman"/>
                <w:szCs w:val="10"/>
              </w:rPr>
              <w:t xml:space="preserve"> </w:t>
            </w:r>
          </w:p>
        </w:tc>
        <w:tc>
          <w:tcPr>
            <w:tcW w:w="1590" w:type="dxa"/>
            <w:vAlign w:val="bottom"/>
          </w:tcPr>
          <w:p w14:paraId="1595E411" w14:textId="77777777" w:rsidR="00242D08" w:rsidRPr="00F3555F" w:rsidRDefault="00F04E3A" w:rsidP="006743F1">
            <w:pPr>
              <w:spacing w:line="240" w:lineRule="auto"/>
              <w:rPr>
                <w:rFonts w:ascii="Times New Roman" w:hAnsi="Times New Roman"/>
                <w:szCs w:val="10"/>
              </w:rPr>
            </w:pPr>
            <w:r w:rsidRPr="00F3555F">
              <w:rPr>
                <w:rFonts w:ascii="Times New Roman" w:hAnsi="Times New Roman" w:cs="Arial"/>
              </w:rPr>
              <w:t>4.20</w:t>
            </w:r>
            <w:r w:rsidR="00901831" w:rsidRPr="00F3555F">
              <w:rPr>
                <w:rFonts w:ascii="Times New Roman" w:hAnsi="Times New Roman" w:cs="Arial"/>
              </w:rPr>
              <w:t>%</w:t>
            </w:r>
          </w:p>
        </w:tc>
        <w:tc>
          <w:tcPr>
            <w:tcW w:w="3195" w:type="dxa"/>
            <w:vAlign w:val="bottom"/>
          </w:tcPr>
          <w:p w14:paraId="325B1FB7" w14:textId="77777777" w:rsidR="00242D08" w:rsidRPr="002D1C6E" w:rsidRDefault="00F04E3A" w:rsidP="0036472A">
            <w:pPr>
              <w:spacing w:line="240" w:lineRule="auto"/>
              <w:rPr>
                <w:rFonts w:ascii="Times New Roman" w:hAnsi="Times New Roman"/>
                <w:szCs w:val="10"/>
              </w:rPr>
            </w:pPr>
            <w:r w:rsidRPr="00F3555F">
              <w:t>Suncor Energy Inc.</w:t>
            </w:r>
          </w:p>
        </w:tc>
      </w:tr>
    </w:tbl>
    <w:p w14:paraId="63BADE64" w14:textId="77777777" w:rsidR="00242D08" w:rsidRDefault="00242D08" w:rsidP="006743F1">
      <w:pPr>
        <w:spacing w:line="240" w:lineRule="auto"/>
        <w:rPr>
          <w:rFonts w:ascii="Times New Roman" w:hAnsi="Times New Roman"/>
          <w:szCs w:val="15"/>
        </w:rPr>
      </w:pPr>
    </w:p>
    <w:p w14:paraId="12F286A9" w14:textId="77777777" w:rsidR="00242D08" w:rsidRPr="006743F1" w:rsidRDefault="00242D08" w:rsidP="008D6C5E">
      <w:pPr>
        <w:spacing w:line="240" w:lineRule="auto"/>
        <w:rPr>
          <w:rFonts w:ascii="Times New Roman" w:hAnsi="Times New Roman"/>
          <w:lang w:val="en-CA"/>
        </w:rPr>
      </w:pPr>
      <w:r>
        <w:rPr>
          <w:rFonts w:ascii="Times New Roman" w:hAnsi="Times New Roman"/>
          <w:szCs w:val="15"/>
        </w:rPr>
        <w:t xml:space="preserve">We compare </w:t>
      </w:r>
      <w:r w:rsidRPr="00754364">
        <w:rPr>
          <w:rFonts w:ascii="Times New Roman" w:hAnsi="Times New Roman"/>
          <w:szCs w:val="15"/>
        </w:rPr>
        <w:t xml:space="preserve">iShares™ </w:t>
      </w:r>
      <w:r w:rsidR="00B436C4">
        <w:rPr>
          <w:rFonts w:ascii="Times New Roman" w:hAnsi="Times New Roman"/>
          <w:szCs w:val="15"/>
        </w:rPr>
        <w:t xml:space="preserve">S&amp;P/TSX Capped Energy Index ETF </w:t>
      </w:r>
      <w:r>
        <w:rPr>
          <w:rFonts w:ascii="Times New Roman" w:hAnsi="Times New Roman"/>
          <w:szCs w:val="15"/>
        </w:rPr>
        <w:t xml:space="preserve">with the </w:t>
      </w:r>
      <w:r w:rsidRPr="006743F1">
        <w:rPr>
          <w:rFonts w:ascii="Times New Roman" w:hAnsi="Times New Roman"/>
          <w:lang w:val="en-CA"/>
        </w:rPr>
        <w:t>TD Energy</w:t>
      </w:r>
    </w:p>
    <w:p w14:paraId="7D24BD2F" w14:textId="77777777" w:rsidR="00242D08" w:rsidRPr="006743F1" w:rsidRDefault="00242D08" w:rsidP="008D6C5E">
      <w:pPr>
        <w:spacing w:line="240" w:lineRule="auto"/>
        <w:rPr>
          <w:rFonts w:ascii="Times New Roman" w:hAnsi="Times New Roman"/>
        </w:rPr>
      </w:pPr>
      <w:r w:rsidRPr="006743F1">
        <w:rPr>
          <w:lang w:val="en-CA"/>
        </w:rPr>
        <w:t>Fund</w:t>
      </w:r>
      <w:r>
        <w:rPr>
          <w:lang w:val="en-CA"/>
        </w:rPr>
        <w:t>:</w:t>
      </w:r>
    </w:p>
    <w:p w14:paraId="057AB255" w14:textId="77777777" w:rsidR="00242D08" w:rsidRDefault="00242D08" w:rsidP="006743F1">
      <w:pPr>
        <w:spacing w:line="240" w:lineRule="auto"/>
        <w:rPr>
          <w:rFonts w:ascii="Times New Roman" w:hAnsi="Times New Roman"/>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910"/>
        <w:gridCol w:w="836"/>
        <w:gridCol w:w="1501"/>
        <w:gridCol w:w="2348"/>
      </w:tblGrid>
      <w:tr w:rsidR="00242D08" w:rsidRPr="00E047F2" w14:paraId="5ABC7BF6" w14:textId="77777777" w:rsidTr="008205BF">
        <w:tc>
          <w:tcPr>
            <w:tcW w:w="2628" w:type="dxa"/>
          </w:tcPr>
          <w:p w14:paraId="4F181CE7" w14:textId="77777777" w:rsidR="00242D08" w:rsidRPr="00E047F2" w:rsidRDefault="00242D08" w:rsidP="008205BF">
            <w:pPr>
              <w:spacing w:line="240" w:lineRule="auto"/>
              <w:rPr>
                <w:rFonts w:ascii="Times New Roman" w:hAnsi="Times New Roman"/>
              </w:rPr>
            </w:pPr>
            <w:r w:rsidRPr="00E047F2">
              <w:rPr>
                <w:rFonts w:ascii="Times New Roman" w:hAnsi="Times New Roman"/>
              </w:rPr>
              <w:t>Fund Name</w:t>
            </w:r>
          </w:p>
        </w:tc>
        <w:tc>
          <w:tcPr>
            <w:tcW w:w="836" w:type="dxa"/>
          </w:tcPr>
          <w:p w14:paraId="6B19A255" w14:textId="77777777" w:rsidR="00242D08" w:rsidRPr="00E047F2" w:rsidRDefault="00242D08" w:rsidP="008205BF">
            <w:pPr>
              <w:spacing w:line="240" w:lineRule="auto"/>
              <w:rPr>
                <w:rFonts w:ascii="Times New Roman" w:hAnsi="Times New Roman"/>
              </w:rPr>
            </w:pPr>
            <w:r w:rsidRPr="00E047F2">
              <w:rPr>
                <w:rFonts w:ascii="Times New Roman" w:hAnsi="Times New Roman"/>
              </w:rPr>
              <w:t>Fund Type</w:t>
            </w:r>
          </w:p>
        </w:tc>
        <w:tc>
          <w:tcPr>
            <w:tcW w:w="836" w:type="dxa"/>
          </w:tcPr>
          <w:p w14:paraId="51757D9B" w14:textId="77777777" w:rsidR="00242D08" w:rsidRPr="00E047F2" w:rsidRDefault="00242D08" w:rsidP="008205BF">
            <w:pPr>
              <w:spacing w:line="240" w:lineRule="auto"/>
              <w:rPr>
                <w:rFonts w:ascii="Times New Roman" w:hAnsi="Times New Roman"/>
              </w:rPr>
            </w:pPr>
            <w:r w:rsidRPr="00E047F2">
              <w:rPr>
                <w:rFonts w:ascii="Times New Roman" w:hAnsi="Times New Roman"/>
              </w:rPr>
              <w:t>MER</w:t>
            </w:r>
          </w:p>
        </w:tc>
        <w:tc>
          <w:tcPr>
            <w:tcW w:w="1501" w:type="dxa"/>
          </w:tcPr>
          <w:p w14:paraId="23607E59" w14:textId="77777777" w:rsidR="00242D08" w:rsidRPr="00E047F2" w:rsidRDefault="00242D08" w:rsidP="008205BF">
            <w:pPr>
              <w:spacing w:line="240" w:lineRule="auto"/>
              <w:rPr>
                <w:rFonts w:ascii="Times New Roman" w:hAnsi="Times New Roman"/>
              </w:rPr>
            </w:pPr>
            <w:r w:rsidRPr="00E047F2">
              <w:rPr>
                <w:rFonts w:ascii="Times New Roman" w:hAnsi="Times New Roman"/>
              </w:rPr>
              <w:t>One year rate of return</w:t>
            </w:r>
          </w:p>
        </w:tc>
        <w:tc>
          <w:tcPr>
            <w:tcW w:w="2348" w:type="dxa"/>
          </w:tcPr>
          <w:p w14:paraId="47DBEA68" w14:textId="77777777" w:rsidR="00242D08" w:rsidRPr="00E047F2" w:rsidRDefault="00242D08" w:rsidP="008205BF">
            <w:pPr>
              <w:spacing w:line="240" w:lineRule="auto"/>
              <w:rPr>
                <w:rFonts w:ascii="Times New Roman" w:hAnsi="Times New Roman"/>
              </w:rPr>
            </w:pPr>
            <w:r w:rsidRPr="00E047F2">
              <w:rPr>
                <w:rFonts w:ascii="Times New Roman" w:hAnsi="Times New Roman"/>
              </w:rPr>
              <w:t>Benchmark Index</w:t>
            </w:r>
          </w:p>
        </w:tc>
      </w:tr>
      <w:tr w:rsidR="00242D08" w:rsidRPr="00E047F2" w14:paraId="2F68C7D7" w14:textId="77777777" w:rsidTr="008205BF">
        <w:tc>
          <w:tcPr>
            <w:tcW w:w="2628" w:type="dxa"/>
          </w:tcPr>
          <w:p w14:paraId="0BEC6097" w14:textId="77777777" w:rsidR="00242D08" w:rsidRPr="002D1C6E" w:rsidRDefault="00E47259" w:rsidP="008205BF">
            <w:pPr>
              <w:shd w:val="clear" w:color="auto" w:fill="FFFFFF"/>
              <w:spacing w:line="240" w:lineRule="auto"/>
              <w:rPr>
                <w:rFonts w:ascii="Times New Roman" w:hAnsi="Times New Roman"/>
                <w:szCs w:val="15"/>
              </w:rPr>
            </w:pPr>
            <w:proofErr w:type="spellStart"/>
            <w:r w:rsidRPr="00754364">
              <w:rPr>
                <w:szCs w:val="15"/>
              </w:rPr>
              <w:t>iShares™</w:t>
            </w:r>
            <w:r>
              <w:rPr>
                <w:szCs w:val="15"/>
              </w:rPr>
              <w:t>S&amp;P</w:t>
            </w:r>
            <w:proofErr w:type="spellEnd"/>
            <w:r>
              <w:rPr>
                <w:szCs w:val="15"/>
              </w:rPr>
              <w:t>/TSX Capped Energy Index ETF</w:t>
            </w:r>
            <w:r w:rsidRPr="00754364" w:rsidDel="00ED2B6B">
              <w:rPr>
                <w:rFonts w:ascii="Times New Roman" w:hAnsi="Times New Roman"/>
                <w:szCs w:val="15"/>
              </w:rPr>
              <w:t xml:space="preserve"> </w:t>
            </w:r>
          </w:p>
        </w:tc>
        <w:tc>
          <w:tcPr>
            <w:tcW w:w="836" w:type="dxa"/>
          </w:tcPr>
          <w:p w14:paraId="06423AA1" w14:textId="77777777" w:rsidR="00242D08" w:rsidRPr="002D1C6E" w:rsidRDefault="00242D08" w:rsidP="008205BF">
            <w:pPr>
              <w:spacing w:line="240" w:lineRule="auto"/>
              <w:rPr>
                <w:rFonts w:ascii="Times New Roman" w:hAnsi="Times New Roman"/>
                <w:szCs w:val="15"/>
              </w:rPr>
            </w:pPr>
            <w:r w:rsidRPr="002D1C6E">
              <w:rPr>
                <w:rFonts w:ascii="Times New Roman" w:hAnsi="Times New Roman"/>
                <w:szCs w:val="15"/>
              </w:rPr>
              <w:t>ETF</w:t>
            </w:r>
          </w:p>
        </w:tc>
        <w:tc>
          <w:tcPr>
            <w:tcW w:w="836" w:type="dxa"/>
          </w:tcPr>
          <w:p w14:paraId="35CFE7B0" w14:textId="77777777" w:rsidR="00242D08" w:rsidRPr="002D1C6E" w:rsidRDefault="00B436C4" w:rsidP="000248D9">
            <w:pPr>
              <w:spacing w:line="240" w:lineRule="auto"/>
              <w:rPr>
                <w:rFonts w:ascii="Times New Roman" w:hAnsi="Times New Roman"/>
              </w:rPr>
            </w:pPr>
            <w:r>
              <w:rPr>
                <w:rFonts w:ascii="Times New Roman" w:hAnsi="Times New Roman"/>
                <w:szCs w:val="15"/>
              </w:rPr>
              <w:t>0.6</w:t>
            </w:r>
            <w:r w:rsidR="00E47259">
              <w:rPr>
                <w:rFonts w:ascii="Times New Roman" w:hAnsi="Times New Roman"/>
                <w:szCs w:val="15"/>
              </w:rPr>
              <w:t>2</w:t>
            </w:r>
            <w:r w:rsidR="00242D08" w:rsidRPr="00754364">
              <w:rPr>
                <w:rFonts w:ascii="Times New Roman" w:hAnsi="Times New Roman"/>
                <w:szCs w:val="15"/>
              </w:rPr>
              <w:t>%</w:t>
            </w:r>
          </w:p>
        </w:tc>
        <w:tc>
          <w:tcPr>
            <w:tcW w:w="1501" w:type="dxa"/>
          </w:tcPr>
          <w:p w14:paraId="03F8236F" w14:textId="77777777" w:rsidR="00242D08" w:rsidRPr="006743F1" w:rsidRDefault="00E47259" w:rsidP="008205BF">
            <w:pPr>
              <w:spacing w:line="240" w:lineRule="auto"/>
              <w:rPr>
                <w:rFonts w:ascii="Times New Roman" w:hAnsi="Times New Roman"/>
              </w:rPr>
            </w:pPr>
            <w:r>
              <w:rPr>
                <w:rFonts w:ascii="Times New Roman" w:hAnsi="Times New Roman"/>
              </w:rPr>
              <w:t>-5.83</w:t>
            </w:r>
            <w:r w:rsidR="00242D08">
              <w:rPr>
                <w:rFonts w:ascii="Times New Roman" w:hAnsi="Times New Roman"/>
              </w:rPr>
              <w:t>%</w:t>
            </w:r>
          </w:p>
          <w:p w14:paraId="6173FA4A" w14:textId="77777777" w:rsidR="00242D08" w:rsidRPr="002D1C6E" w:rsidRDefault="00242D08" w:rsidP="008205BF">
            <w:pPr>
              <w:spacing w:line="240" w:lineRule="auto"/>
              <w:rPr>
                <w:rFonts w:ascii="Times New Roman" w:hAnsi="Times New Roman"/>
              </w:rPr>
            </w:pPr>
          </w:p>
        </w:tc>
        <w:tc>
          <w:tcPr>
            <w:tcW w:w="2348" w:type="dxa"/>
          </w:tcPr>
          <w:p w14:paraId="3955E617" w14:textId="77777777" w:rsidR="00242D08" w:rsidRPr="002D1C6E" w:rsidRDefault="00242D08" w:rsidP="008205BF">
            <w:pPr>
              <w:spacing w:line="240" w:lineRule="auto"/>
              <w:rPr>
                <w:rFonts w:ascii="Times New Roman" w:hAnsi="Times New Roman"/>
              </w:rPr>
            </w:pPr>
            <w:r w:rsidRPr="00754364">
              <w:rPr>
                <w:rFonts w:ascii="Times New Roman" w:hAnsi="Times New Roman"/>
                <w:szCs w:val="15"/>
              </w:rPr>
              <w:t>S&amp;P®/TSX® Capped Energy Index</w:t>
            </w:r>
          </w:p>
        </w:tc>
      </w:tr>
      <w:tr w:rsidR="00242D08" w:rsidRPr="00E047F2" w14:paraId="5DDF0358" w14:textId="77777777" w:rsidTr="008205BF">
        <w:tc>
          <w:tcPr>
            <w:tcW w:w="2628" w:type="dxa"/>
          </w:tcPr>
          <w:p w14:paraId="61C74185" w14:textId="77777777" w:rsidR="00242D08" w:rsidRPr="006743F1" w:rsidRDefault="00242D08" w:rsidP="008205BF">
            <w:pPr>
              <w:spacing w:line="240" w:lineRule="auto"/>
              <w:rPr>
                <w:rFonts w:ascii="Times New Roman" w:hAnsi="Times New Roman"/>
                <w:lang w:val="en-CA"/>
              </w:rPr>
            </w:pPr>
            <w:r w:rsidRPr="006743F1">
              <w:rPr>
                <w:rFonts w:ascii="Times New Roman" w:hAnsi="Times New Roman"/>
                <w:lang w:val="en-CA"/>
              </w:rPr>
              <w:t>TD Energy</w:t>
            </w:r>
          </w:p>
          <w:p w14:paraId="342970EC" w14:textId="77777777" w:rsidR="00242D08" w:rsidRPr="00E047F2" w:rsidRDefault="00242D08" w:rsidP="008205BF">
            <w:pPr>
              <w:spacing w:line="240" w:lineRule="auto"/>
              <w:rPr>
                <w:rFonts w:ascii="Times New Roman" w:hAnsi="Times New Roman"/>
              </w:rPr>
            </w:pPr>
            <w:r w:rsidRPr="006743F1">
              <w:rPr>
                <w:lang w:val="en-CA"/>
              </w:rPr>
              <w:t>Fund</w:t>
            </w:r>
          </w:p>
        </w:tc>
        <w:tc>
          <w:tcPr>
            <w:tcW w:w="836" w:type="dxa"/>
          </w:tcPr>
          <w:p w14:paraId="34DDCCE6" w14:textId="77777777" w:rsidR="00242D08" w:rsidRPr="00E047F2" w:rsidRDefault="00242D08" w:rsidP="008205BF">
            <w:pPr>
              <w:spacing w:line="240" w:lineRule="auto"/>
              <w:rPr>
                <w:rFonts w:ascii="Times New Roman" w:hAnsi="Times New Roman"/>
                <w:lang w:val="en-CA"/>
              </w:rPr>
            </w:pPr>
            <w:r w:rsidRPr="00E047F2">
              <w:rPr>
                <w:rFonts w:ascii="Times New Roman" w:hAnsi="Times New Roman"/>
                <w:lang w:val="en-CA"/>
              </w:rPr>
              <w:t>Mutual</w:t>
            </w:r>
          </w:p>
        </w:tc>
        <w:tc>
          <w:tcPr>
            <w:tcW w:w="836" w:type="dxa"/>
          </w:tcPr>
          <w:p w14:paraId="3C0A721D" w14:textId="77777777" w:rsidR="00242D08" w:rsidRPr="00E047F2" w:rsidRDefault="00E47259" w:rsidP="0036472A">
            <w:pPr>
              <w:spacing w:line="240" w:lineRule="auto"/>
              <w:rPr>
                <w:rFonts w:ascii="Times New Roman" w:hAnsi="Times New Roman"/>
              </w:rPr>
            </w:pPr>
            <w:r>
              <w:rPr>
                <w:rFonts w:ascii="Times New Roman" w:hAnsi="Times New Roman"/>
              </w:rPr>
              <w:t>2.21</w:t>
            </w:r>
            <w:r w:rsidR="00242D08" w:rsidRPr="006743F1">
              <w:rPr>
                <w:rFonts w:ascii="Times New Roman" w:hAnsi="Times New Roman"/>
              </w:rPr>
              <w:t>%</w:t>
            </w:r>
          </w:p>
        </w:tc>
        <w:tc>
          <w:tcPr>
            <w:tcW w:w="1501" w:type="dxa"/>
          </w:tcPr>
          <w:p w14:paraId="77C8A536" w14:textId="77777777" w:rsidR="00242D08" w:rsidRPr="00E047F2" w:rsidRDefault="00E47259" w:rsidP="008205BF">
            <w:pPr>
              <w:spacing w:line="240" w:lineRule="auto"/>
              <w:rPr>
                <w:rFonts w:ascii="Times New Roman" w:hAnsi="Times New Roman"/>
              </w:rPr>
            </w:pPr>
            <w:r>
              <w:rPr>
                <w:rFonts w:ascii="Times New Roman" w:hAnsi="Times New Roman"/>
              </w:rPr>
              <w:t>10.46</w:t>
            </w:r>
            <w:r w:rsidR="00601DCC">
              <w:rPr>
                <w:rFonts w:ascii="Times New Roman" w:hAnsi="Times New Roman"/>
              </w:rPr>
              <w:t>%</w:t>
            </w:r>
          </w:p>
        </w:tc>
        <w:tc>
          <w:tcPr>
            <w:tcW w:w="2348" w:type="dxa"/>
          </w:tcPr>
          <w:p w14:paraId="67771149" w14:textId="77777777" w:rsidR="00242D08" w:rsidRPr="008205BF" w:rsidRDefault="00601DCC" w:rsidP="008205BF">
            <w:pPr>
              <w:pStyle w:val="footnote"/>
              <w:rPr>
                <w:lang w:val="en-CA"/>
              </w:rPr>
            </w:pPr>
            <w:r>
              <w:rPr>
                <w:lang w:val="en-CA"/>
              </w:rPr>
              <w:t>S&amp;P/TSX Energy Sector Index</w:t>
            </w:r>
          </w:p>
        </w:tc>
      </w:tr>
    </w:tbl>
    <w:p w14:paraId="4F904167" w14:textId="77777777" w:rsidR="00242D08" w:rsidRDefault="00242D08" w:rsidP="006743F1">
      <w:pPr>
        <w:spacing w:line="240" w:lineRule="auto"/>
        <w:rPr>
          <w:rFonts w:ascii="Times New Roman" w:hAnsi="Times New Roman"/>
          <w:szCs w:val="15"/>
        </w:rPr>
      </w:pPr>
    </w:p>
    <w:p w14:paraId="6C29DE9D" w14:textId="77777777" w:rsidR="00242D08" w:rsidRPr="00754364" w:rsidRDefault="00242D08" w:rsidP="008D6C5E">
      <w:pPr>
        <w:shd w:val="clear" w:color="auto" w:fill="FFFFFF"/>
        <w:spacing w:line="240" w:lineRule="auto"/>
        <w:rPr>
          <w:rFonts w:ascii="Times New Roman" w:hAnsi="Times New Roman"/>
          <w:szCs w:val="13"/>
        </w:rPr>
      </w:pPr>
    </w:p>
    <w:tbl>
      <w:tblPr>
        <w:tblW w:w="8730" w:type="dxa"/>
        <w:tblCellSpacing w:w="15" w:type="dxa"/>
        <w:tblCellMar>
          <w:top w:w="15" w:type="dxa"/>
          <w:left w:w="15" w:type="dxa"/>
          <w:bottom w:w="15" w:type="dxa"/>
          <w:right w:w="15" w:type="dxa"/>
        </w:tblCellMar>
        <w:tblLook w:val="0000" w:firstRow="0" w:lastRow="0" w:firstColumn="0" w:lastColumn="0" w:noHBand="0" w:noVBand="0"/>
      </w:tblPr>
      <w:tblGrid>
        <w:gridCol w:w="1276"/>
        <w:gridCol w:w="2946"/>
        <w:gridCol w:w="1673"/>
        <w:gridCol w:w="2835"/>
      </w:tblGrid>
      <w:tr w:rsidR="00242D08" w:rsidRPr="00E47259" w14:paraId="3EE05635" w14:textId="77777777" w:rsidTr="00225278">
        <w:trPr>
          <w:tblCellSpacing w:w="15" w:type="dxa"/>
        </w:trPr>
        <w:tc>
          <w:tcPr>
            <w:tcW w:w="4177" w:type="dxa"/>
            <w:gridSpan w:val="2"/>
            <w:vAlign w:val="center"/>
          </w:tcPr>
          <w:p w14:paraId="1D4E10D8" w14:textId="77777777" w:rsidR="00242D08" w:rsidRPr="00F3555F" w:rsidRDefault="00242D08" w:rsidP="000248D9">
            <w:pPr>
              <w:spacing w:line="240" w:lineRule="auto"/>
              <w:jc w:val="center"/>
              <w:rPr>
                <w:rFonts w:ascii="Times New Roman" w:hAnsi="Times New Roman"/>
                <w:b/>
                <w:szCs w:val="15"/>
              </w:rPr>
            </w:pPr>
            <w:r w:rsidRPr="00F3555F">
              <w:rPr>
                <w:rFonts w:ascii="Times New Roman" w:hAnsi="Times New Roman"/>
                <w:b/>
                <w:szCs w:val="15"/>
              </w:rPr>
              <w:t xml:space="preserve">iShares™ </w:t>
            </w:r>
            <w:r w:rsidR="00B436C4" w:rsidRPr="00F3555F">
              <w:rPr>
                <w:rFonts w:ascii="Times New Roman" w:hAnsi="Times New Roman"/>
                <w:b/>
                <w:szCs w:val="15"/>
              </w:rPr>
              <w:t>S&amp;P/TSX Capped Energy Index ETF</w:t>
            </w:r>
          </w:p>
        </w:tc>
        <w:tc>
          <w:tcPr>
            <w:tcW w:w="4463" w:type="dxa"/>
            <w:gridSpan w:val="2"/>
          </w:tcPr>
          <w:p w14:paraId="56E8DFD8" w14:textId="77777777" w:rsidR="00242D08" w:rsidRPr="00F3555F" w:rsidRDefault="00242D08" w:rsidP="008D6C5E">
            <w:pPr>
              <w:spacing w:line="240" w:lineRule="auto"/>
              <w:jc w:val="center"/>
              <w:rPr>
                <w:rFonts w:ascii="Times New Roman" w:hAnsi="Times New Roman"/>
                <w:b/>
                <w:szCs w:val="15"/>
              </w:rPr>
            </w:pPr>
            <w:r w:rsidRPr="00F3555F">
              <w:rPr>
                <w:rFonts w:ascii="Times New Roman" w:hAnsi="Times New Roman"/>
                <w:b/>
                <w:lang w:val="en-CA"/>
              </w:rPr>
              <w:t xml:space="preserve">TD Energy </w:t>
            </w:r>
            <w:r w:rsidRPr="00F3555F">
              <w:rPr>
                <w:b/>
                <w:lang w:val="en-CA"/>
              </w:rPr>
              <w:t>Fund</w:t>
            </w:r>
          </w:p>
        </w:tc>
      </w:tr>
      <w:tr w:rsidR="00242D08" w:rsidRPr="00E47259" w14:paraId="750594EF" w14:textId="77777777" w:rsidTr="00225278">
        <w:trPr>
          <w:tblCellSpacing w:w="15" w:type="dxa"/>
        </w:trPr>
        <w:tc>
          <w:tcPr>
            <w:tcW w:w="4177" w:type="dxa"/>
            <w:gridSpan w:val="2"/>
            <w:vAlign w:val="center"/>
          </w:tcPr>
          <w:p w14:paraId="3F5808F2" w14:textId="77777777" w:rsidR="00242D08" w:rsidRPr="00F3555F" w:rsidRDefault="00242D08" w:rsidP="000248D9">
            <w:pPr>
              <w:spacing w:line="240" w:lineRule="auto"/>
              <w:rPr>
                <w:rFonts w:ascii="Times New Roman" w:hAnsi="Times New Roman"/>
                <w:szCs w:val="10"/>
              </w:rPr>
            </w:pPr>
            <w:r w:rsidRPr="00F3555F">
              <w:rPr>
                <w:rFonts w:ascii="Times New Roman" w:hAnsi="Times New Roman"/>
                <w:szCs w:val="13"/>
              </w:rPr>
              <w:t xml:space="preserve">Top 5 Holdings </w:t>
            </w:r>
            <w:r w:rsidRPr="00F3555F">
              <w:rPr>
                <w:rStyle w:val="plain1"/>
                <w:rFonts w:ascii="Times New Roman" w:hAnsi="Times New Roman"/>
                <w:szCs w:val="13"/>
              </w:rPr>
              <w:t xml:space="preserve">as of </w:t>
            </w:r>
            <w:r w:rsidR="00B436C4" w:rsidRPr="00F3555F">
              <w:rPr>
                <w:rStyle w:val="plain1"/>
                <w:rFonts w:ascii="Times New Roman" w:hAnsi="Times New Roman"/>
                <w:szCs w:val="13"/>
              </w:rPr>
              <w:t>September 30, 2014</w:t>
            </w:r>
            <w:r w:rsidRPr="00F3555F">
              <w:rPr>
                <w:rStyle w:val="plain1"/>
                <w:rFonts w:ascii="Times New Roman" w:hAnsi="Times New Roman"/>
                <w:szCs w:val="13"/>
              </w:rPr>
              <w:t xml:space="preserve"> </w:t>
            </w:r>
          </w:p>
        </w:tc>
        <w:tc>
          <w:tcPr>
            <w:tcW w:w="4463" w:type="dxa"/>
            <w:gridSpan w:val="2"/>
          </w:tcPr>
          <w:p w14:paraId="2F5BEFA7" w14:textId="77777777" w:rsidR="00242D08" w:rsidRPr="00F3555F" w:rsidRDefault="00242D08" w:rsidP="00601DCC">
            <w:pPr>
              <w:spacing w:line="240" w:lineRule="auto"/>
              <w:rPr>
                <w:rFonts w:ascii="Times New Roman" w:hAnsi="Times New Roman"/>
                <w:szCs w:val="10"/>
              </w:rPr>
            </w:pPr>
            <w:r w:rsidRPr="00F3555F">
              <w:rPr>
                <w:lang w:val="en-CA"/>
              </w:rPr>
              <w:t xml:space="preserve">Top Holdings </w:t>
            </w:r>
            <w:r w:rsidRPr="00F3555F">
              <w:rPr>
                <w:rStyle w:val="detail"/>
                <w:lang w:val="en-CA"/>
              </w:rPr>
              <w:t xml:space="preserve">as at </w:t>
            </w:r>
            <w:r w:rsidR="00601DCC" w:rsidRPr="00F3555F">
              <w:rPr>
                <w:rStyle w:val="detail"/>
                <w:lang w:val="en-CA"/>
              </w:rPr>
              <w:t>June 30, 2014</w:t>
            </w:r>
          </w:p>
        </w:tc>
      </w:tr>
      <w:tr w:rsidR="00242D08" w:rsidRPr="00E47259" w14:paraId="79B704D2" w14:textId="77777777" w:rsidTr="00225278">
        <w:trPr>
          <w:tblCellSpacing w:w="15" w:type="dxa"/>
        </w:trPr>
        <w:tc>
          <w:tcPr>
            <w:tcW w:w="1231" w:type="dxa"/>
            <w:vAlign w:val="center"/>
          </w:tcPr>
          <w:p w14:paraId="722F88A9" w14:textId="77777777" w:rsidR="00242D08" w:rsidRPr="00F3555F" w:rsidRDefault="00242D08" w:rsidP="008D6C5E">
            <w:pPr>
              <w:spacing w:line="240" w:lineRule="auto"/>
              <w:rPr>
                <w:rFonts w:ascii="Times New Roman" w:hAnsi="Times New Roman"/>
                <w:szCs w:val="13"/>
              </w:rPr>
            </w:pPr>
            <w:r w:rsidRPr="00F3555F">
              <w:rPr>
                <w:rFonts w:ascii="Times New Roman" w:hAnsi="Times New Roman"/>
                <w:szCs w:val="10"/>
              </w:rPr>
              <w:t>% of funds</w:t>
            </w:r>
          </w:p>
        </w:tc>
        <w:tc>
          <w:tcPr>
            <w:tcW w:w="2916" w:type="dxa"/>
            <w:vAlign w:val="center"/>
          </w:tcPr>
          <w:p w14:paraId="249AB4B5" w14:textId="77777777" w:rsidR="00242D08" w:rsidRPr="00F3555F" w:rsidRDefault="00242D08" w:rsidP="008D6C5E">
            <w:pPr>
              <w:spacing w:line="240" w:lineRule="auto"/>
              <w:rPr>
                <w:rFonts w:ascii="Times New Roman" w:hAnsi="Times New Roman"/>
                <w:szCs w:val="13"/>
              </w:rPr>
            </w:pPr>
            <w:r w:rsidRPr="00F3555F">
              <w:rPr>
                <w:rFonts w:ascii="Times New Roman" w:hAnsi="Times New Roman"/>
                <w:szCs w:val="10"/>
              </w:rPr>
              <w:t>Stock</w:t>
            </w:r>
          </w:p>
        </w:tc>
        <w:tc>
          <w:tcPr>
            <w:tcW w:w="1643" w:type="dxa"/>
            <w:vAlign w:val="center"/>
          </w:tcPr>
          <w:p w14:paraId="5E133A3A" w14:textId="77777777" w:rsidR="00242D08" w:rsidRPr="00F3555F" w:rsidRDefault="00242D08" w:rsidP="008D6C5E">
            <w:pPr>
              <w:spacing w:line="240" w:lineRule="auto"/>
              <w:rPr>
                <w:rFonts w:ascii="Times New Roman" w:hAnsi="Times New Roman"/>
                <w:szCs w:val="10"/>
              </w:rPr>
            </w:pPr>
            <w:r w:rsidRPr="00F3555F">
              <w:rPr>
                <w:rFonts w:ascii="Times New Roman" w:hAnsi="Times New Roman"/>
                <w:szCs w:val="10"/>
              </w:rPr>
              <w:t>% of funds</w:t>
            </w:r>
          </w:p>
        </w:tc>
        <w:tc>
          <w:tcPr>
            <w:tcW w:w="2790" w:type="dxa"/>
            <w:vAlign w:val="center"/>
          </w:tcPr>
          <w:p w14:paraId="22AD9EEF" w14:textId="77777777" w:rsidR="00242D08" w:rsidRPr="00F3555F" w:rsidRDefault="00242D08" w:rsidP="008D6C5E">
            <w:pPr>
              <w:spacing w:line="240" w:lineRule="auto"/>
              <w:rPr>
                <w:rFonts w:ascii="Times New Roman" w:hAnsi="Times New Roman"/>
                <w:szCs w:val="10"/>
              </w:rPr>
            </w:pPr>
            <w:r w:rsidRPr="00F3555F">
              <w:rPr>
                <w:rFonts w:ascii="Times New Roman" w:hAnsi="Times New Roman"/>
                <w:szCs w:val="10"/>
              </w:rPr>
              <w:t>Stock</w:t>
            </w:r>
          </w:p>
        </w:tc>
      </w:tr>
      <w:tr w:rsidR="00242D08" w:rsidRPr="00E47259" w14:paraId="38C85910" w14:textId="77777777" w:rsidTr="00225278">
        <w:trPr>
          <w:tblCellSpacing w:w="15" w:type="dxa"/>
        </w:trPr>
        <w:tc>
          <w:tcPr>
            <w:tcW w:w="1231" w:type="dxa"/>
            <w:vAlign w:val="center"/>
          </w:tcPr>
          <w:p w14:paraId="7D40EFDC" w14:textId="77777777" w:rsidR="00242D08" w:rsidRPr="00F3555F" w:rsidRDefault="00B436C4" w:rsidP="008D6C5E">
            <w:pPr>
              <w:spacing w:line="240" w:lineRule="auto"/>
              <w:rPr>
                <w:rFonts w:ascii="Times New Roman" w:hAnsi="Times New Roman"/>
                <w:szCs w:val="13"/>
              </w:rPr>
            </w:pPr>
            <w:r w:rsidRPr="00F3555F">
              <w:rPr>
                <w:rFonts w:ascii="Times New Roman" w:hAnsi="Times New Roman"/>
                <w:szCs w:val="13"/>
              </w:rPr>
              <w:t>19.84</w:t>
            </w:r>
            <w:r w:rsidR="00242D08" w:rsidRPr="00F3555F">
              <w:rPr>
                <w:rFonts w:ascii="Times New Roman" w:hAnsi="Times New Roman"/>
                <w:szCs w:val="13"/>
              </w:rPr>
              <w:t xml:space="preserve">% </w:t>
            </w:r>
          </w:p>
        </w:tc>
        <w:tc>
          <w:tcPr>
            <w:tcW w:w="2916" w:type="dxa"/>
            <w:vAlign w:val="center"/>
          </w:tcPr>
          <w:p w14:paraId="3F3EC9A0" w14:textId="77777777" w:rsidR="00242D08" w:rsidRPr="00F3555F" w:rsidRDefault="00B436C4" w:rsidP="008D6C5E">
            <w:pPr>
              <w:spacing w:line="240" w:lineRule="auto"/>
              <w:rPr>
                <w:rFonts w:ascii="Times New Roman" w:hAnsi="Times New Roman"/>
                <w:szCs w:val="13"/>
              </w:rPr>
            </w:pPr>
            <w:r w:rsidRPr="00F3555F">
              <w:t>SUNCOR ENERGY INC.</w:t>
            </w:r>
          </w:p>
        </w:tc>
        <w:tc>
          <w:tcPr>
            <w:tcW w:w="1643" w:type="dxa"/>
            <w:vAlign w:val="center"/>
          </w:tcPr>
          <w:p w14:paraId="66C9DEF5" w14:textId="77777777" w:rsidR="00242D08" w:rsidRPr="00F3555F" w:rsidRDefault="00601DCC" w:rsidP="008D6C5E">
            <w:pPr>
              <w:spacing w:line="240" w:lineRule="auto"/>
              <w:rPr>
                <w:rFonts w:ascii="Times New Roman" w:hAnsi="Times New Roman"/>
                <w:szCs w:val="13"/>
              </w:rPr>
            </w:pPr>
            <w:r w:rsidRPr="00F3555F">
              <w:rPr>
                <w:rFonts w:ascii="Times New Roman" w:hAnsi="Times New Roman"/>
                <w:szCs w:val="13"/>
              </w:rPr>
              <w:t>8.60</w:t>
            </w:r>
            <w:r w:rsidR="00242D08" w:rsidRPr="00F3555F">
              <w:rPr>
                <w:rFonts w:ascii="Times New Roman" w:hAnsi="Times New Roman"/>
                <w:szCs w:val="13"/>
              </w:rPr>
              <w:t xml:space="preserve">% </w:t>
            </w:r>
          </w:p>
        </w:tc>
        <w:tc>
          <w:tcPr>
            <w:tcW w:w="2790" w:type="dxa"/>
            <w:vAlign w:val="center"/>
          </w:tcPr>
          <w:p w14:paraId="697B430E" w14:textId="77777777" w:rsidR="00242D08" w:rsidRPr="00F3555F" w:rsidRDefault="00242D08" w:rsidP="008D6C5E">
            <w:pPr>
              <w:spacing w:line="240" w:lineRule="auto"/>
              <w:rPr>
                <w:rFonts w:ascii="Times New Roman" w:hAnsi="Times New Roman"/>
                <w:szCs w:val="13"/>
              </w:rPr>
            </w:pPr>
            <w:r w:rsidRPr="00F3555F">
              <w:t>Suncor Energy</w:t>
            </w:r>
          </w:p>
        </w:tc>
      </w:tr>
      <w:tr w:rsidR="00242D08" w:rsidRPr="00E47259" w14:paraId="001FA669" w14:textId="77777777" w:rsidTr="00225278">
        <w:trPr>
          <w:tblCellSpacing w:w="15" w:type="dxa"/>
        </w:trPr>
        <w:tc>
          <w:tcPr>
            <w:tcW w:w="1231" w:type="dxa"/>
            <w:vAlign w:val="center"/>
          </w:tcPr>
          <w:p w14:paraId="790D80A4" w14:textId="77777777" w:rsidR="00242D08" w:rsidRPr="00F3555F" w:rsidRDefault="00B436C4" w:rsidP="008D6C5E">
            <w:pPr>
              <w:spacing w:line="240" w:lineRule="auto"/>
              <w:rPr>
                <w:rFonts w:ascii="Times New Roman" w:hAnsi="Times New Roman"/>
                <w:szCs w:val="13"/>
              </w:rPr>
            </w:pPr>
            <w:r w:rsidRPr="00F3555F">
              <w:rPr>
                <w:rFonts w:ascii="Times New Roman" w:hAnsi="Times New Roman"/>
                <w:szCs w:val="13"/>
              </w:rPr>
              <w:t>14.69</w:t>
            </w:r>
            <w:r w:rsidR="00242D08" w:rsidRPr="00F3555F">
              <w:rPr>
                <w:rFonts w:ascii="Times New Roman" w:hAnsi="Times New Roman"/>
                <w:szCs w:val="13"/>
              </w:rPr>
              <w:t xml:space="preserve">% </w:t>
            </w:r>
          </w:p>
        </w:tc>
        <w:tc>
          <w:tcPr>
            <w:tcW w:w="2916" w:type="dxa"/>
            <w:vAlign w:val="center"/>
          </w:tcPr>
          <w:p w14:paraId="160D1EDF" w14:textId="77777777" w:rsidR="00242D08" w:rsidRPr="00F3555F" w:rsidRDefault="00B436C4" w:rsidP="008D6C5E">
            <w:pPr>
              <w:spacing w:line="240" w:lineRule="auto"/>
              <w:rPr>
                <w:rFonts w:ascii="Times New Roman" w:hAnsi="Times New Roman"/>
                <w:szCs w:val="13"/>
              </w:rPr>
            </w:pPr>
            <w:r w:rsidRPr="00F3555F">
              <w:t>CANADIAN NATURAL RESOURCES LTD.</w:t>
            </w:r>
          </w:p>
        </w:tc>
        <w:tc>
          <w:tcPr>
            <w:tcW w:w="1643" w:type="dxa"/>
            <w:vAlign w:val="center"/>
          </w:tcPr>
          <w:p w14:paraId="10661E44" w14:textId="77777777" w:rsidR="00242D08" w:rsidRPr="00F3555F" w:rsidRDefault="00601DCC" w:rsidP="008D6C5E">
            <w:pPr>
              <w:spacing w:line="240" w:lineRule="auto"/>
              <w:rPr>
                <w:rFonts w:ascii="Times New Roman" w:hAnsi="Times New Roman"/>
                <w:szCs w:val="13"/>
              </w:rPr>
            </w:pPr>
            <w:r w:rsidRPr="00F3555F">
              <w:rPr>
                <w:rFonts w:ascii="Times New Roman" w:hAnsi="Times New Roman"/>
                <w:szCs w:val="13"/>
              </w:rPr>
              <w:t>7.50</w:t>
            </w:r>
            <w:r w:rsidR="00242D08" w:rsidRPr="00F3555F">
              <w:rPr>
                <w:rFonts w:ascii="Times New Roman" w:hAnsi="Times New Roman"/>
                <w:szCs w:val="13"/>
              </w:rPr>
              <w:t>%</w:t>
            </w:r>
          </w:p>
        </w:tc>
        <w:tc>
          <w:tcPr>
            <w:tcW w:w="2790" w:type="dxa"/>
            <w:vAlign w:val="center"/>
          </w:tcPr>
          <w:p w14:paraId="38A3D498" w14:textId="77777777" w:rsidR="00242D08" w:rsidRPr="00F3555F" w:rsidRDefault="00601DCC" w:rsidP="008D6C5E">
            <w:pPr>
              <w:spacing w:line="240" w:lineRule="auto"/>
              <w:rPr>
                <w:rFonts w:ascii="Times New Roman" w:hAnsi="Times New Roman"/>
                <w:szCs w:val="13"/>
              </w:rPr>
            </w:pPr>
            <w:r w:rsidRPr="00F3555F">
              <w:t xml:space="preserve">Canadian Natural </w:t>
            </w:r>
            <w:proofErr w:type="spellStart"/>
            <w:r w:rsidRPr="00F3555F">
              <w:t>Ressources</w:t>
            </w:r>
            <w:proofErr w:type="spellEnd"/>
            <w:r w:rsidRPr="00F3555F">
              <w:t xml:space="preserve"> Ltd.</w:t>
            </w:r>
          </w:p>
        </w:tc>
      </w:tr>
      <w:tr w:rsidR="00242D08" w:rsidRPr="00E47259" w14:paraId="0316A6F6" w14:textId="77777777" w:rsidTr="00225278">
        <w:trPr>
          <w:tblCellSpacing w:w="15" w:type="dxa"/>
        </w:trPr>
        <w:tc>
          <w:tcPr>
            <w:tcW w:w="1231" w:type="dxa"/>
            <w:vAlign w:val="center"/>
          </w:tcPr>
          <w:p w14:paraId="593FBFCB" w14:textId="77777777" w:rsidR="00242D08" w:rsidRPr="00F3555F" w:rsidRDefault="00B436C4" w:rsidP="008D6C5E">
            <w:pPr>
              <w:spacing w:line="240" w:lineRule="auto"/>
              <w:rPr>
                <w:rFonts w:ascii="Times New Roman" w:hAnsi="Times New Roman"/>
                <w:szCs w:val="13"/>
              </w:rPr>
            </w:pPr>
            <w:r w:rsidRPr="00F3555F">
              <w:rPr>
                <w:rFonts w:ascii="Times New Roman" w:hAnsi="Times New Roman"/>
                <w:szCs w:val="13"/>
              </w:rPr>
              <w:t>7.51</w:t>
            </w:r>
            <w:r w:rsidR="00242D08" w:rsidRPr="00F3555F">
              <w:rPr>
                <w:rFonts w:ascii="Times New Roman" w:hAnsi="Times New Roman"/>
                <w:szCs w:val="13"/>
              </w:rPr>
              <w:t xml:space="preserve">% </w:t>
            </w:r>
          </w:p>
        </w:tc>
        <w:tc>
          <w:tcPr>
            <w:tcW w:w="2916" w:type="dxa"/>
            <w:vAlign w:val="center"/>
          </w:tcPr>
          <w:p w14:paraId="7DADAAAE" w14:textId="77777777" w:rsidR="00242D08" w:rsidRPr="00F3555F" w:rsidRDefault="00B436C4" w:rsidP="008D6C5E">
            <w:pPr>
              <w:spacing w:line="240" w:lineRule="auto"/>
              <w:rPr>
                <w:rFonts w:ascii="Times New Roman" w:hAnsi="Times New Roman"/>
                <w:szCs w:val="13"/>
              </w:rPr>
            </w:pPr>
            <w:r w:rsidRPr="00F3555F">
              <w:t>CENOVUS ENERGY INC.</w:t>
            </w:r>
          </w:p>
        </w:tc>
        <w:tc>
          <w:tcPr>
            <w:tcW w:w="1643" w:type="dxa"/>
            <w:vAlign w:val="center"/>
          </w:tcPr>
          <w:p w14:paraId="0A79DEEF" w14:textId="77777777" w:rsidR="00242D08" w:rsidRPr="00F3555F" w:rsidRDefault="00601DCC" w:rsidP="008D6C5E">
            <w:pPr>
              <w:spacing w:line="240" w:lineRule="auto"/>
              <w:rPr>
                <w:rFonts w:ascii="Times New Roman" w:hAnsi="Times New Roman"/>
                <w:szCs w:val="13"/>
              </w:rPr>
            </w:pPr>
            <w:r w:rsidRPr="00F3555F">
              <w:rPr>
                <w:rFonts w:ascii="Times New Roman" w:hAnsi="Times New Roman"/>
                <w:szCs w:val="13"/>
              </w:rPr>
              <w:t>4.80</w:t>
            </w:r>
            <w:r w:rsidR="00242D08" w:rsidRPr="00F3555F">
              <w:rPr>
                <w:rFonts w:ascii="Times New Roman" w:hAnsi="Times New Roman"/>
                <w:szCs w:val="13"/>
              </w:rPr>
              <w:t>%</w:t>
            </w:r>
          </w:p>
        </w:tc>
        <w:tc>
          <w:tcPr>
            <w:tcW w:w="2790" w:type="dxa"/>
            <w:vAlign w:val="center"/>
          </w:tcPr>
          <w:p w14:paraId="006A24E9" w14:textId="77777777" w:rsidR="00242D08" w:rsidRPr="00F3555F" w:rsidRDefault="00242D08" w:rsidP="008D6C5E">
            <w:pPr>
              <w:spacing w:line="240" w:lineRule="auto"/>
              <w:rPr>
                <w:rFonts w:ascii="Times New Roman" w:hAnsi="Times New Roman"/>
                <w:szCs w:val="13"/>
              </w:rPr>
            </w:pPr>
            <w:r w:rsidRPr="00F3555F">
              <w:t>Cenovus Energy</w:t>
            </w:r>
          </w:p>
        </w:tc>
      </w:tr>
      <w:tr w:rsidR="00242D08" w:rsidRPr="00E47259" w14:paraId="2C8A5967" w14:textId="77777777" w:rsidTr="00225278">
        <w:trPr>
          <w:tblCellSpacing w:w="15" w:type="dxa"/>
        </w:trPr>
        <w:tc>
          <w:tcPr>
            <w:tcW w:w="1231" w:type="dxa"/>
            <w:vAlign w:val="center"/>
          </w:tcPr>
          <w:p w14:paraId="170FD435" w14:textId="77777777" w:rsidR="00242D08" w:rsidRPr="00F3555F" w:rsidRDefault="00B436C4" w:rsidP="008D6C5E">
            <w:pPr>
              <w:spacing w:line="240" w:lineRule="auto"/>
              <w:rPr>
                <w:rFonts w:ascii="Times New Roman" w:hAnsi="Times New Roman"/>
                <w:szCs w:val="13"/>
              </w:rPr>
            </w:pPr>
            <w:r w:rsidRPr="00F3555F">
              <w:rPr>
                <w:rFonts w:ascii="Times New Roman" w:hAnsi="Times New Roman"/>
                <w:szCs w:val="13"/>
              </w:rPr>
              <w:t>5.47</w:t>
            </w:r>
            <w:r w:rsidR="00242D08" w:rsidRPr="00F3555F">
              <w:rPr>
                <w:rFonts w:ascii="Times New Roman" w:hAnsi="Times New Roman"/>
                <w:szCs w:val="13"/>
              </w:rPr>
              <w:t xml:space="preserve">% </w:t>
            </w:r>
          </w:p>
        </w:tc>
        <w:tc>
          <w:tcPr>
            <w:tcW w:w="2916" w:type="dxa"/>
            <w:vAlign w:val="center"/>
          </w:tcPr>
          <w:p w14:paraId="554CB401" w14:textId="77777777" w:rsidR="00242D08" w:rsidRPr="00F3555F" w:rsidRDefault="00B436C4" w:rsidP="008D6C5E">
            <w:pPr>
              <w:spacing w:line="240" w:lineRule="auto"/>
              <w:rPr>
                <w:rFonts w:ascii="Times New Roman" w:hAnsi="Times New Roman"/>
                <w:szCs w:val="13"/>
              </w:rPr>
            </w:pPr>
            <w:r w:rsidRPr="00F3555F">
              <w:t>ENCANA</w:t>
            </w:r>
          </w:p>
        </w:tc>
        <w:tc>
          <w:tcPr>
            <w:tcW w:w="1643" w:type="dxa"/>
            <w:vAlign w:val="center"/>
          </w:tcPr>
          <w:p w14:paraId="7AA26523" w14:textId="77777777" w:rsidR="00242D08" w:rsidRPr="00F3555F" w:rsidRDefault="00242D08" w:rsidP="008D6C5E">
            <w:pPr>
              <w:spacing w:line="240" w:lineRule="auto"/>
              <w:rPr>
                <w:rFonts w:ascii="Times New Roman" w:hAnsi="Times New Roman"/>
                <w:szCs w:val="13"/>
              </w:rPr>
            </w:pPr>
            <w:r w:rsidRPr="00F3555F">
              <w:rPr>
                <w:rFonts w:ascii="Times New Roman" w:hAnsi="Times New Roman"/>
                <w:szCs w:val="13"/>
              </w:rPr>
              <w:t>4.</w:t>
            </w:r>
            <w:r w:rsidR="00601DCC" w:rsidRPr="00F3555F">
              <w:rPr>
                <w:rFonts w:ascii="Times New Roman" w:hAnsi="Times New Roman"/>
                <w:szCs w:val="13"/>
              </w:rPr>
              <w:t>10</w:t>
            </w:r>
            <w:r w:rsidRPr="00F3555F">
              <w:rPr>
                <w:rFonts w:ascii="Times New Roman" w:hAnsi="Times New Roman"/>
                <w:szCs w:val="13"/>
              </w:rPr>
              <w:t>%</w:t>
            </w:r>
          </w:p>
        </w:tc>
        <w:tc>
          <w:tcPr>
            <w:tcW w:w="2790" w:type="dxa"/>
            <w:vAlign w:val="center"/>
          </w:tcPr>
          <w:p w14:paraId="430EDEE9" w14:textId="77777777" w:rsidR="00242D08" w:rsidRPr="00F3555F" w:rsidRDefault="00601DCC" w:rsidP="008D6C5E">
            <w:pPr>
              <w:spacing w:line="240" w:lineRule="auto"/>
              <w:rPr>
                <w:rFonts w:ascii="Times New Roman" w:hAnsi="Times New Roman"/>
                <w:szCs w:val="13"/>
              </w:rPr>
            </w:pPr>
            <w:r w:rsidRPr="00F3555F">
              <w:t>TransCanada Corp.</w:t>
            </w:r>
          </w:p>
        </w:tc>
      </w:tr>
      <w:tr w:rsidR="00242D08" w:rsidRPr="00E47259" w14:paraId="20E80336" w14:textId="77777777" w:rsidTr="00225278">
        <w:trPr>
          <w:tblCellSpacing w:w="15" w:type="dxa"/>
        </w:trPr>
        <w:tc>
          <w:tcPr>
            <w:tcW w:w="1231" w:type="dxa"/>
            <w:vAlign w:val="center"/>
          </w:tcPr>
          <w:p w14:paraId="52948634" w14:textId="77777777" w:rsidR="00242D08" w:rsidRPr="00F3555F" w:rsidRDefault="00B436C4" w:rsidP="008D6C5E">
            <w:pPr>
              <w:spacing w:line="240" w:lineRule="auto"/>
              <w:rPr>
                <w:rFonts w:ascii="Times New Roman" w:hAnsi="Times New Roman"/>
                <w:szCs w:val="13"/>
              </w:rPr>
            </w:pPr>
            <w:r w:rsidRPr="00F3555F">
              <w:rPr>
                <w:rFonts w:ascii="Times New Roman" w:hAnsi="Times New Roman"/>
                <w:szCs w:val="13"/>
              </w:rPr>
              <w:t>5.41</w:t>
            </w:r>
            <w:r w:rsidR="00242D08" w:rsidRPr="00F3555F">
              <w:rPr>
                <w:rFonts w:ascii="Times New Roman" w:hAnsi="Times New Roman"/>
                <w:szCs w:val="13"/>
              </w:rPr>
              <w:t xml:space="preserve">% </w:t>
            </w:r>
          </w:p>
        </w:tc>
        <w:tc>
          <w:tcPr>
            <w:tcW w:w="2916" w:type="dxa"/>
            <w:vAlign w:val="center"/>
          </w:tcPr>
          <w:p w14:paraId="26ED652A" w14:textId="77777777" w:rsidR="00242D08" w:rsidRPr="00F3555F" w:rsidRDefault="00B436C4" w:rsidP="000248D9">
            <w:pPr>
              <w:spacing w:line="240" w:lineRule="auto"/>
              <w:rPr>
                <w:rFonts w:ascii="Times New Roman" w:hAnsi="Times New Roman"/>
                <w:szCs w:val="13"/>
              </w:rPr>
            </w:pPr>
            <w:r w:rsidRPr="00F3555F">
              <w:t xml:space="preserve">CRESCENT POINT ENERGY </w:t>
            </w:r>
            <w:r w:rsidR="00601DCC" w:rsidRPr="00F3555F">
              <w:t>CORP.</w:t>
            </w:r>
          </w:p>
        </w:tc>
        <w:tc>
          <w:tcPr>
            <w:tcW w:w="1643" w:type="dxa"/>
            <w:vAlign w:val="center"/>
          </w:tcPr>
          <w:p w14:paraId="7C4EC1CA" w14:textId="77777777" w:rsidR="00242D08" w:rsidRPr="00F3555F" w:rsidRDefault="00242D08" w:rsidP="008D6C5E">
            <w:pPr>
              <w:spacing w:line="240" w:lineRule="auto"/>
              <w:rPr>
                <w:rFonts w:ascii="Times New Roman" w:hAnsi="Times New Roman"/>
                <w:szCs w:val="13"/>
              </w:rPr>
            </w:pPr>
            <w:r w:rsidRPr="00F3555F">
              <w:rPr>
                <w:rFonts w:ascii="Times New Roman" w:hAnsi="Times New Roman"/>
                <w:szCs w:val="13"/>
              </w:rPr>
              <w:t>3.</w:t>
            </w:r>
            <w:r w:rsidR="00601DCC" w:rsidRPr="00F3555F">
              <w:rPr>
                <w:rFonts w:ascii="Times New Roman" w:hAnsi="Times New Roman"/>
                <w:szCs w:val="13"/>
              </w:rPr>
              <w:t>90</w:t>
            </w:r>
            <w:r w:rsidRPr="00F3555F">
              <w:rPr>
                <w:rFonts w:ascii="Times New Roman" w:hAnsi="Times New Roman"/>
                <w:szCs w:val="13"/>
              </w:rPr>
              <w:t>%</w:t>
            </w:r>
          </w:p>
        </w:tc>
        <w:tc>
          <w:tcPr>
            <w:tcW w:w="2790" w:type="dxa"/>
            <w:vAlign w:val="center"/>
          </w:tcPr>
          <w:p w14:paraId="746D51CC" w14:textId="77777777" w:rsidR="00242D08" w:rsidRPr="00F3555F" w:rsidRDefault="00601DCC" w:rsidP="008D6C5E">
            <w:pPr>
              <w:spacing w:line="240" w:lineRule="auto"/>
              <w:rPr>
                <w:rFonts w:ascii="Times New Roman" w:hAnsi="Times New Roman"/>
                <w:szCs w:val="13"/>
              </w:rPr>
            </w:pPr>
            <w:r w:rsidRPr="00F3555F">
              <w:t>Encana Corp.</w:t>
            </w:r>
          </w:p>
        </w:tc>
      </w:tr>
    </w:tbl>
    <w:p w14:paraId="7FCFEB15" w14:textId="77777777" w:rsidR="00242D08" w:rsidRDefault="00242D08" w:rsidP="006743F1">
      <w:pPr>
        <w:spacing w:line="240" w:lineRule="auto"/>
        <w:rPr>
          <w:rFonts w:ascii="Times New Roman" w:hAnsi="Times New Roman"/>
          <w:szCs w:val="15"/>
        </w:rPr>
      </w:pPr>
    </w:p>
    <w:p w14:paraId="667A74DF" w14:textId="77777777" w:rsidR="00242D08" w:rsidRPr="006743F1" w:rsidRDefault="00242D08" w:rsidP="002D1C6E">
      <w:pPr>
        <w:spacing w:line="240" w:lineRule="auto"/>
        <w:ind w:left="54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910"/>
        <w:gridCol w:w="836"/>
        <w:gridCol w:w="1501"/>
        <w:gridCol w:w="2348"/>
      </w:tblGrid>
      <w:tr w:rsidR="00242D08" w:rsidRPr="00E047F2" w14:paraId="5F59B264" w14:textId="77777777" w:rsidTr="00225278">
        <w:tc>
          <w:tcPr>
            <w:tcW w:w="2628" w:type="dxa"/>
          </w:tcPr>
          <w:p w14:paraId="02E26CC0" w14:textId="77777777" w:rsidR="00242D08" w:rsidRPr="00E047F2" w:rsidRDefault="00242D08" w:rsidP="00225278">
            <w:pPr>
              <w:spacing w:line="240" w:lineRule="auto"/>
              <w:rPr>
                <w:rFonts w:ascii="Times New Roman" w:hAnsi="Times New Roman"/>
              </w:rPr>
            </w:pPr>
            <w:r w:rsidRPr="00E047F2">
              <w:rPr>
                <w:rFonts w:ascii="Times New Roman" w:hAnsi="Times New Roman"/>
              </w:rPr>
              <w:t>Fund Name</w:t>
            </w:r>
          </w:p>
        </w:tc>
        <w:tc>
          <w:tcPr>
            <w:tcW w:w="910" w:type="dxa"/>
          </w:tcPr>
          <w:p w14:paraId="4372BE24" w14:textId="77777777" w:rsidR="00242D08" w:rsidRPr="00E047F2" w:rsidRDefault="00242D08" w:rsidP="00225278">
            <w:pPr>
              <w:spacing w:line="240" w:lineRule="auto"/>
              <w:rPr>
                <w:rFonts w:ascii="Times New Roman" w:hAnsi="Times New Roman"/>
              </w:rPr>
            </w:pPr>
            <w:r w:rsidRPr="00E047F2">
              <w:rPr>
                <w:rFonts w:ascii="Times New Roman" w:hAnsi="Times New Roman"/>
              </w:rPr>
              <w:t>Fund Type</w:t>
            </w:r>
          </w:p>
        </w:tc>
        <w:tc>
          <w:tcPr>
            <w:tcW w:w="836" w:type="dxa"/>
          </w:tcPr>
          <w:p w14:paraId="23F5545B" w14:textId="77777777" w:rsidR="00242D08" w:rsidRPr="00E047F2" w:rsidRDefault="00242D08" w:rsidP="00225278">
            <w:pPr>
              <w:spacing w:line="240" w:lineRule="auto"/>
              <w:rPr>
                <w:rFonts w:ascii="Times New Roman" w:hAnsi="Times New Roman"/>
              </w:rPr>
            </w:pPr>
            <w:r w:rsidRPr="00E047F2">
              <w:rPr>
                <w:rFonts w:ascii="Times New Roman" w:hAnsi="Times New Roman"/>
              </w:rPr>
              <w:t>MER</w:t>
            </w:r>
          </w:p>
        </w:tc>
        <w:tc>
          <w:tcPr>
            <w:tcW w:w="1501" w:type="dxa"/>
          </w:tcPr>
          <w:p w14:paraId="15B1F968" w14:textId="77777777" w:rsidR="00242D08" w:rsidRPr="00E047F2" w:rsidRDefault="00242D08" w:rsidP="00225278">
            <w:pPr>
              <w:spacing w:line="240" w:lineRule="auto"/>
              <w:rPr>
                <w:rFonts w:ascii="Times New Roman" w:hAnsi="Times New Roman"/>
              </w:rPr>
            </w:pPr>
            <w:r w:rsidRPr="00E047F2">
              <w:rPr>
                <w:rFonts w:ascii="Times New Roman" w:hAnsi="Times New Roman"/>
              </w:rPr>
              <w:t>One year rate of return</w:t>
            </w:r>
          </w:p>
        </w:tc>
        <w:tc>
          <w:tcPr>
            <w:tcW w:w="2348" w:type="dxa"/>
          </w:tcPr>
          <w:p w14:paraId="67B9D628" w14:textId="77777777" w:rsidR="00242D08" w:rsidRPr="00E047F2" w:rsidRDefault="00242D08" w:rsidP="00225278">
            <w:pPr>
              <w:spacing w:line="240" w:lineRule="auto"/>
              <w:rPr>
                <w:rFonts w:ascii="Times New Roman" w:hAnsi="Times New Roman"/>
              </w:rPr>
            </w:pPr>
            <w:r w:rsidRPr="00E047F2">
              <w:rPr>
                <w:rFonts w:ascii="Times New Roman" w:hAnsi="Times New Roman"/>
              </w:rPr>
              <w:t>Benchmark Index</w:t>
            </w:r>
          </w:p>
        </w:tc>
      </w:tr>
      <w:tr w:rsidR="00242D08" w:rsidRPr="00E047F2" w14:paraId="6942E54B" w14:textId="77777777" w:rsidTr="00225278">
        <w:tc>
          <w:tcPr>
            <w:tcW w:w="2628" w:type="dxa"/>
          </w:tcPr>
          <w:p w14:paraId="0F1D9BD2" w14:textId="77777777" w:rsidR="00E47259" w:rsidRPr="00FE7192" w:rsidRDefault="00E47259" w:rsidP="00E47259">
            <w:pPr>
              <w:pStyle w:val="ListParagraph"/>
              <w:numPr>
                <w:ilvl w:val="0"/>
                <w:numId w:val="25"/>
              </w:numPr>
              <w:spacing w:line="240" w:lineRule="auto"/>
              <w:rPr>
                <w:rFonts w:ascii="Times New Roman" w:hAnsi="Times New Roman"/>
                <w:szCs w:val="15"/>
              </w:rPr>
            </w:pPr>
            <w:r w:rsidRPr="00FE7192">
              <w:rPr>
                <w:rFonts w:ascii="Times New Roman" w:hAnsi="Times New Roman"/>
                <w:szCs w:val="15"/>
              </w:rPr>
              <w:t xml:space="preserve">iShares™ CDN </w:t>
            </w:r>
            <w:proofErr w:type="spellStart"/>
            <w:r w:rsidRPr="00FE7192">
              <w:rPr>
                <w:rFonts w:ascii="Times New Roman" w:hAnsi="Times New Roman"/>
                <w:szCs w:val="15"/>
              </w:rPr>
              <w:t>Jantzi</w:t>
            </w:r>
            <w:proofErr w:type="spellEnd"/>
            <w:r w:rsidRPr="00FE7192">
              <w:rPr>
                <w:rFonts w:ascii="Times New Roman" w:hAnsi="Times New Roman"/>
                <w:szCs w:val="15"/>
              </w:rPr>
              <w:t xml:space="preserve"> Social Index® Fund</w:t>
            </w:r>
          </w:p>
          <w:p w14:paraId="7DEF7391" w14:textId="77777777" w:rsidR="00242D08" w:rsidRPr="002D1C6E" w:rsidRDefault="00242D08" w:rsidP="00225278">
            <w:pPr>
              <w:shd w:val="clear" w:color="auto" w:fill="FFFFFF"/>
              <w:spacing w:line="240" w:lineRule="auto"/>
              <w:rPr>
                <w:rFonts w:ascii="Times New Roman" w:hAnsi="Times New Roman"/>
                <w:szCs w:val="15"/>
              </w:rPr>
            </w:pPr>
          </w:p>
        </w:tc>
        <w:tc>
          <w:tcPr>
            <w:tcW w:w="910" w:type="dxa"/>
          </w:tcPr>
          <w:p w14:paraId="66318F4A" w14:textId="77777777" w:rsidR="00242D08" w:rsidRPr="002D1C6E" w:rsidRDefault="00242D08" w:rsidP="00225278">
            <w:pPr>
              <w:spacing w:line="240" w:lineRule="auto"/>
              <w:rPr>
                <w:rFonts w:ascii="Times New Roman" w:hAnsi="Times New Roman"/>
                <w:szCs w:val="15"/>
              </w:rPr>
            </w:pPr>
            <w:r w:rsidRPr="002D1C6E">
              <w:rPr>
                <w:rFonts w:ascii="Times New Roman" w:hAnsi="Times New Roman"/>
                <w:szCs w:val="15"/>
              </w:rPr>
              <w:t>ETF</w:t>
            </w:r>
          </w:p>
        </w:tc>
        <w:tc>
          <w:tcPr>
            <w:tcW w:w="836" w:type="dxa"/>
          </w:tcPr>
          <w:p w14:paraId="1652EF6A" w14:textId="77777777" w:rsidR="00242D08" w:rsidRPr="002D1C6E" w:rsidRDefault="00242D08" w:rsidP="00225278">
            <w:pPr>
              <w:spacing w:line="240" w:lineRule="auto"/>
              <w:rPr>
                <w:rFonts w:ascii="Times New Roman" w:hAnsi="Times New Roman"/>
              </w:rPr>
            </w:pPr>
            <w:r>
              <w:rPr>
                <w:rFonts w:ascii="Times New Roman" w:hAnsi="Times New Roman"/>
                <w:szCs w:val="15"/>
              </w:rPr>
              <w:t>.</w:t>
            </w:r>
            <w:r w:rsidRPr="00754364">
              <w:rPr>
                <w:rFonts w:ascii="Times New Roman" w:hAnsi="Times New Roman"/>
                <w:szCs w:val="15"/>
              </w:rPr>
              <w:t>5</w:t>
            </w:r>
            <w:r w:rsidR="001F5964">
              <w:rPr>
                <w:rFonts w:ascii="Times New Roman" w:hAnsi="Times New Roman"/>
                <w:szCs w:val="15"/>
              </w:rPr>
              <w:t>5</w:t>
            </w:r>
            <w:r w:rsidRPr="00754364">
              <w:rPr>
                <w:rFonts w:ascii="Times New Roman" w:hAnsi="Times New Roman"/>
                <w:szCs w:val="15"/>
              </w:rPr>
              <w:t>%</w:t>
            </w:r>
          </w:p>
        </w:tc>
        <w:tc>
          <w:tcPr>
            <w:tcW w:w="1501" w:type="dxa"/>
          </w:tcPr>
          <w:p w14:paraId="06B76DB5" w14:textId="77777777" w:rsidR="00242D08" w:rsidRPr="006743F1" w:rsidRDefault="00E47259" w:rsidP="00225278">
            <w:pPr>
              <w:spacing w:line="240" w:lineRule="auto"/>
              <w:rPr>
                <w:rFonts w:ascii="Times New Roman" w:hAnsi="Times New Roman"/>
              </w:rPr>
            </w:pPr>
            <w:r>
              <w:rPr>
                <w:rFonts w:ascii="Times New Roman" w:hAnsi="Times New Roman"/>
              </w:rPr>
              <w:t>6.28</w:t>
            </w:r>
            <w:r w:rsidR="00242D08">
              <w:rPr>
                <w:rFonts w:ascii="Times New Roman" w:hAnsi="Times New Roman"/>
              </w:rPr>
              <w:t>%</w:t>
            </w:r>
          </w:p>
          <w:p w14:paraId="45F87512" w14:textId="77777777" w:rsidR="00242D08" w:rsidRPr="002D1C6E" w:rsidRDefault="00242D08" w:rsidP="00225278">
            <w:pPr>
              <w:spacing w:line="240" w:lineRule="auto"/>
              <w:rPr>
                <w:rFonts w:ascii="Times New Roman" w:hAnsi="Times New Roman"/>
              </w:rPr>
            </w:pPr>
          </w:p>
        </w:tc>
        <w:tc>
          <w:tcPr>
            <w:tcW w:w="2348" w:type="dxa"/>
          </w:tcPr>
          <w:p w14:paraId="67B015D8" w14:textId="77777777" w:rsidR="00242D08" w:rsidRPr="002D1C6E" w:rsidRDefault="00242D08" w:rsidP="00225278">
            <w:pPr>
              <w:spacing w:line="240" w:lineRule="auto"/>
              <w:rPr>
                <w:rFonts w:ascii="Times New Roman" w:hAnsi="Times New Roman"/>
              </w:rPr>
            </w:pPr>
            <w:proofErr w:type="spellStart"/>
            <w:r w:rsidRPr="00754364">
              <w:rPr>
                <w:rFonts w:ascii="Times New Roman" w:hAnsi="Times New Roman"/>
                <w:szCs w:val="15"/>
              </w:rPr>
              <w:t>Jantzi</w:t>
            </w:r>
            <w:proofErr w:type="spellEnd"/>
            <w:r w:rsidRPr="00754364">
              <w:rPr>
                <w:rFonts w:ascii="Times New Roman" w:hAnsi="Times New Roman"/>
                <w:szCs w:val="15"/>
              </w:rPr>
              <w:t xml:space="preserve"> Social Index</w:t>
            </w:r>
          </w:p>
        </w:tc>
      </w:tr>
      <w:tr w:rsidR="00242D08" w:rsidRPr="00E047F2" w14:paraId="0AF0698C" w14:textId="77777777" w:rsidTr="00225278">
        <w:tc>
          <w:tcPr>
            <w:tcW w:w="2628" w:type="dxa"/>
          </w:tcPr>
          <w:p w14:paraId="466368AE" w14:textId="77777777" w:rsidR="00242D08" w:rsidRPr="00E047F2" w:rsidRDefault="00242D08" w:rsidP="00225278">
            <w:pPr>
              <w:spacing w:line="240" w:lineRule="auto"/>
              <w:rPr>
                <w:rFonts w:ascii="Times New Roman" w:hAnsi="Times New Roman"/>
              </w:rPr>
            </w:pPr>
            <w:r w:rsidRPr="006743F1">
              <w:rPr>
                <w:szCs w:val="24"/>
                <w:lang w:val="en-CA"/>
              </w:rPr>
              <w:t xml:space="preserve">RBC </w:t>
            </w:r>
            <w:proofErr w:type="spellStart"/>
            <w:r w:rsidRPr="006743F1">
              <w:rPr>
                <w:szCs w:val="24"/>
                <w:lang w:val="en-CA"/>
              </w:rPr>
              <w:t>Jantzi</w:t>
            </w:r>
            <w:proofErr w:type="spellEnd"/>
            <w:r w:rsidRPr="006743F1">
              <w:rPr>
                <w:szCs w:val="24"/>
                <w:lang w:val="en-CA"/>
              </w:rPr>
              <w:t xml:space="preserve"> Canadian Equity</w:t>
            </w:r>
          </w:p>
        </w:tc>
        <w:tc>
          <w:tcPr>
            <w:tcW w:w="910" w:type="dxa"/>
          </w:tcPr>
          <w:p w14:paraId="6EB3AD68" w14:textId="77777777" w:rsidR="00242D08" w:rsidRPr="00E047F2" w:rsidRDefault="00242D08" w:rsidP="00225278">
            <w:pPr>
              <w:spacing w:line="240" w:lineRule="auto"/>
              <w:rPr>
                <w:rFonts w:ascii="Times New Roman" w:hAnsi="Times New Roman"/>
                <w:lang w:val="en-CA"/>
              </w:rPr>
            </w:pPr>
            <w:r w:rsidRPr="00E047F2">
              <w:rPr>
                <w:rFonts w:ascii="Times New Roman" w:hAnsi="Times New Roman"/>
                <w:lang w:val="en-CA"/>
              </w:rPr>
              <w:t>Mutual</w:t>
            </w:r>
          </w:p>
        </w:tc>
        <w:tc>
          <w:tcPr>
            <w:tcW w:w="836" w:type="dxa"/>
          </w:tcPr>
          <w:p w14:paraId="7E105295" w14:textId="77777777" w:rsidR="00242D08" w:rsidRPr="00E047F2" w:rsidRDefault="00865786" w:rsidP="008B7708">
            <w:pPr>
              <w:spacing w:line="240" w:lineRule="auto"/>
              <w:rPr>
                <w:rFonts w:ascii="Times New Roman" w:hAnsi="Times New Roman"/>
              </w:rPr>
            </w:pPr>
            <w:r>
              <w:rPr>
                <w:rFonts w:ascii="Times New Roman" w:hAnsi="Times New Roman"/>
              </w:rPr>
              <w:t>1.87</w:t>
            </w:r>
            <w:r w:rsidR="00242D08" w:rsidRPr="006743F1">
              <w:rPr>
                <w:rFonts w:ascii="Times New Roman" w:hAnsi="Times New Roman"/>
              </w:rPr>
              <w:t>%</w:t>
            </w:r>
          </w:p>
        </w:tc>
        <w:tc>
          <w:tcPr>
            <w:tcW w:w="1501" w:type="dxa"/>
          </w:tcPr>
          <w:p w14:paraId="533D1C3B" w14:textId="77777777" w:rsidR="00242D08" w:rsidRPr="00E047F2" w:rsidRDefault="00865786" w:rsidP="00225278">
            <w:pPr>
              <w:spacing w:line="240" w:lineRule="auto"/>
              <w:rPr>
                <w:rFonts w:ascii="Times New Roman" w:hAnsi="Times New Roman"/>
              </w:rPr>
            </w:pPr>
            <w:r>
              <w:rPr>
                <w:rStyle w:val="detail"/>
                <w:lang w:val="en-CA"/>
              </w:rPr>
              <w:t>11.90</w:t>
            </w:r>
            <w:r w:rsidR="00242D08">
              <w:rPr>
                <w:rStyle w:val="detail"/>
                <w:lang w:val="en-CA"/>
              </w:rPr>
              <w:t>%</w:t>
            </w:r>
          </w:p>
        </w:tc>
        <w:tc>
          <w:tcPr>
            <w:tcW w:w="2348" w:type="dxa"/>
          </w:tcPr>
          <w:p w14:paraId="6A70F83F" w14:textId="77777777" w:rsidR="00242D08" w:rsidRPr="008205BF" w:rsidRDefault="00242D08" w:rsidP="00225278">
            <w:pPr>
              <w:pStyle w:val="footnote"/>
              <w:spacing w:before="0" w:beforeAutospacing="0" w:after="0" w:afterAutospacing="0"/>
              <w:rPr>
                <w:lang w:val="en-CA"/>
              </w:rPr>
            </w:pPr>
            <w:r w:rsidRPr="006743F1">
              <w:rPr>
                <w:lang w:val="en-CA"/>
              </w:rPr>
              <w:t>S&amp;P/TSX Total Return</w:t>
            </w:r>
          </w:p>
        </w:tc>
      </w:tr>
    </w:tbl>
    <w:p w14:paraId="440DDF79" w14:textId="77777777" w:rsidR="00242D08" w:rsidRDefault="00242D08" w:rsidP="00225278">
      <w:pPr>
        <w:shd w:val="clear" w:color="auto" w:fill="FFFFFF"/>
        <w:spacing w:line="240" w:lineRule="auto"/>
        <w:rPr>
          <w:rFonts w:ascii="Times New Roman" w:hAnsi="Times New Roman"/>
          <w:szCs w:val="13"/>
        </w:rPr>
      </w:pPr>
    </w:p>
    <w:p w14:paraId="634306F6" w14:textId="77777777" w:rsidR="00242D08" w:rsidRPr="00754364" w:rsidRDefault="00242D08" w:rsidP="00225278">
      <w:pPr>
        <w:shd w:val="clear" w:color="auto" w:fill="FFFFFF"/>
        <w:spacing w:line="240" w:lineRule="auto"/>
        <w:rPr>
          <w:rFonts w:ascii="Times New Roman" w:hAnsi="Times New Roman"/>
          <w:szCs w:val="13"/>
        </w:rPr>
      </w:pPr>
    </w:p>
    <w:tbl>
      <w:tblPr>
        <w:tblW w:w="8730" w:type="dxa"/>
        <w:tblCellSpacing w:w="15" w:type="dxa"/>
        <w:tblCellMar>
          <w:top w:w="15" w:type="dxa"/>
          <w:left w:w="15" w:type="dxa"/>
          <w:bottom w:w="15" w:type="dxa"/>
          <w:right w:w="15" w:type="dxa"/>
        </w:tblCellMar>
        <w:tblLook w:val="0000" w:firstRow="0" w:lastRow="0" w:firstColumn="0" w:lastColumn="0" w:noHBand="0" w:noVBand="0"/>
      </w:tblPr>
      <w:tblGrid>
        <w:gridCol w:w="1098"/>
        <w:gridCol w:w="3267"/>
        <w:gridCol w:w="2018"/>
        <w:gridCol w:w="2347"/>
      </w:tblGrid>
      <w:tr w:rsidR="00242D08" w:rsidRPr="00F3555F" w14:paraId="50861A77" w14:textId="77777777" w:rsidTr="008C27C8">
        <w:trPr>
          <w:tblCellSpacing w:w="15" w:type="dxa"/>
        </w:trPr>
        <w:tc>
          <w:tcPr>
            <w:tcW w:w="4320" w:type="dxa"/>
            <w:gridSpan w:val="2"/>
            <w:vAlign w:val="center"/>
          </w:tcPr>
          <w:p w14:paraId="1D6EFBB0" w14:textId="77777777" w:rsidR="00242D08" w:rsidRPr="00F3555F" w:rsidRDefault="00242D08" w:rsidP="008C27C8">
            <w:pPr>
              <w:spacing w:line="240" w:lineRule="auto"/>
              <w:rPr>
                <w:rFonts w:ascii="Times New Roman" w:hAnsi="Times New Roman"/>
                <w:szCs w:val="15"/>
              </w:rPr>
            </w:pPr>
            <w:r w:rsidRPr="00F3555F">
              <w:rPr>
                <w:rFonts w:ascii="Times New Roman" w:hAnsi="Times New Roman"/>
                <w:szCs w:val="15"/>
              </w:rPr>
              <w:t xml:space="preserve">iShares™ CDN </w:t>
            </w:r>
            <w:proofErr w:type="spellStart"/>
            <w:r w:rsidRPr="00F3555F">
              <w:rPr>
                <w:rFonts w:ascii="Times New Roman" w:hAnsi="Times New Roman"/>
                <w:szCs w:val="15"/>
              </w:rPr>
              <w:t>Jantzi</w:t>
            </w:r>
            <w:proofErr w:type="spellEnd"/>
            <w:r w:rsidRPr="00F3555F">
              <w:rPr>
                <w:rFonts w:ascii="Times New Roman" w:hAnsi="Times New Roman"/>
                <w:szCs w:val="15"/>
              </w:rPr>
              <w:t xml:space="preserve"> Social Index® Fund</w:t>
            </w:r>
          </w:p>
          <w:p w14:paraId="45BA4D21" w14:textId="77777777" w:rsidR="00242D08" w:rsidRPr="00F3555F" w:rsidRDefault="00242D08" w:rsidP="00225278">
            <w:pPr>
              <w:spacing w:line="240" w:lineRule="auto"/>
              <w:rPr>
                <w:rFonts w:ascii="Times New Roman" w:hAnsi="Times New Roman"/>
                <w:szCs w:val="10"/>
              </w:rPr>
            </w:pPr>
          </w:p>
        </w:tc>
        <w:tc>
          <w:tcPr>
            <w:tcW w:w="4320" w:type="dxa"/>
            <w:gridSpan w:val="2"/>
          </w:tcPr>
          <w:p w14:paraId="172DBBB0" w14:textId="77777777" w:rsidR="00242D08" w:rsidRPr="00F3555F" w:rsidRDefault="00242D08" w:rsidP="008C27C8">
            <w:pPr>
              <w:spacing w:line="240" w:lineRule="auto"/>
              <w:rPr>
                <w:rFonts w:ascii="Times New Roman" w:hAnsi="Times New Roman"/>
                <w:szCs w:val="15"/>
              </w:rPr>
            </w:pPr>
            <w:r w:rsidRPr="00F3555F">
              <w:rPr>
                <w:szCs w:val="24"/>
                <w:lang w:val="en-CA"/>
              </w:rPr>
              <w:t xml:space="preserve">RBC </w:t>
            </w:r>
            <w:proofErr w:type="spellStart"/>
            <w:r w:rsidRPr="00F3555F">
              <w:rPr>
                <w:szCs w:val="24"/>
                <w:lang w:val="en-CA"/>
              </w:rPr>
              <w:t>Jantzi</w:t>
            </w:r>
            <w:proofErr w:type="spellEnd"/>
            <w:r w:rsidRPr="00F3555F">
              <w:rPr>
                <w:szCs w:val="24"/>
                <w:lang w:val="en-CA"/>
              </w:rPr>
              <w:t xml:space="preserve"> Canadian Equity</w:t>
            </w:r>
          </w:p>
        </w:tc>
      </w:tr>
      <w:tr w:rsidR="00242D08" w:rsidRPr="00F3555F" w14:paraId="2977EE1B" w14:textId="77777777" w:rsidTr="008C27C8">
        <w:trPr>
          <w:tblCellSpacing w:w="15" w:type="dxa"/>
        </w:trPr>
        <w:tc>
          <w:tcPr>
            <w:tcW w:w="4320" w:type="dxa"/>
            <w:gridSpan w:val="2"/>
            <w:vAlign w:val="center"/>
          </w:tcPr>
          <w:p w14:paraId="43B224AB" w14:textId="77777777" w:rsidR="00242D08" w:rsidRPr="00F3555F" w:rsidRDefault="00242D08" w:rsidP="0055462B">
            <w:pPr>
              <w:pStyle w:val="Heading4"/>
              <w:spacing w:before="0" w:beforeAutospacing="0" w:after="0" w:afterAutospacing="0"/>
              <w:rPr>
                <w:b w:val="0"/>
                <w:lang w:val="en-CA"/>
              </w:rPr>
            </w:pPr>
            <w:r w:rsidRPr="00F3555F">
              <w:rPr>
                <w:b w:val="0"/>
                <w:lang w:val="en-CA"/>
              </w:rPr>
              <w:t>Top Holdings</w:t>
            </w:r>
            <w:r w:rsidRPr="00F3555F">
              <w:rPr>
                <w:lang w:val="en-CA"/>
              </w:rPr>
              <w:t xml:space="preserve"> </w:t>
            </w:r>
            <w:r w:rsidRPr="00F3555F">
              <w:rPr>
                <w:rStyle w:val="detail"/>
                <w:b w:val="0"/>
                <w:lang w:val="en-CA"/>
              </w:rPr>
              <w:t xml:space="preserve">as at </w:t>
            </w:r>
            <w:r w:rsidR="000048AB" w:rsidRPr="00F3555F">
              <w:rPr>
                <w:rStyle w:val="detail"/>
                <w:b w:val="0"/>
                <w:lang w:val="en-CA"/>
              </w:rPr>
              <w:t>September 30, 2014</w:t>
            </w:r>
            <w:r w:rsidRPr="00F3555F">
              <w:rPr>
                <w:lang w:val="en-CA"/>
              </w:rPr>
              <w:t xml:space="preserve"> </w:t>
            </w:r>
          </w:p>
          <w:p w14:paraId="24357B01" w14:textId="77777777" w:rsidR="00242D08" w:rsidRPr="00F3555F" w:rsidRDefault="00242D08" w:rsidP="008C27C8">
            <w:pPr>
              <w:spacing w:line="240" w:lineRule="auto"/>
              <w:rPr>
                <w:rFonts w:ascii="Times New Roman" w:hAnsi="Times New Roman"/>
                <w:szCs w:val="10"/>
              </w:rPr>
            </w:pPr>
          </w:p>
        </w:tc>
        <w:tc>
          <w:tcPr>
            <w:tcW w:w="4320" w:type="dxa"/>
            <w:gridSpan w:val="2"/>
          </w:tcPr>
          <w:p w14:paraId="32BCA8C2" w14:textId="77777777" w:rsidR="00242D08" w:rsidRPr="00F3555F" w:rsidRDefault="00242D08" w:rsidP="0055462B">
            <w:pPr>
              <w:pStyle w:val="Heading4"/>
              <w:spacing w:before="0" w:beforeAutospacing="0" w:after="0" w:afterAutospacing="0"/>
              <w:rPr>
                <w:b w:val="0"/>
                <w:lang w:val="en-CA"/>
              </w:rPr>
            </w:pPr>
            <w:r w:rsidRPr="00F3555F">
              <w:rPr>
                <w:b w:val="0"/>
                <w:lang w:val="en-CA"/>
              </w:rPr>
              <w:t>Top Holdings</w:t>
            </w:r>
            <w:r w:rsidRPr="00F3555F">
              <w:rPr>
                <w:lang w:val="en-CA"/>
              </w:rPr>
              <w:t xml:space="preserve"> </w:t>
            </w:r>
            <w:r w:rsidRPr="00F3555F">
              <w:rPr>
                <w:rStyle w:val="detail"/>
                <w:b w:val="0"/>
                <w:lang w:val="en-CA"/>
              </w:rPr>
              <w:t xml:space="preserve">as at </w:t>
            </w:r>
            <w:r w:rsidR="000048AB" w:rsidRPr="00F3555F">
              <w:rPr>
                <w:rStyle w:val="detail"/>
                <w:b w:val="0"/>
                <w:lang w:val="en-CA"/>
              </w:rPr>
              <w:t>October 23, 2014</w:t>
            </w:r>
            <w:r w:rsidRPr="00F3555F">
              <w:rPr>
                <w:lang w:val="en-CA"/>
              </w:rPr>
              <w:t xml:space="preserve"> </w:t>
            </w:r>
          </w:p>
          <w:p w14:paraId="0AA2FAB0" w14:textId="77777777" w:rsidR="00242D08" w:rsidRPr="00F3555F" w:rsidRDefault="00242D08" w:rsidP="008C27C8">
            <w:pPr>
              <w:spacing w:line="240" w:lineRule="auto"/>
              <w:rPr>
                <w:rFonts w:ascii="Times New Roman" w:hAnsi="Times New Roman"/>
                <w:szCs w:val="10"/>
              </w:rPr>
            </w:pPr>
          </w:p>
        </w:tc>
      </w:tr>
      <w:tr w:rsidR="00242D08" w:rsidRPr="00F3555F" w14:paraId="627DEB2C" w14:textId="77777777" w:rsidTr="008C27C8">
        <w:trPr>
          <w:tblCellSpacing w:w="15" w:type="dxa"/>
        </w:trPr>
        <w:tc>
          <w:tcPr>
            <w:tcW w:w="1053" w:type="dxa"/>
            <w:vAlign w:val="center"/>
          </w:tcPr>
          <w:p w14:paraId="78F6562D" w14:textId="77777777" w:rsidR="00242D08" w:rsidRPr="00F3555F" w:rsidRDefault="00242D08" w:rsidP="00225278">
            <w:pPr>
              <w:spacing w:line="240" w:lineRule="auto"/>
              <w:rPr>
                <w:rFonts w:ascii="Times New Roman" w:hAnsi="Times New Roman"/>
                <w:szCs w:val="13"/>
              </w:rPr>
            </w:pPr>
            <w:r w:rsidRPr="00F3555F">
              <w:rPr>
                <w:rFonts w:ascii="Times New Roman" w:hAnsi="Times New Roman"/>
                <w:szCs w:val="10"/>
              </w:rPr>
              <w:t>% of funds</w:t>
            </w:r>
          </w:p>
        </w:tc>
        <w:tc>
          <w:tcPr>
            <w:tcW w:w="3237" w:type="dxa"/>
            <w:vAlign w:val="center"/>
          </w:tcPr>
          <w:p w14:paraId="1D54EA6B" w14:textId="77777777" w:rsidR="00242D08" w:rsidRPr="00F3555F" w:rsidRDefault="00242D08" w:rsidP="00225278">
            <w:pPr>
              <w:spacing w:line="240" w:lineRule="auto"/>
              <w:rPr>
                <w:rFonts w:ascii="Times New Roman" w:hAnsi="Times New Roman"/>
                <w:szCs w:val="13"/>
              </w:rPr>
            </w:pPr>
            <w:r w:rsidRPr="00F3555F">
              <w:rPr>
                <w:rFonts w:ascii="Times New Roman" w:hAnsi="Times New Roman"/>
                <w:szCs w:val="10"/>
              </w:rPr>
              <w:t>Stock</w:t>
            </w:r>
          </w:p>
        </w:tc>
        <w:tc>
          <w:tcPr>
            <w:tcW w:w="1988" w:type="dxa"/>
            <w:vAlign w:val="bottom"/>
          </w:tcPr>
          <w:p w14:paraId="5DB1DE44" w14:textId="77777777" w:rsidR="00242D08" w:rsidRPr="00F3555F" w:rsidRDefault="00242D08" w:rsidP="00225278">
            <w:pPr>
              <w:spacing w:line="240" w:lineRule="auto"/>
              <w:rPr>
                <w:rFonts w:ascii="Times New Roman" w:hAnsi="Times New Roman"/>
                <w:szCs w:val="10"/>
              </w:rPr>
            </w:pPr>
            <w:r w:rsidRPr="00F3555F">
              <w:rPr>
                <w:rFonts w:ascii="Times New Roman" w:hAnsi="Times New Roman" w:cs="Arial"/>
                <w:bCs/>
              </w:rPr>
              <w:t>% of Total Assets</w:t>
            </w:r>
          </w:p>
        </w:tc>
        <w:tc>
          <w:tcPr>
            <w:tcW w:w="2302" w:type="dxa"/>
            <w:vAlign w:val="center"/>
          </w:tcPr>
          <w:p w14:paraId="0BA8B6EA" w14:textId="77777777" w:rsidR="00242D08" w:rsidRPr="00F3555F" w:rsidRDefault="00242D08" w:rsidP="00225278">
            <w:pPr>
              <w:spacing w:line="240" w:lineRule="auto"/>
              <w:rPr>
                <w:rFonts w:ascii="Times New Roman" w:hAnsi="Times New Roman"/>
                <w:szCs w:val="10"/>
              </w:rPr>
            </w:pPr>
            <w:r w:rsidRPr="00F3555F">
              <w:rPr>
                <w:rFonts w:ascii="Times New Roman" w:hAnsi="Times New Roman"/>
                <w:szCs w:val="10"/>
              </w:rPr>
              <w:t>Stock</w:t>
            </w:r>
          </w:p>
        </w:tc>
      </w:tr>
      <w:tr w:rsidR="00242D08" w:rsidRPr="00F3555F" w14:paraId="38D802F3" w14:textId="77777777" w:rsidTr="008C27C8">
        <w:trPr>
          <w:tblCellSpacing w:w="15" w:type="dxa"/>
        </w:trPr>
        <w:tc>
          <w:tcPr>
            <w:tcW w:w="1053" w:type="dxa"/>
            <w:vAlign w:val="center"/>
          </w:tcPr>
          <w:p w14:paraId="13B3F1B8" w14:textId="77777777" w:rsidR="00242D08" w:rsidRPr="00F3555F" w:rsidRDefault="001F5964" w:rsidP="00225278">
            <w:pPr>
              <w:spacing w:line="240" w:lineRule="auto"/>
              <w:rPr>
                <w:rFonts w:ascii="Times New Roman" w:hAnsi="Times New Roman"/>
                <w:szCs w:val="13"/>
              </w:rPr>
            </w:pPr>
            <w:r w:rsidRPr="00F3555F">
              <w:rPr>
                <w:rFonts w:ascii="Times New Roman" w:hAnsi="Times New Roman"/>
                <w:szCs w:val="13"/>
              </w:rPr>
              <w:t>1</w:t>
            </w:r>
            <w:r w:rsidR="000048AB" w:rsidRPr="00F3555F">
              <w:rPr>
                <w:rFonts w:ascii="Times New Roman" w:hAnsi="Times New Roman"/>
                <w:szCs w:val="13"/>
              </w:rPr>
              <w:t>1.07</w:t>
            </w:r>
            <w:r w:rsidR="00242D08" w:rsidRPr="00F3555F">
              <w:rPr>
                <w:rFonts w:ascii="Times New Roman" w:hAnsi="Times New Roman"/>
                <w:szCs w:val="13"/>
              </w:rPr>
              <w:t xml:space="preserve">% </w:t>
            </w:r>
          </w:p>
        </w:tc>
        <w:tc>
          <w:tcPr>
            <w:tcW w:w="3237" w:type="dxa"/>
            <w:vAlign w:val="center"/>
          </w:tcPr>
          <w:p w14:paraId="794CE78C" w14:textId="77777777" w:rsidR="00242D08" w:rsidRPr="00F3555F" w:rsidRDefault="001F5964" w:rsidP="00225278">
            <w:pPr>
              <w:spacing w:line="240" w:lineRule="auto"/>
              <w:rPr>
                <w:rFonts w:ascii="Times New Roman" w:hAnsi="Times New Roman"/>
                <w:szCs w:val="13"/>
              </w:rPr>
            </w:pPr>
            <w:r w:rsidRPr="00F3555F">
              <w:t>ROYAL BANK OF CANADA</w:t>
            </w:r>
          </w:p>
        </w:tc>
        <w:tc>
          <w:tcPr>
            <w:tcW w:w="1988" w:type="dxa"/>
            <w:vAlign w:val="bottom"/>
          </w:tcPr>
          <w:p w14:paraId="165BDF8C" w14:textId="77777777" w:rsidR="00242D08" w:rsidRPr="00F3555F" w:rsidRDefault="000048AB" w:rsidP="005D50C5">
            <w:pPr>
              <w:spacing w:line="240" w:lineRule="auto"/>
              <w:jc w:val="center"/>
              <w:rPr>
                <w:rFonts w:ascii="Times New Roman" w:hAnsi="Times New Roman"/>
                <w:szCs w:val="13"/>
              </w:rPr>
            </w:pPr>
            <w:r w:rsidRPr="00F3555F">
              <w:rPr>
                <w:rFonts w:ascii="Times New Roman" w:hAnsi="Times New Roman" w:cs="Arial"/>
              </w:rPr>
              <w:t>6.70</w:t>
            </w:r>
            <w:r w:rsidR="00901831" w:rsidRPr="00F3555F">
              <w:rPr>
                <w:rFonts w:ascii="Times New Roman" w:hAnsi="Times New Roman" w:cs="Arial"/>
              </w:rPr>
              <w:t>%</w:t>
            </w:r>
          </w:p>
        </w:tc>
        <w:tc>
          <w:tcPr>
            <w:tcW w:w="2302" w:type="dxa"/>
            <w:vAlign w:val="bottom"/>
          </w:tcPr>
          <w:p w14:paraId="5D9BB0BC" w14:textId="77777777" w:rsidR="00242D08" w:rsidRPr="00F3555F" w:rsidRDefault="000048AB" w:rsidP="00225278">
            <w:pPr>
              <w:spacing w:line="240" w:lineRule="auto"/>
              <w:rPr>
                <w:rFonts w:ascii="Times New Roman" w:hAnsi="Times New Roman"/>
                <w:szCs w:val="13"/>
              </w:rPr>
            </w:pPr>
            <w:r w:rsidRPr="00F3555F">
              <w:rPr>
                <w:rFonts w:ascii="Times New Roman" w:hAnsi="Times New Roman" w:cs="Arial"/>
              </w:rPr>
              <w:t>Royal Bank of Canada</w:t>
            </w:r>
          </w:p>
        </w:tc>
      </w:tr>
      <w:tr w:rsidR="00242D08" w:rsidRPr="00F3555F" w14:paraId="21253869" w14:textId="77777777" w:rsidTr="008C27C8">
        <w:trPr>
          <w:tblCellSpacing w:w="15" w:type="dxa"/>
        </w:trPr>
        <w:tc>
          <w:tcPr>
            <w:tcW w:w="1053" w:type="dxa"/>
            <w:vAlign w:val="center"/>
          </w:tcPr>
          <w:p w14:paraId="51F5F845" w14:textId="77777777" w:rsidR="00242D08" w:rsidRPr="00F3555F" w:rsidRDefault="000048AB" w:rsidP="00225278">
            <w:pPr>
              <w:spacing w:line="240" w:lineRule="auto"/>
              <w:rPr>
                <w:rFonts w:ascii="Times New Roman" w:hAnsi="Times New Roman"/>
                <w:szCs w:val="13"/>
              </w:rPr>
            </w:pPr>
            <w:r w:rsidRPr="00F3555F">
              <w:rPr>
                <w:rFonts w:ascii="Times New Roman" w:hAnsi="Times New Roman"/>
                <w:szCs w:val="13"/>
              </w:rPr>
              <w:t>9.78</w:t>
            </w:r>
            <w:r w:rsidR="00242D08" w:rsidRPr="00F3555F">
              <w:rPr>
                <w:rFonts w:ascii="Times New Roman" w:hAnsi="Times New Roman"/>
                <w:szCs w:val="13"/>
              </w:rPr>
              <w:t xml:space="preserve">% </w:t>
            </w:r>
          </w:p>
        </w:tc>
        <w:tc>
          <w:tcPr>
            <w:tcW w:w="3237" w:type="dxa"/>
            <w:vAlign w:val="center"/>
          </w:tcPr>
          <w:p w14:paraId="644260A8" w14:textId="77777777" w:rsidR="00242D08" w:rsidRPr="00F3555F" w:rsidRDefault="000048AB" w:rsidP="00225278">
            <w:pPr>
              <w:spacing w:line="240" w:lineRule="auto"/>
              <w:rPr>
                <w:rFonts w:ascii="Times New Roman" w:hAnsi="Times New Roman"/>
                <w:szCs w:val="13"/>
              </w:rPr>
            </w:pPr>
            <w:r w:rsidRPr="00F3555F">
              <w:t>TORONTO-DOMINION BANK</w:t>
            </w:r>
          </w:p>
        </w:tc>
        <w:tc>
          <w:tcPr>
            <w:tcW w:w="1988" w:type="dxa"/>
            <w:vAlign w:val="bottom"/>
          </w:tcPr>
          <w:p w14:paraId="6182F4F4" w14:textId="77777777" w:rsidR="00242D08" w:rsidRPr="00F3555F" w:rsidRDefault="00242D08" w:rsidP="000248D9">
            <w:pPr>
              <w:spacing w:line="240" w:lineRule="auto"/>
              <w:jc w:val="center"/>
              <w:rPr>
                <w:rFonts w:ascii="Times New Roman" w:hAnsi="Times New Roman"/>
                <w:szCs w:val="13"/>
              </w:rPr>
            </w:pPr>
            <w:r w:rsidRPr="00F3555F">
              <w:rPr>
                <w:rFonts w:ascii="Times New Roman" w:hAnsi="Times New Roman" w:cs="Arial"/>
              </w:rPr>
              <w:t>5.</w:t>
            </w:r>
            <w:r w:rsidR="000048AB" w:rsidRPr="00F3555F">
              <w:rPr>
                <w:rFonts w:ascii="Times New Roman" w:hAnsi="Times New Roman" w:cs="Arial"/>
              </w:rPr>
              <w:t>60</w:t>
            </w:r>
            <w:r w:rsidR="00901831" w:rsidRPr="00F3555F">
              <w:rPr>
                <w:rFonts w:ascii="Times New Roman" w:hAnsi="Times New Roman" w:cs="Arial"/>
              </w:rPr>
              <w:t>%</w:t>
            </w:r>
          </w:p>
        </w:tc>
        <w:tc>
          <w:tcPr>
            <w:tcW w:w="2302" w:type="dxa"/>
            <w:vAlign w:val="bottom"/>
          </w:tcPr>
          <w:p w14:paraId="77FC325E" w14:textId="77777777" w:rsidR="00242D08" w:rsidRPr="00F3555F" w:rsidRDefault="00242D08" w:rsidP="00225278">
            <w:pPr>
              <w:spacing w:line="240" w:lineRule="auto"/>
              <w:rPr>
                <w:rFonts w:ascii="Times New Roman" w:hAnsi="Times New Roman"/>
                <w:szCs w:val="13"/>
              </w:rPr>
            </w:pPr>
            <w:r w:rsidRPr="00F3555F">
              <w:t>TD Bank</w:t>
            </w:r>
          </w:p>
        </w:tc>
      </w:tr>
      <w:tr w:rsidR="00242D08" w:rsidRPr="00F3555F" w14:paraId="0B92A37C" w14:textId="77777777" w:rsidTr="008C27C8">
        <w:trPr>
          <w:tblCellSpacing w:w="15" w:type="dxa"/>
        </w:trPr>
        <w:tc>
          <w:tcPr>
            <w:tcW w:w="1053" w:type="dxa"/>
            <w:vAlign w:val="center"/>
          </w:tcPr>
          <w:p w14:paraId="2BF1DC27" w14:textId="77777777" w:rsidR="00242D08" w:rsidRPr="00F3555F" w:rsidRDefault="000048AB" w:rsidP="00225278">
            <w:pPr>
              <w:spacing w:line="240" w:lineRule="auto"/>
              <w:rPr>
                <w:rFonts w:ascii="Times New Roman" w:hAnsi="Times New Roman"/>
                <w:szCs w:val="13"/>
              </w:rPr>
            </w:pPr>
            <w:r w:rsidRPr="00F3555F">
              <w:rPr>
                <w:rFonts w:ascii="Times New Roman" w:hAnsi="Times New Roman"/>
                <w:szCs w:val="13"/>
              </w:rPr>
              <w:t>8.09</w:t>
            </w:r>
            <w:r w:rsidR="00242D08" w:rsidRPr="00F3555F">
              <w:rPr>
                <w:rFonts w:ascii="Times New Roman" w:hAnsi="Times New Roman"/>
                <w:szCs w:val="13"/>
              </w:rPr>
              <w:t xml:space="preserve">% </w:t>
            </w:r>
          </w:p>
        </w:tc>
        <w:tc>
          <w:tcPr>
            <w:tcW w:w="3237" w:type="dxa"/>
            <w:vAlign w:val="center"/>
          </w:tcPr>
          <w:p w14:paraId="78978CFF" w14:textId="77777777" w:rsidR="00242D08" w:rsidRPr="00F3555F" w:rsidRDefault="000048AB" w:rsidP="00225278">
            <w:pPr>
              <w:spacing w:line="240" w:lineRule="auto"/>
              <w:rPr>
                <w:rFonts w:ascii="Times New Roman" w:hAnsi="Times New Roman"/>
                <w:szCs w:val="13"/>
              </w:rPr>
            </w:pPr>
            <w:r w:rsidRPr="00F3555F">
              <w:t>BANK OF NOVA-SCOTIA</w:t>
            </w:r>
          </w:p>
        </w:tc>
        <w:tc>
          <w:tcPr>
            <w:tcW w:w="1988" w:type="dxa"/>
            <w:vAlign w:val="bottom"/>
          </w:tcPr>
          <w:p w14:paraId="690901C1" w14:textId="77777777" w:rsidR="00242D08" w:rsidRPr="00F3555F" w:rsidRDefault="000048AB" w:rsidP="005D50C5">
            <w:pPr>
              <w:spacing w:line="240" w:lineRule="auto"/>
              <w:jc w:val="center"/>
              <w:rPr>
                <w:rFonts w:ascii="Times New Roman" w:hAnsi="Times New Roman"/>
                <w:szCs w:val="13"/>
              </w:rPr>
            </w:pPr>
            <w:r w:rsidRPr="00F3555F">
              <w:rPr>
                <w:rFonts w:ascii="Times New Roman" w:hAnsi="Times New Roman" w:cs="Arial"/>
              </w:rPr>
              <w:t>4.40</w:t>
            </w:r>
            <w:r w:rsidR="00901831" w:rsidRPr="00F3555F">
              <w:rPr>
                <w:rFonts w:ascii="Times New Roman" w:hAnsi="Times New Roman" w:cs="Arial"/>
              </w:rPr>
              <w:t>%</w:t>
            </w:r>
          </w:p>
        </w:tc>
        <w:tc>
          <w:tcPr>
            <w:tcW w:w="2302" w:type="dxa"/>
            <w:vAlign w:val="bottom"/>
          </w:tcPr>
          <w:p w14:paraId="19953157" w14:textId="77777777" w:rsidR="00242D08" w:rsidRPr="00F3555F" w:rsidRDefault="000048AB" w:rsidP="00225278">
            <w:pPr>
              <w:spacing w:line="240" w:lineRule="auto"/>
              <w:rPr>
                <w:rFonts w:ascii="Times New Roman" w:hAnsi="Times New Roman"/>
                <w:szCs w:val="13"/>
              </w:rPr>
            </w:pPr>
            <w:r w:rsidRPr="00F3555F">
              <w:t>Bank of Nova Scotia</w:t>
            </w:r>
          </w:p>
        </w:tc>
      </w:tr>
      <w:tr w:rsidR="00242D08" w:rsidRPr="00F3555F" w14:paraId="401DCFBB" w14:textId="77777777" w:rsidTr="008C27C8">
        <w:trPr>
          <w:tblCellSpacing w:w="15" w:type="dxa"/>
        </w:trPr>
        <w:tc>
          <w:tcPr>
            <w:tcW w:w="1053" w:type="dxa"/>
            <w:vAlign w:val="center"/>
          </w:tcPr>
          <w:p w14:paraId="13968D76" w14:textId="77777777" w:rsidR="00242D08" w:rsidRPr="00F3555F" w:rsidRDefault="000048AB" w:rsidP="00225278">
            <w:pPr>
              <w:spacing w:line="240" w:lineRule="auto"/>
              <w:rPr>
                <w:rFonts w:ascii="Times New Roman" w:hAnsi="Times New Roman"/>
                <w:szCs w:val="13"/>
              </w:rPr>
            </w:pPr>
            <w:r w:rsidRPr="00F3555F">
              <w:rPr>
                <w:rFonts w:ascii="Times New Roman" w:hAnsi="Times New Roman"/>
                <w:szCs w:val="13"/>
              </w:rPr>
              <w:t>6.24</w:t>
            </w:r>
            <w:r w:rsidR="00242D08" w:rsidRPr="00F3555F">
              <w:rPr>
                <w:rFonts w:ascii="Times New Roman" w:hAnsi="Times New Roman"/>
                <w:szCs w:val="13"/>
              </w:rPr>
              <w:t xml:space="preserve">% </w:t>
            </w:r>
          </w:p>
        </w:tc>
        <w:tc>
          <w:tcPr>
            <w:tcW w:w="3237" w:type="dxa"/>
            <w:vAlign w:val="center"/>
          </w:tcPr>
          <w:p w14:paraId="11BDB14D" w14:textId="77777777" w:rsidR="00242D08" w:rsidRPr="00F3555F" w:rsidRDefault="000048AB" w:rsidP="00225278">
            <w:pPr>
              <w:spacing w:line="240" w:lineRule="auto"/>
              <w:rPr>
                <w:rFonts w:ascii="Times New Roman" w:hAnsi="Times New Roman"/>
                <w:szCs w:val="13"/>
              </w:rPr>
            </w:pPr>
            <w:r w:rsidRPr="00F3555F">
              <w:t>CANADIAN NATIONAL RAILWAY COMPANY</w:t>
            </w:r>
          </w:p>
        </w:tc>
        <w:tc>
          <w:tcPr>
            <w:tcW w:w="1988" w:type="dxa"/>
            <w:vAlign w:val="bottom"/>
          </w:tcPr>
          <w:p w14:paraId="35478AC0" w14:textId="77777777" w:rsidR="00242D08" w:rsidRPr="00F3555F" w:rsidRDefault="000048AB" w:rsidP="005D50C5">
            <w:pPr>
              <w:spacing w:line="240" w:lineRule="auto"/>
              <w:jc w:val="center"/>
              <w:rPr>
                <w:rFonts w:ascii="Times New Roman" w:hAnsi="Times New Roman"/>
                <w:szCs w:val="13"/>
              </w:rPr>
            </w:pPr>
            <w:r w:rsidRPr="00F3555F">
              <w:rPr>
                <w:rFonts w:ascii="Times New Roman" w:hAnsi="Times New Roman" w:cs="Arial"/>
              </w:rPr>
              <w:t>4.30</w:t>
            </w:r>
            <w:r w:rsidR="00901831" w:rsidRPr="00F3555F">
              <w:rPr>
                <w:rFonts w:ascii="Times New Roman" w:hAnsi="Times New Roman" w:cs="Arial"/>
              </w:rPr>
              <w:t>%</w:t>
            </w:r>
          </w:p>
        </w:tc>
        <w:tc>
          <w:tcPr>
            <w:tcW w:w="2302" w:type="dxa"/>
            <w:vAlign w:val="bottom"/>
          </w:tcPr>
          <w:p w14:paraId="14A2AEEF" w14:textId="77777777" w:rsidR="00242D08" w:rsidRPr="00F3555F" w:rsidRDefault="000048AB" w:rsidP="00225278">
            <w:pPr>
              <w:spacing w:line="240" w:lineRule="auto"/>
              <w:rPr>
                <w:rFonts w:ascii="Times New Roman" w:hAnsi="Times New Roman"/>
                <w:szCs w:val="13"/>
              </w:rPr>
            </w:pPr>
            <w:r w:rsidRPr="00F3555F">
              <w:t>Canadian National Railway Co.</w:t>
            </w:r>
          </w:p>
        </w:tc>
      </w:tr>
      <w:tr w:rsidR="00242D08" w:rsidRPr="006743F1" w14:paraId="1D46B989" w14:textId="77777777" w:rsidTr="008C27C8">
        <w:trPr>
          <w:tblCellSpacing w:w="15" w:type="dxa"/>
        </w:trPr>
        <w:tc>
          <w:tcPr>
            <w:tcW w:w="1053" w:type="dxa"/>
            <w:vAlign w:val="center"/>
          </w:tcPr>
          <w:p w14:paraId="52B708A8" w14:textId="77777777" w:rsidR="00242D08" w:rsidRPr="00F3555F" w:rsidRDefault="000048AB" w:rsidP="00225278">
            <w:pPr>
              <w:spacing w:line="240" w:lineRule="auto"/>
              <w:rPr>
                <w:rFonts w:ascii="Times New Roman" w:hAnsi="Times New Roman"/>
                <w:szCs w:val="13"/>
              </w:rPr>
            </w:pPr>
            <w:r w:rsidRPr="00F3555F">
              <w:rPr>
                <w:rFonts w:ascii="Times New Roman" w:hAnsi="Times New Roman"/>
                <w:szCs w:val="13"/>
              </w:rPr>
              <w:t>5.70</w:t>
            </w:r>
            <w:r w:rsidR="00242D08" w:rsidRPr="00F3555F">
              <w:rPr>
                <w:rFonts w:ascii="Times New Roman" w:hAnsi="Times New Roman"/>
                <w:szCs w:val="13"/>
              </w:rPr>
              <w:t xml:space="preserve">% </w:t>
            </w:r>
          </w:p>
        </w:tc>
        <w:tc>
          <w:tcPr>
            <w:tcW w:w="3237" w:type="dxa"/>
            <w:vAlign w:val="center"/>
          </w:tcPr>
          <w:p w14:paraId="52D3F90F" w14:textId="77777777" w:rsidR="00242D08" w:rsidRPr="00F3555F" w:rsidRDefault="000048AB" w:rsidP="00225278">
            <w:pPr>
              <w:spacing w:line="240" w:lineRule="auto"/>
              <w:rPr>
                <w:rFonts w:ascii="Times New Roman" w:hAnsi="Times New Roman"/>
                <w:szCs w:val="13"/>
              </w:rPr>
            </w:pPr>
            <w:r w:rsidRPr="00F3555F">
              <w:t>SUNCOR ENERGY INC.</w:t>
            </w:r>
          </w:p>
        </w:tc>
        <w:tc>
          <w:tcPr>
            <w:tcW w:w="1988" w:type="dxa"/>
            <w:vAlign w:val="bottom"/>
          </w:tcPr>
          <w:p w14:paraId="2906A119" w14:textId="77777777" w:rsidR="00242D08" w:rsidRPr="00F3555F" w:rsidRDefault="000048AB" w:rsidP="005D50C5">
            <w:pPr>
              <w:spacing w:line="240" w:lineRule="auto"/>
              <w:jc w:val="center"/>
              <w:rPr>
                <w:rFonts w:ascii="Times New Roman" w:hAnsi="Times New Roman"/>
                <w:szCs w:val="13"/>
              </w:rPr>
            </w:pPr>
            <w:r w:rsidRPr="00F3555F">
              <w:rPr>
                <w:rFonts w:ascii="Times New Roman" w:hAnsi="Times New Roman" w:cs="Arial"/>
              </w:rPr>
              <w:t>3.50</w:t>
            </w:r>
            <w:r w:rsidR="00901831" w:rsidRPr="00F3555F">
              <w:rPr>
                <w:rFonts w:ascii="Times New Roman" w:hAnsi="Times New Roman" w:cs="Arial"/>
              </w:rPr>
              <w:t>%</w:t>
            </w:r>
          </w:p>
        </w:tc>
        <w:tc>
          <w:tcPr>
            <w:tcW w:w="2302" w:type="dxa"/>
            <w:vAlign w:val="bottom"/>
          </w:tcPr>
          <w:p w14:paraId="7E5EFE17" w14:textId="77777777" w:rsidR="00242D08" w:rsidRPr="00F3555F" w:rsidRDefault="000048AB" w:rsidP="00225278">
            <w:pPr>
              <w:spacing w:line="240" w:lineRule="auto"/>
              <w:rPr>
                <w:rFonts w:ascii="Times New Roman" w:hAnsi="Times New Roman"/>
                <w:szCs w:val="13"/>
              </w:rPr>
            </w:pPr>
            <w:r w:rsidRPr="00F3555F">
              <w:t>Suncor Energy Inc.</w:t>
            </w:r>
          </w:p>
        </w:tc>
      </w:tr>
    </w:tbl>
    <w:p w14:paraId="3D4875F1" w14:textId="77777777" w:rsidR="00242D08" w:rsidRPr="006743F1" w:rsidRDefault="00242D08" w:rsidP="006743F1">
      <w:pPr>
        <w:spacing w:line="240" w:lineRule="auto"/>
        <w:rPr>
          <w:rFonts w:ascii="Times New Roman" w:hAnsi="Times New Roman"/>
          <w:szCs w:val="24"/>
        </w:rPr>
      </w:pPr>
    </w:p>
    <w:p w14:paraId="1FE168BB" w14:textId="77777777" w:rsidR="00242D08" w:rsidRPr="006743F1" w:rsidRDefault="00242D08" w:rsidP="006743F1">
      <w:pPr>
        <w:pStyle w:val="aaa"/>
        <w:spacing w:line="240" w:lineRule="auto"/>
        <w:ind w:left="567" w:hanging="567"/>
        <w:rPr>
          <w:rFonts w:ascii="Times New Roman" w:hAnsi="Times New Roman"/>
        </w:rPr>
      </w:pPr>
      <w:r w:rsidRPr="006743F1">
        <w:rPr>
          <w:rFonts w:ascii="Times New Roman" w:hAnsi="Times New Roman"/>
        </w:rPr>
        <w:t xml:space="preserve">26. </w:t>
      </w:r>
      <w:r w:rsidRPr="006743F1">
        <w:rPr>
          <w:rFonts w:ascii="Times New Roman" w:hAnsi="Times New Roman"/>
        </w:rPr>
        <w:tab/>
        <w:t>Even if the firm does not need to issue stock in any particular year, the stock market is still important to the financial manager. The stock price provides important information about how the market values the firm’s projects to the extent that the market price of stock is determined by expected present value of future cash flows. For example, if the stock price rises considerably, managers might conclude that the market believes the firm’s future prospects are bright. This might be a useful signal to go ahead with an investment such as an expansion of the firm’s business.</w:t>
      </w:r>
    </w:p>
    <w:p w14:paraId="257BA108" w14:textId="77777777" w:rsidR="00242D08" w:rsidRPr="006743F1" w:rsidRDefault="00242D08" w:rsidP="006743F1">
      <w:pPr>
        <w:pStyle w:val="aaa"/>
        <w:spacing w:line="240" w:lineRule="auto"/>
        <w:ind w:left="567" w:right="-360" w:hanging="567"/>
        <w:rPr>
          <w:rFonts w:ascii="Times New Roman" w:hAnsi="Times New Roman"/>
        </w:rPr>
      </w:pPr>
    </w:p>
    <w:p w14:paraId="12DD743E" w14:textId="77777777" w:rsidR="00242D08" w:rsidRPr="006743F1" w:rsidRDefault="00242D08" w:rsidP="006743F1">
      <w:pPr>
        <w:pStyle w:val="aaa"/>
        <w:spacing w:line="240" w:lineRule="auto"/>
        <w:ind w:left="567" w:hanging="567"/>
        <w:rPr>
          <w:rFonts w:ascii="Times New Roman" w:hAnsi="Times New Roman"/>
        </w:rPr>
      </w:pPr>
      <w:r w:rsidRPr="006743F1">
        <w:rPr>
          <w:rFonts w:ascii="Times New Roman" w:hAnsi="Times New Roman"/>
        </w:rPr>
        <w:tab/>
        <w:t>In addition, the fact that shares can be traded in the secondary market makes them more attractive to investors since investors know that, when they wish to, they will be able to sell their shares. This in turn makes them more willing to buy shares in a primary offering, and thus improves the terms on which firms can raise money in the equity market.</w:t>
      </w:r>
    </w:p>
    <w:p w14:paraId="54C13B2D" w14:textId="77777777" w:rsidR="00242D08" w:rsidRPr="006743F1" w:rsidRDefault="00242D08" w:rsidP="006743F1">
      <w:pPr>
        <w:pStyle w:val="aaa"/>
        <w:spacing w:line="240" w:lineRule="auto"/>
        <w:ind w:left="567" w:hanging="567"/>
        <w:rPr>
          <w:rFonts w:ascii="Times New Roman" w:hAnsi="Times New Roman"/>
        </w:rPr>
      </w:pPr>
    </w:p>
    <w:p w14:paraId="14080039" w14:textId="77777777" w:rsidR="00242D08" w:rsidRPr="006743F1" w:rsidRDefault="00242D08" w:rsidP="006743F1">
      <w:pPr>
        <w:pStyle w:val="aaa"/>
        <w:spacing w:line="240" w:lineRule="auto"/>
        <w:ind w:left="567" w:hanging="567"/>
        <w:rPr>
          <w:rFonts w:ascii="Times New Roman" w:hAnsi="Times New Roman"/>
        </w:rPr>
      </w:pPr>
      <w:r w:rsidRPr="006743F1">
        <w:rPr>
          <w:rFonts w:ascii="Times New Roman" w:hAnsi="Times New Roman"/>
        </w:rPr>
        <w:tab/>
        <w:t>The financial manager is concerned with the price of the stock because the market value of stock is a measure of shareholder wealth. The financial manager’s goal is to maximize shareholder wealth.</w:t>
      </w:r>
    </w:p>
    <w:p w14:paraId="11FD3A24" w14:textId="77777777" w:rsidR="00242D08" w:rsidRPr="006743F1" w:rsidRDefault="00242D08" w:rsidP="006743F1">
      <w:pPr>
        <w:spacing w:line="240" w:lineRule="auto"/>
        <w:rPr>
          <w:rFonts w:ascii="Times New Roman" w:hAnsi="Times New Roman"/>
        </w:rPr>
      </w:pPr>
    </w:p>
    <w:p w14:paraId="3AAC29BB" w14:textId="77777777" w:rsidR="00242D08" w:rsidRPr="006743F1" w:rsidRDefault="00242D08" w:rsidP="006743F1">
      <w:pPr>
        <w:spacing w:line="240" w:lineRule="auto"/>
        <w:rPr>
          <w:rFonts w:ascii="Times New Roman" w:hAnsi="Times New Roman"/>
        </w:rPr>
      </w:pPr>
    </w:p>
    <w:p w14:paraId="79C9BCAD" w14:textId="77777777" w:rsidR="00242D08" w:rsidRPr="006743F1" w:rsidRDefault="00242D08" w:rsidP="006743F1">
      <w:pPr>
        <w:spacing w:line="240" w:lineRule="auto"/>
        <w:rPr>
          <w:rFonts w:ascii="Times New Roman" w:hAnsi="Times New Roman"/>
        </w:rPr>
      </w:pPr>
    </w:p>
    <w:p w14:paraId="4B583F92" w14:textId="77777777" w:rsidR="00242D08" w:rsidRPr="006743F1" w:rsidRDefault="00242D08" w:rsidP="006743F1">
      <w:pPr>
        <w:spacing w:line="240" w:lineRule="auto"/>
        <w:rPr>
          <w:rFonts w:ascii="Times New Roman" w:hAnsi="Times New Roman"/>
        </w:rPr>
      </w:pPr>
    </w:p>
    <w:sectPr w:rsidR="00242D08" w:rsidRPr="006743F1" w:rsidSect="00885DA0">
      <w:footerReference w:type="default" r:id="rId1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2F4FC5" w14:textId="77777777" w:rsidR="0029065D" w:rsidRDefault="0029065D">
      <w:r>
        <w:separator/>
      </w:r>
    </w:p>
  </w:endnote>
  <w:endnote w:type="continuationSeparator" w:id="0">
    <w:p w14:paraId="6EC21E20" w14:textId="77777777" w:rsidR="0029065D" w:rsidRDefault="00290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pitch w:val="variable"/>
    <w:sig w:usb0="00000007" w:usb1="00000000" w:usb2="00000000" w:usb3="00000000" w:csb0="00000093"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BCA29" w14:textId="77777777" w:rsidR="00242D08" w:rsidRDefault="00242D08">
    <w:pPr>
      <w:pStyle w:val="Footer"/>
      <w:jc w:val="center"/>
      <w:rPr>
        <w:rFonts w:ascii="Times New Roman" w:hAnsi="Times New Roman"/>
      </w:rPr>
    </w:pPr>
    <w:r>
      <w:rPr>
        <w:rFonts w:ascii="Times New Roman" w:hAnsi="Times New Roman"/>
      </w:rPr>
      <w:t>2-</w:t>
    </w:r>
    <w:r>
      <w:rPr>
        <w:rFonts w:ascii="Times New Roman" w:hAnsi="Times New Roman"/>
      </w:rPr>
      <w:pgNum/>
    </w:r>
  </w:p>
  <w:p w14:paraId="708776C3" w14:textId="77777777" w:rsidR="00242D08" w:rsidRDefault="00242D08" w:rsidP="00CA2928">
    <w:pPr>
      <w:pStyle w:val="Footer"/>
      <w:rPr>
        <w:rFonts w:ascii="Times New Roman" w:hAnsi="Times New Roman"/>
      </w:rPr>
    </w:pPr>
    <w:r w:rsidRPr="00907A23">
      <w:rPr>
        <w:rFonts w:ascii="Times New Roman" w:hAnsi="Times New Roman"/>
        <w:sz w:val="20"/>
      </w:rPr>
      <w:t xml:space="preserve">Copyright © </w:t>
    </w:r>
    <w:r w:rsidR="005939B3">
      <w:rPr>
        <w:rFonts w:ascii="Times New Roman" w:hAnsi="Times New Roman"/>
        <w:sz w:val="20"/>
      </w:rPr>
      <w:t xml:space="preserve">2020 </w:t>
    </w:r>
    <w:r w:rsidRPr="00907A23">
      <w:rPr>
        <w:rFonts w:ascii="Times New Roman" w:hAnsi="Times New Roman"/>
        <w:sz w:val="20"/>
      </w:rPr>
      <w:t>McGraw-Hill Ryerson 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A19211" w14:textId="77777777" w:rsidR="0029065D" w:rsidRDefault="0029065D">
      <w:r>
        <w:separator/>
      </w:r>
    </w:p>
  </w:footnote>
  <w:footnote w:type="continuationSeparator" w:id="0">
    <w:p w14:paraId="536EC41B" w14:textId="77777777" w:rsidR="0029065D" w:rsidRDefault="002906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36737"/>
    <w:multiLevelType w:val="hybridMultilevel"/>
    <w:tmpl w:val="0A84C5FA"/>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07125E5C"/>
    <w:multiLevelType w:val="multilevel"/>
    <w:tmpl w:val="26E0D28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434FC7"/>
    <w:multiLevelType w:val="hybridMultilevel"/>
    <w:tmpl w:val="8506D54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4A535CD"/>
    <w:multiLevelType w:val="hybridMultilevel"/>
    <w:tmpl w:val="5936F454"/>
    <w:lvl w:ilvl="0" w:tplc="0409000F">
      <w:start w:val="1"/>
      <w:numFmt w:val="decimal"/>
      <w:lvlText w:val="%1."/>
      <w:lvlJc w:val="left"/>
      <w:pPr>
        <w:tabs>
          <w:tab w:val="num" w:pos="840"/>
        </w:tabs>
        <w:ind w:left="840" w:hanging="360"/>
      </w:pPr>
      <w:rPr>
        <w:rFonts w:cs="Times New Roman"/>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4" w15:restartNumberingAfterBreak="0">
    <w:nsid w:val="1A1C69F8"/>
    <w:multiLevelType w:val="hybridMultilevel"/>
    <w:tmpl w:val="15BAD9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AD56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33905F2"/>
    <w:multiLevelType w:val="hybridMultilevel"/>
    <w:tmpl w:val="16B2096C"/>
    <w:lvl w:ilvl="0" w:tplc="6E9E0864">
      <w:start w:val="1"/>
      <w:numFmt w:val="decimal"/>
      <w:lvlText w:val="%1."/>
      <w:lvlJc w:val="left"/>
      <w:pPr>
        <w:tabs>
          <w:tab w:val="num" w:pos="540"/>
        </w:tabs>
        <w:ind w:left="540" w:hanging="540"/>
      </w:pPr>
      <w:rPr>
        <w:rFonts w:cs="Times New Roman" w:hint="default"/>
      </w:rPr>
    </w:lvl>
    <w:lvl w:ilvl="1" w:tplc="1D049046">
      <w:start w:val="1"/>
      <w:numFmt w:val="lowerLetter"/>
      <w:lvlText w:val="%2."/>
      <w:lvlJc w:val="left"/>
      <w:pPr>
        <w:tabs>
          <w:tab w:val="num" w:pos="1620"/>
        </w:tabs>
        <w:ind w:left="1620" w:hanging="54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5DF27B6"/>
    <w:multiLevelType w:val="multilevel"/>
    <w:tmpl w:val="26E0D28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C7EB2"/>
    <w:multiLevelType w:val="hybridMultilevel"/>
    <w:tmpl w:val="97D8CE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165B31"/>
    <w:multiLevelType w:val="hybridMultilevel"/>
    <w:tmpl w:val="7EB446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DE4671"/>
    <w:multiLevelType w:val="hybridMultilevel"/>
    <w:tmpl w:val="96387A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DB7BEC"/>
    <w:multiLevelType w:val="hybridMultilevel"/>
    <w:tmpl w:val="D7CE860C"/>
    <w:lvl w:ilvl="0" w:tplc="9842B8D0">
      <w:start w:val="1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B2A6713"/>
    <w:multiLevelType w:val="hybridMultilevel"/>
    <w:tmpl w:val="FC60A2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CA1804"/>
    <w:multiLevelType w:val="singleLevel"/>
    <w:tmpl w:val="2186982C"/>
    <w:lvl w:ilvl="0">
      <w:start w:val="8"/>
      <w:numFmt w:val="decimal"/>
      <w:lvlText w:val="%1."/>
      <w:lvlJc w:val="left"/>
      <w:pPr>
        <w:tabs>
          <w:tab w:val="num" w:pos="540"/>
        </w:tabs>
        <w:ind w:left="540" w:hanging="540"/>
      </w:pPr>
      <w:rPr>
        <w:rFonts w:cs="Times New Roman" w:hint="default"/>
      </w:rPr>
    </w:lvl>
  </w:abstractNum>
  <w:abstractNum w:abstractNumId="14" w15:restartNumberingAfterBreak="0">
    <w:nsid w:val="40891663"/>
    <w:multiLevelType w:val="hybridMultilevel"/>
    <w:tmpl w:val="D01AEC94"/>
    <w:lvl w:ilvl="0" w:tplc="B7306212">
      <w:start w:val="3"/>
      <w:numFmt w:val="decimal"/>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5" w15:restartNumberingAfterBreak="0">
    <w:nsid w:val="410D6046"/>
    <w:multiLevelType w:val="multilevel"/>
    <w:tmpl w:val="16B2096C"/>
    <w:lvl w:ilvl="0">
      <w:start w:val="1"/>
      <w:numFmt w:val="decimal"/>
      <w:lvlText w:val="%1."/>
      <w:lvlJc w:val="left"/>
      <w:pPr>
        <w:tabs>
          <w:tab w:val="num" w:pos="540"/>
        </w:tabs>
        <w:ind w:left="540" w:hanging="540"/>
      </w:pPr>
      <w:rPr>
        <w:rFonts w:cs="Times New Roman" w:hint="default"/>
      </w:rPr>
    </w:lvl>
    <w:lvl w:ilvl="1">
      <w:start w:val="1"/>
      <w:numFmt w:val="lowerLetter"/>
      <w:lvlText w:val="%2."/>
      <w:lvlJc w:val="left"/>
      <w:pPr>
        <w:tabs>
          <w:tab w:val="num" w:pos="1620"/>
        </w:tabs>
        <w:ind w:left="1620" w:hanging="54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47907B5"/>
    <w:multiLevelType w:val="hybridMultilevel"/>
    <w:tmpl w:val="D4380940"/>
    <w:lvl w:ilvl="0" w:tplc="A17A47F4">
      <w:start w:val="1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4C02D8C"/>
    <w:multiLevelType w:val="hybridMultilevel"/>
    <w:tmpl w:val="0DC0D99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F5534E1"/>
    <w:multiLevelType w:val="singleLevel"/>
    <w:tmpl w:val="8F66E63E"/>
    <w:lvl w:ilvl="0">
      <w:start w:val="13"/>
      <w:numFmt w:val="decimal"/>
      <w:lvlText w:val="%1."/>
      <w:lvlJc w:val="left"/>
      <w:pPr>
        <w:tabs>
          <w:tab w:val="num" w:pos="540"/>
        </w:tabs>
        <w:ind w:left="540" w:hanging="540"/>
      </w:pPr>
      <w:rPr>
        <w:rFonts w:cs="Times New Roman" w:hint="default"/>
      </w:rPr>
    </w:lvl>
  </w:abstractNum>
  <w:abstractNum w:abstractNumId="19" w15:restartNumberingAfterBreak="0">
    <w:nsid w:val="53E24030"/>
    <w:multiLevelType w:val="hybridMultilevel"/>
    <w:tmpl w:val="27C0375E"/>
    <w:lvl w:ilvl="0" w:tplc="BBCE72AE">
      <w:start w:val="1"/>
      <w:numFmt w:val="decimal"/>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20" w15:restartNumberingAfterBreak="0">
    <w:nsid w:val="56FB1112"/>
    <w:multiLevelType w:val="hybridMultilevel"/>
    <w:tmpl w:val="81D8BD84"/>
    <w:lvl w:ilvl="0" w:tplc="10A87354">
      <w:start w:val="1"/>
      <w:numFmt w:val="decimal"/>
      <w:lvlText w:val="%1."/>
      <w:lvlJc w:val="left"/>
      <w:pPr>
        <w:tabs>
          <w:tab w:val="num" w:pos="873"/>
        </w:tabs>
        <w:ind w:left="873" w:hanging="360"/>
      </w:pPr>
      <w:rPr>
        <w:rFonts w:ascii="Times New Roman" w:eastAsia="Times New Roman" w:hAnsi="Times New Roman" w:cs="Times New Roman"/>
      </w:rPr>
    </w:lvl>
    <w:lvl w:ilvl="1" w:tplc="04090019" w:tentative="1">
      <w:start w:val="1"/>
      <w:numFmt w:val="lowerLetter"/>
      <w:lvlText w:val="%2."/>
      <w:lvlJc w:val="left"/>
      <w:pPr>
        <w:tabs>
          <w:tab w:val="num" w:pos="1593"/>
        </w:tabs>
        <w:ind w:left="1593" w:hanging="360"/>
      </w:pPr>
      <w:rPr>
        <w:rFonts w:cs="Times New Roman"/>
      </w:rPr>
    </w:lvl>
    <w:lvl w:ilvl="2" w:tplc="0409001B" w:tentative="1">
      <w:start w:val="1"/>
      <w:numFmt w:val="lowerRoman"/>
      <w:lvlText w:val="%3."/>
      <w:lvlJc w:val="right"/>
      <w:pPr>
        <w:tabs>
          <w:tab w:val="num" w:pos="2313"/>
        </w:tabs>
        <w:ind w:left="2313" w:hanging="180"/>
      </w:pPr>
      <w:rPr>
        <w:rFonts w:cs="Times New Roman"/>
      </w:rPr>
    </w:lvl>
    <w:lvl w:ilvl="3" w:tplc="0409000F" w:tentative="1">
      <w:start w:val="1"/>
      <w:numFmt w:val="decimal"/>
      <w:lvlText w:val="%4."/>
      <w:lvlJc w:val="left"/>
      <w:pPr>
        <w:tabs>
          <w:tab w:val="num" w:pos="3033"/>
        </w:tabs>
        <w:ind w:left="3033" w:hanging="360"/>
      </w:pPr>
      <w:rPr>
        <w:rFonts w:cs="Times New Roman"/>
      </w:rPr>
    </w:lvl>
    <w:lvl w:ilvl="4" w:tplc="04090019" w:tentative="1">
      <w:start w:val="1"/>
      <w:numFmt w:val="lowerLetter"/>
      <w:lvlText w:val="%5."/>
      <w:lvlJc w:val="left"/>
      <w:pPr>
        <w:tabs>
          <w:tab w:val="num" w:pos="3753"/>
        </w:tabs>
        <w:ind w:left="3753" w:hanging="360"/>
      </w:pPr>
      <w:rPr>
        <w:rFonts w:cs="Times New Roman"/>
      </w:rPr>
    </w:lvl>
    <w:lvl w:ilvl="5" w:tplc="0409001B" w:tentative="1">
      <w:start w:val="1"/>
      <w:numFmt w:val="lowerRoman"/>
      <w:lvlText w:val="%6."/>
      <w:lvlJc w:val="right"/>
      <w:pPr>
        <w:tabs>
          <w:tab w:val="num" w:pos="4473"/>
        </w:tabs>
        <w:ind w:left="4473" w:hanging="180"/>
      </w:pPr>
      <w:rPr>
        <w:rFonts w:cs="Times New Roman"/>
      </w:rPr>
    </w:lvl>
    <w:lvl w:ilvl="6" w:tplc="0409000F" w:tentative="1">
      <w:start w:val="1"/>
      <w:numFmt w:val="decimal"/>
      <w:lvlText w:val="%7."/>
      <w:lvlJc w:val="left"/>
      <w:pPr>
        <w:tabs>
          <w:tab w:val="num" w:pos="5193"/>
        </w:tabs>
        <w:ind w:left="5193" w:hanging="360"/>
      </w:pPr>
      <w:rPr>
        <w:rFonts w:cs="Times New Roman"/>
      </w:rPr>
    </w:lvl>
    <w:lvl w:ilvl="7" w:tplc="04090019" w:tentative="1">
      <w:start w:val="1"/>
      <w:numFmt w:val="lowerLetter"/>
      <w:lvlText w:val="%8."/>
      <w:lvlJc w:val="left"/>
      <w:pPr>
        <w:tabs>
          <w:tab w:val="num" w:pos="5913"/>
        </w:tabs>
        <w:ind w:left="5913" w:hanging="360"/>
      </w:pPr>
      <w:rPr>
        <w:rFonts w:cs="Times New Roman"/>
      </w:rPr>
    </w:lvl>
    <w:lvl w:ilvl="8" w:tplc="0409001B" w:tentative="1">
      <w:start w:val="1"/>
      <w:numFmt w:val="lowerRoman"/>
      <w:lvlText w:val="%9."/>
      <w:lvlJc w:val="right"/>
      <w:pPr>
        <w:tabs>
          <w:tab w:val="num" w:pos="6633"/>
        </w:tabs>
        <w:ind w:left="6633" w:hanging="180"/>
      </w:pPr>
      <w:rPr>
        <w:rFonts w:cs="Times New Roman"/>
      </w:rPr>
    </w:lvl>
  </w:abstractNum>
  <w:abstractNum w:abstractNumId="21" w15:restartNumberingAfterBreak="0">
    <w:nsid w:val="57C157F8"/>
    <w:multiLevelType w:val="singleLevel"/>
    <w:tmpl w:val="20302BAE"/>
    <w:lvl w:ilvl="0">
      <w:start w:val="6"/>
      <w:numFmt w:val="decimal"/>
      <w:lvlText w:val="%1."/>
      <w:lvlJc w:val="left"/>
      <w:pPr>
        <w:tabs>
          <w:tab w:val="num" w:pos="540"/>
        </w:tabs>
        <w:ind w:left="540" w:hanging="540"/>
      </w:pPr>
      <w:rPr>
        <w:rFonts w:ascii="Times New Roman" w:hAnsi="Times New Roman" w:cs="Times New Roman" w:hint="default"/>
      </w:rPr>
    </w:lvl>
  </w:abstractNum>
  <w:abstractNum w:abstractNumId="22" w15:restartNumberingAfterBreak="0">
    <w:nsid w:val="585173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0277A34"/>
    <w:multiLevelType w:val="hybridMultilevel"/>
    <w:tmpl w:val="16AAC6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F40D9B"/>
    <w:multiLevelType w:val="singleLevel"/>
    <w:tmpl w:val="550AC180"/>
    <w:lvl w:ilvl="0">
      <w:start w:val="7"/>
      <w:numFmt w:val="decimal"/>
      <w:lvlText w:val="%1."/>
      <w:lvlJc w:val="left"/>
      <w:pPr>
        <w:tabs>
          <w:tab w:val="num" w:pos="540"/>
        </w:tabs>
        <w:ind w:left="540" w:hanging="540"/>
      </w:pPr>
      <w:rPr>
        <w:rFonts w:ascii="Times New Roman" w:hAnsi="Times New Roman" w:cs="Times New Roman" w:hint="default"/>
      </w:rPr>
    </w:lvl>
  </w:abstractNum>
  <w:abstractNum w:abstractNumId="25" w15:restartNumberingAfterBreak="0">
    <w:nsid w:val="6E0055FC"/>
    <w:multiLevelType w:val="hybridMultilevel"/>
    <w:tmpl w:val="E450931E"/>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ED9486D"/>
    <w:multiLevelType w:val="singleLevel"/>
    <w:tmpl w:val="957C5246"/>
    <w:lvl w:ilvl="0">
      <w:start w:val="4"/>
      <w:numFmt w:val="lowerLetter"/>
      <w:lvlText w:val="%1."/>
      <w:lvlJc w:val="left"/>
      <w:pPr>
        <w:tabs>
          <w:tab w:val="num" w:pos="1080"/>
        </w:tabs>
        <w:ind w:left="1080" w:hanging="540"/>
      </w:pPr>
      <w:rPr>
        <w:rFonts w:cs="Times New Roman" w:hint="default"/>
      </w:rPr>
    </w:lvl>
  </w:abstractNum>
  <w:abstractNum w:abstractNumId="27" w15:restartNumberingAfterBreak="0">
    <w:nsid w:val="792A0371"/>
    <w:multiLevelType w:val="hybridMultilevel"/>
    <w:tmpl w:val="814A98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C03F98"/>
    <w:multiLevelType w:val="hybridMultilevel"/>
    <w:tmpl w:val="74848DFC"/>
    <w:lvl w:ilvl="0" w:tplc="0668380C">
      <w:start w:val="2"/>
      <w:numFmt w:val="lowerLetter"/>
      <w:lvlText w:val="%1."/>
      <w:lvlJc w:val="left"/>
      <w:pPr>
        <w:tabs>
          <w:tab w:val="num" w:pos="900"/>
        </w:tabs>
        <w:ind w:left="900" w:hanging="36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num w:numId="1">
    <w:abstractNumId w:val="13"/>
  </w:num>
  <w:num w:numId="2">
    <w:abstractNumId w:val="5"/>
  </w:num>
  <w:num w:numId="3">
    <w:abstractNumId w:val="24"/>
  </w:num>
  <w:num w:numId="4">
    <w:abstractNumId w:val="22"/>
  </w:num>
  <w:num w:numId="5">
    <w:abstractNumId w:val="26"/>
  </w:num>
  <w:num w:numId="6">
    <w:abstractNumId w:val="18"/>
  </w:num>
  <w:num w:numId="7">
    <w:abstractNumId w:val="21"/>
  </w:num>
  <w:num w:numId="8">
    <w:abstractNumId w:val="28"/>
  </w:num>
  <w:num w:numId="9">
    <w:abstractNumId w:val="20"/>
  </w:num>
  <w:num w:numId="10">
    <w:abstractNumId w:val="3"/>
  </w:num>
  <w:num w:numId="11">
    <w:abstractNumId w:val="9"/>
  </w:num>
  <w:num w:numId="12">
    <w:abstractNumId w:val="27"/>
  </w:num>
  <w:num w:numId="13">
    <w:abstractNumId w:val="10"/>
  </w:num>
  <w:num w:numId="14">
    <w:abstractNumId w:val="25"/>
  </w:num>
  <w:num w:numId="15">
    <w:abstractNumId w:val="4"/>
  </w:num>
  <w:num w:numId="16">
    <w:abstractNumId w:val="8"/>
  </w:num>
  <w:num w:numId="17">
    <w:abstractNumId w:val="2"/>
  </w:num>
  <w:num w:numId="18">
    <w:abstractNumId w:val="23"/>
  </w:num>
  <w:num w:numId="19">
    <w:abstractNumId w:val="12"/>
  </w:num>
  <w:num w:numId="20">
    <w:abstractNumId w:val="7"/>
  </w:num>
  <w:num w:numId="21">
    <w:abstractNumId w:val="1"/>
  </w:num>
  <w:num w:numId="22">
    <w:abstractNumId w:val="17"/>
  </w:num>
  <w:num w:numId="23">
    <w:abstractNumId w:val="0"/>
  </w:num>
  <w:num w:numId="24">
    <w:abstractNumId w:val="19"/>
  </w:num>
  <w:num w:numId="25">
    <w:abstractNumId w:val="6"/>
  </w:num>
  <w:num w:numId="26">
    <w:abstractNumId w:val="16"/>
  </w:num>
  <w:num w:numId="27">
    <w:abstractNumId w:val="15"/>
  </w:num>
  <w:num w:numId="28">
    <w:abstractNumId w:val="11"/>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286"/>
    <w:rsid w:val="0000171A"/>
    <w:rsid w:val="0000270B"/>
    <w:rsid w:val="000048AB"/>
    <w:rsid w:val="000248D9"/>
    <w:rsid w:val="000274A3"/>
    <w:rsid w:val="00033344"/>
    <w:rsid w:val="0005012E"/>
    <w:rsid w:val="00051165"/>
    <w:rsid w:val="00054611"/>
    <w:rsid w:val="000550A7"/>
    <w:rsid w:val="00055251"/>
    <w:rsid w:val="000575CF"/>
    <w:rsid w:val="00065312"/>
    <w:rsid w:val="000861F2"/>
    <w:rsid w:val="000A66DF"/>
    <w:rsid w:val="000B0960"/>
    <w:rsid w:val="000B2E9E"/>
    <w:rsid w:val="000D3760"/>
    <w:rsid w:val="000E3C7E"/>
    <w:rsid w:val="000E768B"/>
    <w:rsid w:val="000F2B3E"/>
    <w:rsid w:val="00153639"/>
    <w:rsid w:val="00163073"/>
    <w:rsid w:val="00171203"/>
    <w:rsid w:val="001860B5"/>
    <w:rsid w:val="00196934"/>
    <w:rsid w:val="001B6144"/>
    <w:rsid w:val="001B7DF5"/>
    <w:rsid w:val="001F5964"/>
    <w:rsid w:val="00206CCA"/>
    <w:rsid w:val="00225278"/>
    <w:rsid w:val="00226906"/>
    <w:rsid w:val="002336AD"/>
    <w:rsid w:val="00235A88"/>
    <w:rsid w:val="00242D08"/>
    <w:rsid w:val="00245714"/>
    <w:rsid w:val="00250424"/>
    <w:rsid w:val="002643B9"/>
    <w:rsid w:val="0026688A"/>
    <w:rsid w:val="00270FA8"/>
    <w:rsid w:val="002747EB"/>
    <w:rsid w:val="00281ED4"/>
    <w:rsid w:val="0029065D"/>
    <w:rsid w:val="00290B01"/>
    <w:rsid w:val="0029308C"/>
    <w:rsid w:val="002A221F"/>
    <w:rsid w:val="002B10DD"/>
    <w:rsid w:val="002D1C6E"/>
    <w:rsid w:val="002E53FB"/>
    <w:rsid w:val="002E76A3"/>
    <w:rsid w:val="002F61BA"/>
    <w:rsid w:val="002F6C1B"/>
    <w:rsid w:val="003004D1"/>
    <w:rsid w:val="00336645"/>
    <w:rsid w:val="00360850"/>
    <w:rsid w:val="0036472A"/>
    <w:rsid w:val="00377552"/>
    <w:rsid w:val="00385E02"/>
    <w:rsid w:val="0039115E"/>
    <w:rsid w:val="00397D32"/>
    <w:rsid w:val="003A7DCD"/>
    <w:rsid w:val="003C200A"/>
    <w:rsid w:val="003C372E"/>
    <w:rsid w:val="003C691E"/>
    <w:rsid w:val="003D18DD"/>
    <w:rsid w:val="003D5BB5"/>
    <w:rsid w:val="003F0592"/>
    <w:rsid w:val="003F77C9"/>
    <w:rsid w:val="00421799"/>
    <w:rsid w:val="00447381"/>
    <w:rsid w:val="00447707"/>
    <w:rsid w:val="00452F07"/>
    <w:rsid w:val="00454EB2"/>
    <w:rsid w:val="00463298"/>
    <w:rsid w:val="00463F1C"/>
    <w:rsid w:val="004771CD"/>
    <w:rsid w:val="004A7C31"/>
    <w:rsid w:val="004C0E23"/>
    <w:rsid w:val="004E0365"/>
    <w:rsid w:val="004E2660"/>
    <w:rsid w:val="004F6846"/>
    <w:rsid w:val="005006EB"/>
    <w:rsid w:val="00542FB2"/>
    <w:rsid w:val="005437B0"/>
    <w:rsid w:val="0055462B"/>
    <w:rsid w:val="005564EA"/>
    <w:rsid w:val="00582D79"/>
    <w:rsid w:val="005939B3"/>
    <w:rsid w:val="005B215E"/>
    <w:rsid w:val="005B6B36"/>
    <w:rsid w:val="005C6D46"/>
    <w:rsid w:val="005D0D5B"/>
    <w:rsid w:val="005D19C7"/>
    <w:rsid w:val="005D3177"/>
    <w:rsid w:val="005D50A6"/>
    <w:rsid w:val="005D50C5"/>
    <w:rsid w:val="005E7663"/>
    <w:rsid w:val="00601DCC"/>
    <w:rsid w:val="0060692B"/>
    <w:rsid w:val="006072E2"/>
    <w:rsid w:val="0063350B"/>
    <w:rsid w:val="00644DCE"/>
    <w:rsid w:val="00666086"/>
    <w:rsid w:val="006743F1"/>
    <w:rsid w:val="006834A9"/>
    <w:rsid w:val="006C4919"/>
    <w:rsid w:val="006E013C"/>
    <w:rsid w:val="006E2781"/>
    <w:rsid w:val="006F2F5F"/>
    <w:rsid w:val="0073005B"/>
    <w:rsid w:val="007333AF"/>
    <w:rsid w:val="00747215"/>
    <w:rsid w:val="00754364"/>
    <w:rsid w:val="0077648D"/>
    <w:rsid w:val="00794111"/>
    <w:rsid w:val="007A5BEE"/>
    <w:rsid w:val="007A7923"/>
    <w:rsid w:val="007A7D48"/>
    <w:rsid w:val="007B04B3"/>
    <w:rsid w:val="007D568E"/>
    <w:rsid w:val="007E2C5D"/>
    <w:rsid w:val="00813F91"/>
    <w:rsid w:val="008205BF"/>
    <w:rsid w:val="00826B0F"/>
    <w:rsid w:val="00837469"/>
    <w:rsid w:val="0084085D"/>
    <w:rsid w:val="0085124D"/>
    <w:rsid w:val="00855585"/>
    <w:rsid w:val="00855757"/>
    <w:rsid w:val="008570BB"/>
    <w:rsid w:val="00865786"/>
    <w:rsid w:val="00875677"/>
    <w:rsid w:val="00877DFF"/>
    <w:rsid w:val="008856D7"/>
    <w:rsid w:val="00885DA0"/>
    <w:rsid w:val="00892098"/>
    <w:rsid w:val="008A63E1"/>
    <w:rsid w:val="008A6C43"/>
    <w:rsid w:val="008B7708"/>
    <w:rsid w:val="008C27C8"/>
    <w:rsid w:val="008C5D99"/>
    <w:rsid w:val="008D2563"/>
    <w:rsid w:val="008D6C5E"/>
    <w:rsid w:val="008F7DE4"/>
    <w:rsid w:val="00901831"/>
    <w:rsid w:val="00907A23"/>
    <w:rsid w:val="00911BE2"/>
    <w:rsid w:val="00916A17"/>
    <w:rsid w:val="00920B79"/>
    <w:rsid w:val="00921F34"/>
    <w:rsid w:val="0093144C"/>
    <w:rsid w:val="00977555"/>
    <w:rsid w:val="00984BD6"/>
    <w:rsid w:val="00986EE5"/>
    <w:rsid w:val="00990BAD"/>
    <w:rsid w:val="009A3297"/>
    <w:rsid w:val="009A394C"/>
    <w:rsid w:val="009C50D3"/>
    <w:rsid w:val="009C56FD"/>
    <w:rsid w:val="009C58FA"/>
    <w:rsid w:val="009F6F9D"/>
    <w:rsid w:val="00A04E78"/>
    <w:rsid w:val="00A177B2"/>
    <w:rsid w:val="00A40866"/>
    <w:rsid w:val="00A425A4"/>
    <w:rsid w:val="00A43853"/>
    <w:rsid w:val="00A47349"/>
    <w:rsid w:val="00A523A1"/>
    <w:rsid w:val="00A642D0"/>
    <w:rsid w:val="00A71BA1"/>
    <w:rsid w:val="00A87495"/>
    <w:rsid w:val="00A91A17"/>
    <w:rsid w:val="00A97BF7"/>
    <w:rsid w:val="00AB1875"/>
    <w:rsid w:val="00AC0385"/>
    <w:rsid w:val="00AC2610"/>
    <w:rsid w:val="00AC3F4A"/>
    <w:rsid w:val="00AD7DB1"/>
    <w:rsid w:val="00B41C3A"/>
    <w:rsid w:val="00B42AED"/>
    <w:rsid w:val="00B436C4"/>
    <w:rsid w:val="00B46484"/>
    <w:rsid w:val="00B56F02"/>
    <w:rsid w:val="00B7520D"/>
    <w:rsid w:val="00B77FD8"/>
    <w:rsid w:val="00B85597"/>
    <w:rsid w:val="00B9101D"/>
    <w:rsid w:val="00B9311D"/>
    <w:rsid w:val="00B974EF"/>
    <w:rsid w:val="00BB1F78"/>
    <w:rsid w:val="00BB5F3A"/>
    <w:rsid w:val="00BB6F54"/>
    <w:rsid w:val="00BE4C01"/>
    <w:rsid w:val="00BF349D"/>
    <w:rsid w:val="00C07369"/>
    <w:rsid w:val="00C12340"/>
    <w:rsid w:val="00C147AF"/>
    <w:rsid w:val="00C365E6"/>
    <w:rsid w:val="00C51C36"/>
    <w:rsid w:val="00C53A5D"/>
    <w:rsid w:val="00C60080"/>
    <w:rsid w:val="00C64A15"/>
    <w:rsid w:val="00C731AB"/>
    <w:rsid w:val="00C75B5E"/>
    <w:rsid w:val="00C83DFA"/>
    <w:rsid w:val="00C92F50"/>
    <w:rsid w:val="00CA2928"/>
    <w:rsid w:val="00CA7552"/>
    <w:rsid w:val="00CB2064"/>
    <w:rsid w:val="00CD196E"/>
    <w:rsid w:val="00CD4630"/>
    <w:rsid w:val="00CE48FA"/>
    <w:rsid w:val="00CE5250"/>
    <w:rsid w:val="00CF5191"/>
    <w:rsid w:val="00D010DC"/>
    <w:rsid w:val="00D134D9"/>
    <w:rsid w:val="00D23EA7"/>
    <w:rsid w:val="00D27D1E"/>
    <w:rsid w:val="00D4326E"/>
    <w:rsid w:val="00D43419"/>
    <w:rsid w:val="00D6000F"/>
    <w:rsid w:val="00D63473"/>
    <w:rsid w:val="00D67980"/>
    <w:rsid w:val="00D72170"/>
    <w:rsid w:val="00D73E58"/>
    <w:rsid w:val="00D86DDD"/>
    <w:rsid w:val="00D87806"/>
    <w:rsid w:val="00DB2B74"/>
    <w:rsid w:val="00DC0309"/>
    <w:rsid w:val="00E047F2"/>
    <w:rsid w:val="00E1654E"/>
    <w:rsid w:val="00E34286"/>
    <w:rsid w:val="00E47259"/>
    <w:rsid w:val="00E72A04"/>
    <w:rsid w:val="00E75485"/>
    <w:rsid w:val="00E939AA"/>
    <w:rsid w:val="00EA4FCF"/>
    <w:rsid w:val="00EA4FF5"/>
    <w:rsid w:val="00EC1CAE"/>
    <w:rsid w:val="00EC4D3D"/>
    <w:rsid w:val="00EC780B"/>
    <w:rsid w:val="00ED2797"/>
    <w:rsid w:val="00ED2B6B"/>
    <w:rsid w:val="00ED3DBE"/>
    <w:rsid w:val="00EF7071"/>
    <w:rsid w:val="00EF76DF"/>
    <w:rsid w:val="00F04E3A"/>
    <w:rsid w:val="00F14B41"/>
    <w:rsid w:val="00F22D23"/>
    <w:rsid w:val="00F3555F"/>
    <w:rsid w:val="00F42CA0"/>
    <w:rsid w:val="00F70CBF"/>
    <w:rsid w:val="00F745AF"/>
    <w:rsid w:val="00F82FB5"/>
    <w:rsid w:val="00F835AC"/>
    <w:rsid w:val="00F94547"/>
    <w:rsid w:val="00F979A9"/>
    <w:rsid w:val="00F97EC8"/>
    <w:rsid w:val="00FB1609"/>
    <w:rsid w:val="00FC0377"/>
    <w:rsid w:val="00FC6730"/>
    <w:rsid w:val="00FC6D28"/>
    <w:rsid w:val="00FE6B73"/>
    <w:rsid w:val="00FE728F"/>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FD42AB"/>
  <w15:docId w15:val="{0A2E8FDE-FBA8-4109-AC09-075E54E5A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ew York" w:eastAsia="Times New Roman" w:hAnsi="New York" w:cs="Times New Roman"/>
        <w:lang w:val="en-CA"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85DA0"/>
    <w:pPr>
      <w:spacing w:line="480" w:lineRule="atLeast"/>
    </w:pPr>
    <w:rPr>
      <w:rFonts w:ascii="Times" w:hAnsi="Times"/>
      <w:sz w:val="24"/>
      <w:lang w:val="en-US"/>
    </w:rPr>
  </w:style>
  <w:style w:type="paragraph" w:styleId="Heading1">
    <w:name w:val="heading 1"/>
    <w:basedOn w:val="Normal"/>
    <w:next w:val="Normal"/>
    <w:link w:val="Heading1Char"/>
    <w:qFormat/>
    <w:locked/>
    <w:rsid w:val="00EA4FF5"/>
    <w:pPr>
      <w:keepNext/>
      <w:spacing w:before="240" w:after="60"/>
      <w:outlineLvl w:val="0"/>
    </w:pPr>
    <w:rPr>
      <w:rFonts w:asciiTheme="majorHAnsi" w:eastAsiaTheme="majorEastAsia" w:hAnsiTheme="majorHAnsi" w:cstheme="majorBidi"/>
      <w:b/>
      <w:bCs/>
      <w:kern w:val="32"/>
      <w:sz w:val="32"/>
      <w:szCs w:val="32"/>
    </w:rPr>
  </w:style>
  <w:style w:type="paragraph" w:styleId="Heading3">
    <w:name w:val="heading 3"/>
    <w:basedOn w:val="Normal"/>
    <w:qFormat/>
    <w:rsid w:val="00F97EC8"/>
    <w:pPr>
      <w:spacing w:before="100" w:beforeAutospacing="1" w:after="100" w:afterAutospacing="1" w:line="240" w:lineRule="auto"/>
      <w:outlineLvl w:val="2"/>
    </w:pPr>
    <w:rPr>
      <w:rFonts w:ascii="Times New Roman" w:hAnsi="Times New Roman"/>
      <w:b/>
      <w:bCs/>
      <w:sz w:val="27"/>
      <w:szCs w:val="27"/>
    </w:rPr>
  </w:style>
  <w:style w:type="paragraph" w:styleId="Heading4">
    <w:name w:val="heading 4"/>
    <w:basedOn w:val="Normal"/>
    <w:qFormat/>
    <w:rsid w:val="0084085D"/>
    <w:pPr>
      <w:spacing w:before="100" w:beforeAutospacing="1" w:after="100" w:afterAutospacing="1" w:line="240" w:lineRule="auto"/>
      <w:outlineLvl w:val="3"/>
    </w:pPr>
    <w:rPr>
      <w:rFonts w:ascii="Times New Roman" w:hAnsi="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85DA0"/>
    <w:pPr>
      <w:tabs>
        <w:tab w:val="center" w:pos="4320"/>
        <w:tab w:val="right" w:pos="8640"/>
      </w:tabs>
    </w:pPr>
  </w:style>
  <w:style w:type="paragraph" w:styleId="Header">
    <w:name w:val="header"/>
    <w:basedOn w:val="Normal"/>
    <w:rsid w:val="00885DA0"/>
    <w:pPr>
      <w:tabs>
        <w:tab w:val="center" w:pos="4320"/>
        <w:tab w:val="right" w:pos="8640"/>
      </w:tabs>
    </w:pPr>
  </w:style>
  <w:style w:type="character" w:styleId="FootnoteReference">
    <w:name w:val="footnote reference"/>
    <w:semiHidden/>
    <w:rsid w:val="00885DA0"/>
    <w:rPr>
      <w:rFonts w:cs="Times New Roman"/>
      <w:position w:val="6"/>
      <w:sz w:val="16"/>
    </w:rPr>
  </w:style>
  <w:style w:type="paragraph" w:styleId="FootnoteText">
    <w:name w:val="footnote text"/>
    <w:basedOn w:val="Normal"/>
    <w:semiHidden/>
    <w:rsid w:val="00885DA0"/>
    <w:rPr>
      <w:sz w:val="20"/>
    </w:rPr>
  </w:style>
  <w:style w:type="paragraph" w:customStyle="1" w:styleId="aaa">
    <w:name w:val="aaa"/>
    <w:basedOn w:val="Normal"/>
    <w:rsid w:val="00885DA0"/>
  </w:style>
  <w:style w:type="paragraph" w:customStyle="1" w:styleId="WPDefaults">
    <w:name w:val="WP Defaults"/>
    <w:rsid w:val="00885D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pPr>
    <w:rPr>
      <w:rFonts w:ascii="Courier" w:hAnsi="Courier"/>
      <w:sz w:val="24"/>
      <w:lang w:val="en-US"/>
    </w:rPr>
  </w:style>
  <w:style w:type="paragraph" w:customStyle="1" w:styleId="MACNormal">
    <w:name w:val="MACNormal"/>
    <w:rsid w:val="00885DA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pPr>
    <w:rPr>
      <w:rFonts w:ascii="Courier" w:hAnsi="Courier"/>
      <w:sz w:val="24"/>
      <w:lang w:val="en-US"/>
    </w:rPr>
  </w:style>
  <w:style w:type="paragraph" w:customStyle="1" w:styleId="MSNormal">
    <w:name w:val="MSNormal"/>
    <w:rsid w:val="00885DA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480" w:lineRule="atLeast"/>
    </w:pPr>
    <w:rPr>
      <w:rFonts w:ascii="Courier" w:hAnsi="Courier"/>
      <w:sz w:val="24"/>
      <w:lang w:val="en-US"/>
    </w:rPr>
  </w:style>
  <w:style w:type="paragraph" w:customStyle="1" w:styleId="Header1">
    <w:name w:val="Header1"/>
    <w:rsid w:val="00885DA0"/>
    <w:rPr>
      <w:rFonts w:ascii="Courier" w:hAnsi="Courier"/>
      <w:sz w:val="24"/>
      <w:lang w:val="en-US"/>
    </w:rPr>
  </w:style>
  <w:style w:type="paragraph" w:customStyle="1" w:styleId="MSHeader">
    <w:name w:val="MSHeader"/>
    <w:rsid w:val="00885DA0"/>
    <w:pPr>
      <w:tabs>
        <w:tab w:val="center" w:pos="5760"/>
        <w:tab w:val="right" w:pos="10080"/>
        <w:tab w:val="right" w:pos="10800"/>
        <w:tab w:val="right" w:pos="11520"/>
        <w:tab w:val="right" w:pos="12240"/>
        <w:tab w:val="right" w:pos="12960"/>
        <w:tab w:val="right" w:pos="13680"/>
        <w:tab w:val="right" w:pos="14400"/>
        <w:tab w:val="right" w:pos="15120"/>
        <w:tab w:val="right" w:pos="15840"/>
        <w:tab w:val="right" w:pos="16560"/>
        <w:tab w:val="right" w:pos="17280"/>
        <w:tab w:val="right" w:pos="18000"/>
        <w:tab w:val="right" w:pos="18720"/>
        <w:tab w:val="right" w:pos="19440"/>
        <w:tab w:val="right" w:pos="20160"/>
        <w:tab w:val="right" w:pos="20880"/>
        <w:tab w:val="right" w:pos="21600"/>
        <w:tab w:val="right" w:pos="22320"/>
        <w:tab w:val="right" w:pos="23040"/>
        <w:tab w:val="right" w:pos="23760"/>
        <w:tab w:val="right" w:pos="24480"/>
        <w:tab w:val="right" w:pos="25200"/>
        <w:tab w:val="right" w:pos="25920"/>
      </w:tabs>
      <w:spacing w:line="480" w:lineRule="atLeast"/>
    </w:pPr>
    <w:rPr>
      <w:rFonts w:ascii="Courier" w:hAnsi="Courier"/>
      <w:sz w:val="24"/>
      <w:lang w:val="en-US"/>
    </w:rPr>
  </w:style>
  <w:style w:type="paragraph" w:customStyle="1" w:styleId="Footer1">
    <w:name w:val="Footer1"/>
    <w:rsid w:val="00885DA0"/>
    <w:rPr>
      <w:rFonts w:ascii="Courier" w:hAnsi="Courier"/>
      <w:sz w:val="24"/>
      <w:lang w:val="en-US"/>
    </w:rPr>
  </w:style>
  <w:style w:type="paragraph" w:customStyle="1" w:styleId="MSFooter">
    <w:name w:val="MSFooter"/>
    <w:rsid w:val="00885DA0"/>
    <w:pPr>
      <w:tabs>
        <w:tab w:val="center" w:pos="5760"/>
        <w:tab w:val="right" w:pos="10080"/>
        <w:tab w:val="right" w:pos="10800"/>
        <w:tab w:val="right" w:pos="11520"/>
        <w:tab w:val="right" w:pos="12240"/>
        <w:tab w:val="right" w:pos="12960"/>
        <w:tab w:val="right" w:pos="13680"/>
        <w:tab w:val="right" w:pos="14400"/>
        <w:tab w:val="right" w:pos="15120"/>
        <w:tab w:val="right" w:pos="15840"/>
        <w:tab w:val="right" w:pos="16560"/>
        <w:tab w:val="right" w:pos="17280"/>
        <w:tab w:val="right" w:pos="18000"/>
        <w:tab w:val="right" w:pos="18720"/>
        <w:tab w:val="right" w:pos="19440"/>
        <w:tab w:val="right" w:pos="20160"/>
        <w:tab w:val="right" w:pos="20880"/>
        <w:tab w:val="right" w:pos="21600"/>
        <w:tab w:val="right" w:pos="22320"/>
        <w:tab w:val="right" w:pos="23040"/>
        <w:tab w:val="right" w:pos="23760"/>
        <w:tab w:val="right" w:pos="24480"/>
        <w:tab w:val="right" w:pos="25200"/>
        <w:tab w:val="right" w:pos="25920"/>
      </w:tabs>
      <w:spacing w:line="480" w:lineRule="atLeast"/>
    </w:pPr>
    <w:rPr>
      <w:rFonts w:ascii="Courier" w:hAnsi="Courier"/>
      <w:sz w:val="24"/>
      <w:lang w:val="en-US"/>
    </w:rPr>
  </w:style>
  <w:style w:type="paragraph" w:customStyle="1" w:styleId="MSFootnoteText">
    <w:name w:val="MSFootnote Text"/>
    <w:rsid w:val="00885DA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480" w:lineRule="atLeast"/>
      <w:ind w:left="720"/>
    </w:pPr>
    <w:rPr>
      <w:rFonts w:ascii="Courier" w:hAnsi="Courier"/>
      <w:lang w:val="en-US"/>
    </w:rPr>
  </w:style>
  <w:style w:type="paragraph" w:customStyle="1" w:styleId="Alan">
    <w:name w:val="Alan"/>
    <w:basedOn w:val="MSNormal"/>
    <w:rsid w:val="00885DA0"/>
    <w:rPr>
      <w:rFonts w:ascii="Times" w:hAnsi="Times"/>
    </w:rPr>
  </w:style>
  <w:style w:type="paragraph" w:styleId="BodyTextIndent2">
    <w:name w:val="Body Text Indent 2"/>
    <w:basedOn w:val="Normal"/>
    <w:rsid w:val="00885DA0"/>
    <w:pPr>
      <w:tabs>
        <w:tab w:val="left" w:pos="720"/>
      </w:tabs>
      <w:spacing w:line="240" w:lineRule="auto"/>
      <w:ind w:left="1260" w:hanging="1260"/>
    </w:pPr>
    <w:rPr>
      <w:rFonts w:ascii="Times New Roman" w:hAnsi="Times New Roman"/>
    </w:rPr>
  </w:style>
  <w:style w:type="paragraph" w:styleId="BodyTextIndent">
    <w:name w:val="Body Text Indent"/>
    <w:basedOn w:val="Normal"/>
    <w:rsid w:val="00885DA0"/>
    <w:pPr>
      <w:spacing w:line="240" w:lineRule="auto"/>
      <w:ind w:left="540" w:hanging="540"/>
    </w:pPr>
  </w:style>
  <w:style w:type="paragraph" w:styleId="BodyTextIndent3">
    <w:name w:val="Body Text Indent 3"/>
    <w:basedOn w:val="Normal"/>
    <w:rsid w:val="00885DA0"/>
    <w:pPr>
      <w:spacing w:line="240" w:lineRule="auto"/>
      <w:ind w:left="720" w:hanging="720"/>
    </w:pPr>
    <w:rPr>
      <w:rFonts w:ascii="Times New Roman" w:hAnsi="Times New Roman"/>
    </w:rPr>
  </w:style>
  <w:style w:type="paragraph" w:styleId="Title">
    <w:name w:val="Title"/>
    <w:basedOn w:val="Normal"/>
    <w:qFormat/>
    <w:rsid w:val="00885DA0"/>
    <w:pPr>
      <w:spacing w:line="240" w:lineRule="auto"/>
      <w:jc w:val="center"/>
    </w:pPr>
    <w:rPr>
      <w:rFonts w:ascii="Times New Roman" w:hAnsi="Times New Roman"/>
      <w:b/>
    </w:rPr>
  </w:style>
  <w:style w:type="paragraph" w:styleId="BodyText">
    <w:name w:val="Body Text"/>
    <w:basedOn w:val="Normal"/>
    <w:rsid w:val="00885DA0"/>
    <w:pPr>
      <w:spacing w:line="240" w:lineRule="auto"/>
    </w:pPr>
    <w:rPr>
      <w:rFonts w:ascii="Times New Roman" w:hAnsi="Times New Roman"/>
    </w:rPr>
  </w:style>
  <w:style w:type="paragraph" w:customStyle="1" w:styleId="emln">
    <w:name w:val="em_ln"/>
    <w:basedOn w:val="Normal"/>
    <w:rsid w:val="0060692B"/>
    <w:pPr>
      <w:tabs>
        <w:tab w:val="left" w:pos="288"/>
        <w:tab w:val="left" w:pos="576"/>
      </w:tabs>
      <w:spacing w:line="240" w:lineRule="auto"/>
      <w:ind w:left="288" w:hanging="288"/>
    </w:pPr>
    <w:rPr>
      <w:rFonts w:ascii="Times New Roman" w:hAnsi="Times New Roman"/>
      <w:position w:val="-2"/>
      <w:sz w:val="18"/>
    </w:rPr>
  </w:style>
  <w:style w:type="character" w:styleId="Hyperlink">
    <w:name w:val="Hyperlink"/>
    <w:rsid w:val="00885DA0"/>
    <w:rPr>
      <w:rFonts w:cs="Times New Roman"/>
      <w:color w:val="0000FF"/>
      <w:u w:val="single"/>
    </w:rPr>
  </w:style>
  <w:style w:type="character" w:styleId="FollowedHyperlink">
    <w:name w:val="FollowedHyperlink"/>
    <w:rsid w:val="00885DA0"/>
    <w:rPr>
      <w:rFonts w:cs="Times New Roman"/>
      <w:color w:val="800080"/>
      <w:u w:val="single"/>
    </w:rPr>
  </w:style>
  <w:style w:type="character" w:customStyle="1" w:styleId="plain1">
    <w:name w:val="plain1"/>
    <w:rsid w:val="00171203"/>
    <w:rPr>
      <w:rFonts w:cs="Times New Roman"/>
    </w:rPr>
  </w:style>
  <w:style w:type="paragraph" w:styleId="NormalWeb">
    <w:name w:val="Normal (Web)"/>
    <w:basedOn w:val="Normal"/>
    <w:rsid w:val="0084085D"/>
    <w:pPr>
      <w:spacing w:before="100" w:beforeAutospacing="1" w:after="100" w:afterAutospacing="1" w:line="240" w:lineRule="auto"/>
    </w:pPr>
    <w:rPr>
      <w:rFonts w:ascii="Times New Roman" w:hAnsi="Times New Roman"/>
      <w:szCs w:val="24"/>
    </w:rPr>
  </w:style>
  <w:style w:type="character" w:customStyle="1" w:styleId="detail">
    <w:name w:val="detail"/>
    <w:rsid w:val="0084085D"/>
    <w:rPr>
      <w:rFonts w:cs="Times New Roman"/>
    </w:rPr>
  </w:style>
  <w:style w:type="paragraph" w:styleId="z-BottomofForm">
    <w:name w:val="HTML Bottom of Form"/>
    <w:basedOn w:val="Normal"/>
    <w:next w:val="Normal"/>
    <w:hidden/>
    <w:rsid w:val="0084085D"/>
    <w:pPr>
      <w:pBdr>
        <w:top w:val="single" w:sz="6" w:space="1" w:color="auto"/>
      </w:pBdr>
      <w:spacing w:line="240" w:lineRule="auto"/>
      <w:jc w:val="center"/>
    </w:pPr>
    <w:rPr>
      <w:rFonts w:ascii="Arial" w:hAnsi="Arial" w:cs="Arial"/>
      <w:vanish/>
      <w:sz w:val="16"/>
      <w:szCs w:val="16"/>
    </w:rPr>
  </w:style>
  <w:style w:type="paragraph" w:customStyle="1" w:styleId="footnote">
    <w:name w:val="footnote"/>
    <w:basedOn w:val="Normal"/>
    <w:rsid w:val="0084085D"/>
    <w:pPr>
      <w:spacing w:before="100" w:beforeAutospacing="1" w:after="100" w:afterAutospacing="1" w:line="240" w:lineRule="auto"/>
    </w:pPr>
    <w:rPr>
      <w:rFonts w:ascii="Times New Roman" w:hAnsi="Times New Roman"/>
      <w:szCs w:val="24"/>
    </w:rPr>
  </w:style>
  <w:style w:type="paragraph" w:styleId="z-TopofForm">
    <w:name w:val="HTML Top of Form"/>
    <w:basedOn w:val="Normal"/>
    <w:next w:val="Normal"/>
    <w:hidden/>
    <w:rsid w:val="00F97EC8"/>
    <w:pPr>
      <w:pBdr>
        <w:bottom w:val="single" w:sz="6" w:space="1" w:color="auto"/>
      </w:pBdr>
      <w:spacing w:line="240" w:lineRule="auto"/>
      <w:jc w:val="center"/>
    </w:pPr>
    <w:rPr>
      <w:rFonts w:ascii="Arial" w:hAnsi="Arial" w:cs="Arial"/>
      <w:vanish/>
      <w:sz w:val="16"/>
      <w:szCs w:val="16"/>
    </w:rPr>
  </w:style>
  <w:style w:type="table" w:styleId="TableGrid">
    <w:name w:val="Table Grid"/>
    <w:basedOn w:val="TableNormal"/>
    <w:rsid w:val="00A40866"/>
    <w:pPr>
      <w:spacing w:line="480" w:lineRule="atLeast"/>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0861F2"/>
    <w:pPr>
      <w:spacing w:line="240" w:lineRule="auto"/>
    </w:pPr>
    <w:rPr>
      <w:rFonts w:ascii="Tahoma" w:hAnsi="Tahoma"/>
      <w:sz w:val="16"/>
      <w:szCs w:val="16"/>
    </w:rPr>
  </w:style>
  <w:style w:type="character" w:customStyle="1" w:styleId="BalloonTextChar">
    <w:name w:val="Balloon Text Char"/>
    <w:link w:val="BalloonText"/>
    <w:locked/>
    <w:rsid w:val="000861F2"/>
    <w:rPr>
      <w:rFonts w:ascii="Tahoma" w:hAnsi="Tahoma" w:cs="Tahoma"/>
      <w:sz w:val="16"/>
      <w:szCs w:val="16"/>
      <w:lang w:val="en-US" w:eastAsia="en-US"/>
    </w:rPr>
  </w:style>
  <w:style w:type="character" w:styleId="CommentReference">
    <w:name w:val="annotation reference"/>
    <w:rsid w:val="00A523A1"/>
    <w:rPr>
      <w:rFonts w:cs="Times New Roman"/>
      <w:sz w:val="16"/>
      <w:szCs w:val="16"/>
    </w:rPr>
  </w:style>
  <w:style w:type="paragraph" w:styleId="CommentText">
    <w:name w:val="annotation text"/>
    <w:basedOn w:val="Normal"/>
    <w:link w:val="CommentTextChar"/>
    <w:rsid w:val="00A523A1"/>
    <w:rPr>
      <w:sz w:val="20"/>
    </w:rPr>
  </w:style>
  <w:style w:type="character" w:customStyle="1" w:styleId="CommentTextChar">
    <w:name w:val="Comment Text Char"/>
    <w:link w:val="CommentText"/>
    <w:locked/>
    <w:rsid w:val="00A523A1"/>
    <w:rPr>
      <w:rFonts w:ascii="Times" w:hAnsi="Times" w:cs="Times New Roman"/>
      <w:lang w:val="en-US" w:eastAsia="en-US"/>
    </w:rPr>
  </w:style>
  <w:style w:type="paragraph" w:styleId="CommentSubject">
    <w:name w:val="annotation subject"/>
    <w:basedOn w:val="CommentText"/>
    <w:next w:val="CommentText"/>
    <w:link w:val="CommentSubjectChar"/>
    <w:rsid w:val="00A523A1"/>
    <w:rPr>
      <w:b/>
      <w:bCs/>
    </w:rPr>
  </w:style>
  <w:style w:type="character" w:customStyle="1" w:styleId="CommentSubjectChar">
    <w:name w:val="Comment Subject Char"/>
    <w:link w:val="CommentSubject"/>
    <w:locked/>
    <w:rsid w:val="00A523A1"/>
    <w:rPr>
      <w:rFonts w:ascii="Times" w:hAnsi="Times" w:cs="Times New Roman"/>
      <w:b/>
      <w:bCs/>
      <w:lang w:val="en-US" w:eastAsia="en-US"/>
    </w:rPr>
  </w:style>
  <w:style w:type="paragraph" w:customStyle="1" w:styleId="Revision1">
    <w:name w:val="Revision1"/>
    <w:hidden/>
    <w:semiHidden/>
    <w:rsid w:val="00A523A1"/>
    <w:rPr>
      <w:rFonts w:ascii="Times" w:hAnsi="Times"/>
      <w:sz w:val="24"/>
      <w:lang w:val="en-US"/>
    </w:rPr>
  </w:style>
  <w:style w:type="character" w:customStyle="1" w:styleId="UnresolvedMention1">
    <w:name w:val="Unresolved Mention1"/>
    <w:uiPriority w:val="99"/>
    <w:semiHidden/>
    <w:unhideWhenUsed/>
    <w:rsid w:val="00D4326E"/>
    <w:rPr>
      <w:color w:val="605E5C"/>
      <w:shd w:val="clear" w:color="auto" w:fill="E1DFDD"/>
    </w:rPr>
  </w:style>
  <w:style w:type="character" w:customStyle="1" w:styleId="Heading1Char">
    <w:name w:val="Heading 1 Char"/>
    <w:basedOn w:val="DefaultParagraphFont"/>
    <w:link w:val="Heading1"/>
    <w:rsid w:val="00EA4FF5"/>
    <w:rPr>
      <w:rFonts w:asciiTheme="majorHAnsi" w:eastAsiaTheme="majorEastAsia" w:hAnsiTheme="majorHAnsi" w:cstheme="majorBidi"/>
      <w:b/>
      <w:bCs/>
      <w:kern w:val="32"/>
      <w:sz w:val="32"/>
      <w:szCs w:val="32"/>
      <w:lang w:val="en-US"/>
    </w:rPr>
  </w:style>
  <w:style w:type="paragraph" w:styleId="Revision">
    <w:name w:val="Revision"/>
    <w:hidden/>
    <w:uiPriority w:val="99"/>
    <w:semiHidden/>
    <w:rsid w:val="00EA4FF5"/>
    <w:rPr>
      <w:rFonts w:ascii="Times" w:hAnsi="Times"/>
      <w:sz w:val="24"/>
      <w:lang w:val="en-US"/>
    </w:rPr>
  </w:style>
  <w:style w:type="paragraph" w:styleId="ListParagraph">
    <w:name w:val="List Paragraph"/>
    <w:basedOn w:val="Normal"/>
    <w:uiPriority w:val="34"/>
    <w:qFormat/>
    <w:rsid w:val="00E472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45">
          <w:marLeft w:val="0"/>
          <w:marRight w:val="0"/>
          <w:marTop w:val="0"/>
          <w:marBottom w:val="0"/>
          <w:divBdr>
            <w:top w:val="none" w:sz="0" w:space="0" w:color="auto"/>
            <w:left w:val="none" w:sz="0" w:space="0" w:color="auto"/>
            <w:bottom w:val="none" w:sz="0" w:space="0" w:color="auto"/>
            <w:right w:val="none" w:sz="0" w:space="0" w:color="auto"/>
          </w:divBdr>
          <w:divsChild>
            <w:div w:id="125">
              <w:marLeft w:val="0"/>
              <w:marRight w:val="0"/>
              <w:marTop w:val="0"/>
              <w:marBottom w:val="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sChild>
        <w:div w:id="88">
          <w:marLeft w:val="-2000"/>
          <w:marRight w:val="0"/>
          <w:marTop w:val="0"/>
          <w:marBottom w:val="0"/>
          <w:divBdr>
            <w:top w:val="none" w:sz="0" w:space="0" w:color="auto"/>
            <w:left w:val="single" w:sz="48" w:space="0" w:color="C8C8C8"/>
            <w:bottom w:val="none" w:sz="0" w:space="0" w:color="auto"/>
            <w:right w:val="none" w:sz="0" w:space="0" w:color="auto"/>
          </w:divBdr>
          <w:divsChild>
            <w:div w:id="101">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206">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121">
          <w:marLeft w:val="0"/>
          <w:marRight w:val="0"/>
          <w:marTop w:val="0"/>
          <w:marBottom w:val="0"/>
          <w:divBdr>
            <w:top w:val="none" w:sz="0" w:space="0" w:color="auto"/>
            <w:left w:val="none" w:sz="0" w:space="0" w:color="auto"/>
            <w:bottom w:val="none" w:sz="0" w:space="0" w:color="auto"/>
            <w:right w:val="none" w:sz="0" w:space="0" w:color="auto"/>
          </w:divBdr>
          <w:divsChild>
            <w:div w:id="127">
              <w:marLeft w:val="0"/>
              <w:marRight w:val="0"/>
              <w:marTop w:val="0"/>
              <w:marBottom w:val="0"/>
              <w:divBdr>
                <w:top w:val="none" w:sz="0" w:space="0" w:color="auto"/>
                <w:left w:val="none" w:sz="0" w:space="0" w:color="auto"/>
                <w:bottom w:val="none" w:sz="0" w:space="0" w:color="auto"/>
                <w:right w:val="none" w:sz="0" w:space="0" w:color="auto"/>
              </w:divBdr>
              <w:divsChild>
                <w:div w:id="197">
                  <w:marLeft w:val="0"/>
                  <w:marRight w:val="0"/>
                  <w:marTop w:val="0"/>
                  <w:marBottom w:val="0"/>
                  <w:divBdr>
                    <w:top w:val="none" w:sz="0" w:space="0" w:color="auto"/>
                    <w:left w:val="none" w:sz="0" w:space="0" w:color="auto"/>
                    <w:bottom w:val="none" w:sz="0" w:space="0" w:color="auto"/>
                    <w:right w:val="none" w:sz="0" w:space="0" w:color="auto"/>
                  </w:divBdr>
                  <w:divsChild>
                    <w:div w:id="1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
      <w:marLeft w:val="0"/>
      <w:marRight w:val="0"/>
      <w:marTop w:val="0"/>
      <w:marBottom w:val="0"/>
      <w:divBdr>
        <w:top w:val="none" w:sz="0" w:space="0" w:color="auto"/>
        <w:left w:val="none" w:sz="0" w:space="0" w:color="auto"/>
        <w:bottom w:val="none" w:sz="0" w:space="0" w:color="auto"/>
        <w:right w:val="none" w:sz="0" w:space="0" w:color="auto"/>
      </w:divBdr>
      <w:divsChild>
        <w:div w:id="138">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142">
                      <w:marLeft w:val="0"/>
                      <w:marRight w:val="0"/>
                      <w:marTop w:val="0"/>
                      <w:marBottom w:val="0"/>
                      <w:divBdr>
                        <w:top w:val="none" w:sz="0" w:space="0" w:color="auto"/>
                        <w:left w:val="none" w:sz="0" w:space="0" w:color="auto"/>
                        <w:bottom w:val="none" w:sz="0" w:space="0" w:color="auto"/>
                        <w:right w:val="none" w:sz="0" w:space="0" w:color="auto"/>
                      </w:divBdr>
                      <w:divsChild>
                        <w:div w:id="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
      <w:marLeft w:val="0"/>
      <w:marRight w:val="0"/>
      <w:marTop w:val="0"/>
      <w:marBottom w:val="0"/>
      <w:divBdr>
        <w:top w:val="none" w:sz="0" w:space="0" w:color="auto"/>
        <w:left w:val="none" w:sz="0" w:space="0" w:color="auto"/>
        <w:bottom w:val="none" w:sz="0" w:space="0" w:color="auto"/>
        <w:right w:val="none" w:sz="0" w:space="0" w:color="auto"/>
      </w:divBdr>
      <w:divsChild>
        <w:div w:id="41">
          <w:marLeft w:val="-2000"/>
          <w:marRight w:val="0"/>
          <w:marTop w:val="0"/>
          <w:marBottom w:val="0"/>
          <w:divBdr>
            <w:top w:val="none" w:sz="0" w:space="0" w:color="auto"/>
            <w:left w:val="single" w:sz="48" w:space="0" w:color="C8C8C8"/>
            <w:bottom w:val="none" w:sz="0" w:space="0" w:color="auto"/>
            <w:right w:val="none" w:sz="0" w:space="0" w:color="auto"/>
          </w:divBdr>
          <w:divsChild>
            <w:div w:id="167">
              <w:marLeft w:val="0"/>
              <w:marRight w:val="0"/>
              <w:marTop w:val="0"/>
              <w:marBottom w:val="0"/>
              <w:divBdr>
                <w:top w:val="none" w:sz="0" w:space="0" w:color="auto"/>
                <w:left w:val="none" w:sz="0" w:space="0" w:color="auto"/>
                <w:bottom w:val="none" w:sz="0" w:space="0" w:color="auto"/>
                <w:right w:val="none" w:sz="0" w:space="0" w:color="auto"/>
              </w:divBdr>
              <w:divsChild>
                <w:div w:id="106">
                  <w:marLeft w:val="0"/>
                  <w:marRight w:val="0"/>
                  <w:marTop w:val="0"/>
                  <w:marBottom w:val="0"/>
                  <w:divBdr>
                    <w:top w:val="none" w:sz="0" w:space="0" w:color="auto"/>
                    <w:left w:val="none" w:sz="0" w:space="0" w:color="auto"/>
                    <w:bottom w:val="none" w:sz="0" w:space="0" w:color="auto"/>
                    <w:right w:val="none" w:sz="0" w:space="0" w:color="auto"/>
                  </w:divBdr>
                  <w:divsChild>
                    <w:div w:id="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34">
              <w:marLeft w:val="0"/>
              <w:marRight w:val="0"/>
              <w:marTop w:val="0"/>
              <w:marBottom w:val="0"/>
              <w:divBdr>
                <w:top w:val="none" w:sz="0" w:space="0" w:color="auto"/>
                <w:left w:val="none" w:sz="0" w:space="0" w:color="auto"/>
                <w:bottom w:val="none" w:sz="0" w:space="0" w:color="auto"/>
                <w:right w:val="none" w:sz="0" w:space="0" w:color="auto"/>
              </w:divBdr>
              <w:divsChild>
                <w:div w:id="172">
                  <w:marLeft w:val="0"/>
                  <w:marRight w:val="0"/>
                  <w:marTop w:val="0"/>
                  <w:marBottom w:val="0"/>
                  <w:divBdr>
                    <w:top w:val="none" w:sz="0" w:space="0" w:color="auto"/>
                    <w:left w:val="none" w:sz="0" w:space="0" w:color="auto"/>
                    <w:bottom w:val="none" w:sz="0" w:space="0" w:color="auto"/>
                    <w:right w:val="none" w:sz="0" w:space="0" w:color="auto"/>
                  </w:divBdr>
                  <w:divsChild>
                    <w:div w:id="77">
                      <w:marLeft w:val="0"/>
                      <w:marRight w:val="0"/>
                      <w:marTop w:val="0"/>
                      <w:marBottom w:val="0"/>
                      <w:divBdr>
                        <w:top w:val="none" w:sz="0" w:space="0" w:color="auto"/>
                        <w:left w:val="none" w:sz="0" w:space="0" w:color="auto"/>
                        <w:bottom w:val="none" w:sz="0" w:space="0" w:color="auto"/>
                        <w:right w:val="none" w:sz="0" w:space="0" w:color="auto"/>
                      </w:divBdr>
                      <w:divsChild>
                        <w:div w:id="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
      <w:marLeft w:val="0"/>
      <w:marRight w:val="0"/>
      <w:marTop w:val="0"/>
      <w:marBottom w:val="0"/>
      <w:divBdr>
        <w:top w:val="none" w:sz="0" w:space="0" w:color="auto"/>
        <w:left w:val="none" w:sz="0" w:space="0" w:color="auto"/>
        <w:bottom w:val="none" w:sz="0" w:space="0" w:color="auto"/>
        <w:right w:val="none" w:sz="0" w:space="0" w:color="auto"/>
      </w:divBdr>
      <w:divsChild>
        <w:div w:id="205">
          <w:marLeft w:val="0"/>
          <w:marRight w:val="0"/>
          <w:marTop w:val="0"/>
          <w:marBottom w:val="0"/>
          <w:divBdr>
            <w:top w:val="none" w:sz="0" w:space="0" w:color="auto"/>
            <w:left w:val="none" w:sz="0" w:space="0" w:color="auto"/>
            <w:bottom w:val="none" w:sz="0" w:space="0" w:color="auto"/>
            <w:right w:val="none" w:sz="0" w:space="0" w:color="auto"/>
          </w:divBdr>
          <w:divsChild>
            <w:div w:id="232">
              <w:marLeft w:val="0"/>
              <w:marRight w:val="0"/>
              <w:marTop w:val="0"/>
              <w:marBottom w:val="0"/>
              <w:divBdr>
                <w:top w:val="none" w:sz="0" w:space="0" w:color="auto"/>
                <w:left w:val="none" w:sz="0" w:space="0" w:color="auto"/>
                <w:bottom w:val="none" w:sz="0" w:space="0" w:color="auto"/>
                <w:right w:val="none" w:sz="0" w:space="0" w:color="auto"/>
              </w:divBdr>
              <w:divsChild>
                <w:div w:id="139">
                  <w:marLeft w:val="0"/>
                  <w:marRight w:val="0"/>
                  <w:marTop w:val="0"/>
                  <w:marBottom w:val="0"/>
                  <w:divBdr>
                    <w:top w:val="none" w:sz="0" w:space="0" w:color="auto"/>
                    <w:left w:val="none" w:sz="0" w:space="0" w:color="auto"/>
                    <w:bottom w:val="none" w:sz="0" w:space="0" w:color="auto"/>
                    <w:right w:val="none" w:sz="0" w:space="0" w:color="auto"/>
                  </w:divBdr>
                  <w:divsChild>
                    <w:div w:id="18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212">
                              <w:marLeft w:val="0"/>
                              <w:marRight w:val="0"/>
                              <w:marTop w:val="0"/>
                              <w:marBottom w:val="0"/>
                              <w:divBdr>
                                <w:top w:val="none" w:sz="0" w:space="0" w:color="auto"/>
                                <w:left w:val="none" w:sz="0" w:space="0" w:color="auto"/>
                                <w:bottom w:val="none" w:sz="0" w:space="0" w:color="auto"/>
                                <w:right w:val="none" w:sz="0" w:space="0" w:color="auto"/>
                              </w:divBdr>
                              <w:divsChild>
                                <w:div w:id="191">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169">
                                      <w:marLeft w:val="0"/>
                                      <w:marRight w:val="0"/>
                                      <w:marTop w:val="0"/>
                                      <w:marBottom w:val="0"/>
                                      <w:divBdr>
                                        <w:top w:val="none" w:sz="0" w:space="0" w:color="auto"/>
                                        <w:left w:val="none" w:sz="0" w:space="0" w:color="auto"/>
                                        <w:bottom w:val="none" w:sz="0" w:space="0" w:color="auto"/>
                                        <w:right w:val="none" w:sz="0" w:space="0" w:color="auto"/>
                                      </w:divBdr>
                                    </w:div>
                                    <w:div w:id="187">
                                      <w:marLeft w:val="0"/>
                                      <w:marRight w:val="0"/>
                                      <w:marTop w:val="0"/>
                                      <w:marBottom w:val="0"/>
                                      <w:divBdr>
                                        <w:top w:val="none" w:sz="0" w:space="0" w:color="auto"/>
                                        <w:left w:val="none" w:sz="0" w:space="0" w:color="auto"/>
                                        <w:bottom w:val="none" w:sz="0" w:space="0" w:color="auto"/>
                                        <w:right w:val="none" w:sz="0" w:space="0" w:color="auto"/>
                                      </w:divBdr>
                                    </w:div>
                                    <w:div w:id="192">
                                      <w:marLeft w:val="0"/>
                                      <w:marRight w:val="0"/>
                                      <w:marTop w:val="0"/>
                                      <w:marBottom w:val="0"/>
                                      <w:divBdr>
                                        <w:top w:val="none" w:sz="0" w:space="0" w:color="auto"/>
                                        <w:left w:val="none" w:sz="0" w:space="0" w:color="auto"/>
                                        <w:bottom w:val="none" w:sz="0" w:space="0" w:color="auto"/>
                                        <w:right w:val="none" w:sz="0" w:space="0" w:color="auto"/>
                                      </w:divBdr>
                                    </w:div>
                                    <w:div w:id="220">
                                      <w:marLeft w:val="0"/>
                                      <w:marRight w:val="0"/>
                                      <w:marTop w:val="0"/>
                                      <w:marBottom w:val="0"/>
                                      <w:divBdr>
                                        <w:top w:val="none" w:sz="0" w:space="0" w:color="auto"/>
                                        <w:left w:val="none" w:sz="0" w:space="0" w:color="auto"/>
                                        <w:bottom w:val="none" w:sz="0" w:space="0" w:color="auto"/>
                                        <w:right w:val="none" w:sz="0" w:space="0" w:color="auto"/>
                                      </w:divBdr>
                                    </w:div>
                                    <w:div w:id="225">
                                      <w:marLeft w:val="0"/>
                                      <w:marRight w:val="0"/>
                                      <w:marTop w:val="0"/>
                                      <w:marBottom w:val="0"/>
                                      <w:divBdr>
                                        <w:top w:val="none" w:sz="0" w:space="0" w:color="auto"/>
                                        <w:left w:val="none" w:sz="0" w:space="0" w:color="auto"/>
                                        <w:bottom w:val="none" w:sz="0" w:space="0" w:color="auto"/>
                                        <w:right w:val="none" w:sz="0" w:space="0" w:color="auto"/>
                                      </w:divBdr>
                                    </w:div>
                                    <w:div w:id="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208">
              <w:marLeft w:val="0"/>
              <w:marRight w:val="0"/>
              <w:marTop w:val="0"/>
              <w:marBottom w:val="0"/>
              <w:divBdr>
                <w:top w:val="none" w:sz="0" w:space="0" w:color="auto"/>
                <w:left w:val="none" w:sz="0" w:space="0" w:color="auto"/>
                <w:bottom w:val="none" w:sz="0" w:space="0" w:color="auto"/>
                <w:right w:val="none" w:sz="0" w:space="0" w:color="auto"/>
              </w:divBdr>
              <w:divsChild>
                <w:div w:id="10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217">
                  <w:marLeft w:val="0"/>
                  <w:marRight w:val="0"/>
                  <w:marTop w:val="0"/>
                  <w:marBottom w:val="0"/>
                  <w:divBdr>
                    <w:top w:val="none" w:sz="0" w:space="0" w:color="auto"/>
                    <w:left w:val="none" w:sz="0" w:space="0" w:color="auto"/>
                    <w:bottom w:val="none" w:sz="0" w:space="0" w:color="auto"/>
                    <w:right w:val="none" w:sz="0" w:space="0" w:color="auto"/>
                  </w:divBdr>
                  <w:divsChild>
                    <w:div w:id="70">
                      <w:marLeft w:val="0"/>
                      <w:marRight w:val="0"/>
                      <w:marTop w:val="0"/>
                      <w:marBottom w:val="0"/>
                      <w:divBdr>
                        <w:top w:val="none" w:sz="0" w:space="0" w:color="auto"/>
                        <w:left w:val="none" w:sz="0" w:space="0" w:color="auto"/>
                        <w:bottom w:val="none" w:sz="0" w:space="0" w:color="auto"/>
                        <w:right w:val="none" w:sz="0" w:space="0" w:color="auto"/>
                      </w:divBdr>
                      <w:divsChild>
                        <w:div w:id="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sChild>
            <w:div w:id="242">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sChild>
                    <w:div w:id="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
      <w:marLeft w:val="0"/>
      <w:marRight w:val="0"/>
      <w:marTop w:val="0"/>
      <w:marBottom w:val="0"/>
      <w:divBdr>
        <w:top w:val="none" w:sz="0" w:space="0" w:color="auto"/>
        <w:left w:val="none" w:sz="0" w:space="0" w:color="auto"/>
        <w:bottom w:val="none" w:sz="0" w:space="0" w:color="auto"/>
        <w:right w:val="none" w:sz="0" w:space="0" w:color="auto"/>
      </w:divBdr>
      <w:divsChild>
        <w:div w:id="146">
          <w:marLeft w:val="0"/>
          <w:marRight w:val="0"/>
          <w:marTop w:val="0"/>
          <w:marBottom w:val="0"/>
          <w:divBdr>
            <w:top w:val="none" w:sz="0" w:space="0" w:color="auto"/>
            <w:left w:val="none" w:sz="0" w:space="0" w:color="auto"/>
            <w:bottom w:val="none" w:sz="0" w:space="0" w:color="auto"/>
            <w:right w:val="none" w:sz="0" w:space="0" w:color="auto"/>
          </w:divBdr>
          <w:divsChild>
            <w:div w:id="237">
              <w:marLeft w:val="0"/>
              <w:marRight w:val="0"/>
              <w:marTop w:val="0"/>
              <w:marBottom w:val="0"/>
              <w:divBdr>
                <w:top w:val="none" w:sz="0" w:space="0" w:color="auto"/>
                <w:left w:val="none" w:sz="0" w:space="0" w:color="auto"/>
                <w:bottom w:val="none" w:sz="0" w:space="0" w:color="auto"/>
                <w:right w:val="none" w:sz="0" w:space="0" w:color="auto"/>
              </w:divBdr>
              <w:divsChild>
                <w:div w:id="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
      <w:marLeft w:val="0"/>
      <w:marRight w:val="0"/>
      <w:marTop w:val="0"/>
      <w:marBottom w:val="0"/>
      <w:divBdr>
        <w:top w:val="none" w:sz="0" w:space="0" w:color="auto"/>
        <w:left w:val="none" w:sz="0" w:space="0" w:color="auto"/>
        <w:bottom w:val="none" w:sz="0" w:space="0" w:color="auto"/>
        <w:right w:val="none" w:sz="0" w:space="0" w:color="auto"/>
      </w:divBdr>
      <w:divsChild>
        <w:div w:id="153">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02">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224">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
      <w:marLeft w:val="0"/>
      <w:marRight w:val="0"/>
      <w:marTop w:val="0"/>
      <w:marBottom w:val="0"/>
      <w:divBdr>
        <w:top w:val="none" w:sz="0" w:space="0" w:color="auto"/>
        <w:left w:val="none" w:sz="0" w:space="0" w:color="auto"/>
        <w:bottom w:val="none" w:sz="0" w:space="0" w:color="auto"/>
        <w:right w:val="none" w:sz="0" w:space="0" w:color="auto"/>
      </w:divBdr>
      <w:divsChild>
        <w:div w:id="45">
          <w:marLeft w:val="-2000"/>
          <w:marRight w:val="0"/>
          <w:marTop w:val="0"/>
          <w:marBottom w:val="0"/>
          <w:divBdr>
            <w:top w:val="none" w:sz="0" w:space="0" w:color="auto"/>
            <w:left w:val="single" w:sz="48" w:space="0" w:color="C8C8C8"/>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176">
              <w:marLeft w:val="0"/>
              <w:marRight w:val="0"/>
              <w:marTop w:val="0"/>
              <w:marBottom w:val="0"/>
              <w:divBdr>
                <w:top w:val="none" w:sz="0" w:space="0" w:color="auto"/>
                <w:left w:val="none" w:sz="0" w:space="0" w:color="auto"/>
                <w:bottom w:val="none" w:sz="0" w:space="0" w:color="auto"/>
                <w:right w:val="none" w:sz="0" w:space="0" w:color="auto"/>
              </w:divBdr>
              <w:divsChild>
                <w:div w:id="164">
                  <w:marLeft w:val="0"/>
                  <w:marRight w:val="0"/>
                  <w:marTop w:val="0"/>
                  <w:marBottom w:val="0"/>
                  <w:divBdr>
                    <w:top w:val="none" w:sz="0" w:space="0" w:color="auto"/>
                    <w:left w:val="none" w:sz="0" w:space="0" w:color="auto"/>
                    <w:bottom w:val="none" w:sz="0" w:space="0" w:color="auto"/>
                    <w:right w:val="none" w:sz="0" w:space="0" w:color="auto"/>
                  </w:divBdr>
                  <w:divsChild>
                    <w:div w:id="230">
                      <w:marLeft w:val="0"/>
                      <w:marRight w:val="0"/>
                      <w:marTop w:val="0"/>
                      <w:marBottom w:val="0"/>
                      <w:divBdr>
                        <w:top w:val="none" w:sz="0" w:space="0" w:color="auto"/>
                        <w:left w:val="none" w:sz="0" w:space="0" w:color="auto"/>
                        <w:bottom w:val="none" w:sz="0" w:space="0" w:color="auto"/>
                        <w:right w:val="none" w:sz="0" w:space="0" w:color="auto"/>
                      </w:divBdr>
                      <w:divsChild>
                        <w:div w:id="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
      <w:marLeft w:val="0"/>
      <w:marRight w:val="0"/>
      <w:marTop w:val="0"/>
      <w:marBottom w:val="0"/>
      <w:divBdr>
        <w:top w:val="none" w:sz="0" w:space="0" w:color="auto"/>
        <w:left w:val="none" w:sz="0" w:space="0" w:color="auto"/>
        <w:bottom w:val="none" w:sz="0" w:space="0" w:color="auto"/>
        <w:right w:val="none" w:sz="0" w:space="0" w:color="auto"/>
      </w:divBdr>
      <w:divsChild>
        <w:div w:id="130">
          <w:marLeft w:val="-2000"/>
          <w:marRight w:val="0"/>
          <w:marTop w:val="0"/>
          <w:marBottom w:val="0"/>
          <w:divBdr>
            <w:top w:val="none" w:sz="0" w:space="0" w:color="auto"/>
            <w:left w:val="single" w:sz="48" w:space="0" w:color="C8C8C8"/>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239">
                  <w:marLeft w:val="0"/>
                  <w:marRight w:val="0"/>
                  <w:marTop w:val="0"/>
                  <w:marBottom w:val="0"/>
                  <w:divBdr>
                    <w:top w:val="none" w:sz="0" w:space="0" w:color="auto"/>
                    <w:left w:val="none" w:sz="0" w:space="0" w:color="auto"/>
                    <w:bottom w:val="none" w:sz="0" w:space="0" w:color="auto"/>
                    <w:right w:val="none" w:sz="0" w:space="0" w:color="auto"/>
                  </w:divBdr>
                  <w:divsChild>
                    <w:div w:id="246">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182">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
      <w:marLeft w:val="0"/>
      <w:marRight w:val="0"/>
      <w:marTop w:val="0"/>
      <w:marBottom w:val="0"/>
      <w:divBdr>
        <w:top w:val="none" w:sz="0" w:space="0" w:color="auto"/>
        <w:left w:val="none" w:sz="0" w:space="0" w:color="auto"/>
        <w:bottom w:val="none" w:sz="0" w:space="0" w:color="auto"/>
        <w:right w:val="none" w:sz="0" w:space="0" w:color="auto"/>
      </w:divBdr>
      <w:divsChild>
        <w:div w:id="183">
          <w:marLeft w:val="0"/>
          <w:marRight w:val="0"/>
          <w:marTop w:val="0"/>
          <w:marBottom w:val="0"/>
          <w:divBdr>
            <w:top w:val="none" w:sz="0" w:space="0" w:color="auto"/>
            <w:left w:val="none" w:sz="0" w:space="0" w:color="auto"/>
            <w:bottom w:val="none" w:sz="0" w:space="0" w:color="auto"/>
            <w:right w:val="none" w:sz="0" w:space="0" w:color="auto"/>
          </w:divBdr>
          <w:divsChild>
            <w:div w:id="143">
              <w:marLeft w:val="0"/>
              <w:marRight w:val="0"/>
              <w:marTop w:val="0"/>
              <w:marBottom w:val="0"/>
              <w:divBdr>
                <w:top w:val="none" w:sz="0" w:space="0" w:color="auto"/>
                <w:left w:val="none" w:sz="0" w:space="0" w:color="auto"/>
                <w:bottom w:val="none" w:sz="0" w:space="0" w:color="auto"/>
                <w:right w:val="none" w:sz="0" w:space="0" w:color="auto"/>
              </w:divBdr>
              <w:divsChild>
                <w:div w:id="170">
                  <w:marLeft w:val="0"/>
                  <w:marRight w:val="0"/>
                  <w:marTop w:val="0"/>
                  <w:marBottom w:val="0"/>
                  <w:divBdr>
                    <w:top w:val="none" w:sz="0" w:space="0" w:color="auto"/>
                    <w:left w:val="none" w:sz="0" w:space="0" w:color="auto"/>
                    <w:bottom w:val="none" w:sz="0" w:space="0" w:color="auto"/>
                    <w:right w:val="none" w:sz="0" w:space="0" w:color="auto"/>
                  </w:divBdr>
                  <w:divsChild>
                    <w:div w:id="156">
                      <w:marLeft w:val="0"/>
                      <w:marRight w:val="0"/>
                      <w:marTop w:val="0"/>
                      <w:marBottom w:val="0"/>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109">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202">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sChild>
        <w:div w:id="243">
          <w:marLeft w:val="0"/>
          <w:marRight w:val="0"/>
          <w:marTop w:val="0"/>
          <w:marBottom w:val="0"/>
          <w:divBdr>
            <w:top w:val="none" w:sz="0" w:space="0" w:color="auto"/>
            <w:left w:val="none" w:sz="0" w:space="0" w:color="auto"/>
            <w:bottom w:val="none" w:sz="0" w:space="0" w:color="auto"/>
            <w:right w:val="none" w:sz="0" w:space="0" w:color="auto"/>
          </w:divBdr>
          <w:divsChild>
            <w:div w:id="171">
              <w:marLeft w:val="0"/>
              <w:marRight w:val="0"/>
              <w:marTop w:val="0"/>
              <w:marBottom w:val="0"/>
              <w:divBdr>
                <w:top w:val="none" w:sz="0" w:space="0" w:color="auto"/>
                <w:left w:val="none" w:sz="0" w:space="0" w:color="auto"/>
                <w:bottom w:val="none" w:sz="0" w:space="0" w:color="auto"/>
                <w:right w:val="none" w:sz="0" w:space="0" w:color="auto"/>
              </w:divBdr>
              <w:divsChild>
                <w:div w:id="110">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6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166">
                      <w:marLeft w:val="0"/>
                      <w:marRight w:val="0"/>
                      <w:marTop w:val="0"/>
                      <w:marBottom w:val="0"/>
                      <w:divBdr>
                        <w:top w:val="none" w:sz="0" w:space="0" w:color="auto"/>
                        <w:left w:val="none" w:sz="0" w:space="0" w:color="auto"/>
                        <w:bottom w:val="none" w:sz="0" w:space="0" w:color="auto"/>
                        <w:right w:val="none" w:sz="0" w:space="0" w:color="auto"/>
                      </w:divBdr>
                      <w:divsChild>
                        <w:div w:id="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226">
              <w:marLeft w:val="0"/>
              <w:marRight w:val="0"/>
              <w:marTop w:val="0"/>
              <w:marBottom w:val="0"/>
              <w:divBdr>
                <w:top w:val="none" w:sz="0" w:space="0" w:color="auto"/>
                <w:left w:val="none" w:sz="0" w:space="0" w:color="auto"/>
                <w:bottom w:val="none" w:sz="0" w:space="0" w:color="auto"/>
                <w:right w:val="none" w:sz="0" w:space="0" w:color="auto"/>
              </w:divBdr>
              <w:divsChild>
                <w:div w:id="196">
                  <w:marLeft w:val="0"/>
                  <w:marRight w:val="0"/>
                  <w:marTop w:val="0"/>
                  <w:marBottom w:val="0"/>
                  <w:divBdr>
                    <w:top w:val="none" w:sz="0" w:space="0" w:color="auto"/>
                    <w:left w:val="none" w:sz="0" w:space="0" w:color="auto"/>
                    <w:bottom w:val="none" w:sz="0" w:space="0" w:color="auto"/>
                    <w:right w:val="none" w:sz="0" w:space="0" w:color="auto"/>
                  </w:divBdr>
                  <w:divsChild>
                    <w:div w:id="17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
      <w:marLeft w:val="0"/>
      <w:marRight w:val="0"/>
      <w:marTop w:val="0"/>
      <w:marBottom w:val="0"/>
      <w:divBdr>
        <w:top w:val="none" w:sz="0" w:space="0" w:color="auto"/>
        <w:left w:val="none" w:sz="0" w:space="0" w:color="auto"/>
        <w:bottom w:val="none" w:sz="0" w:space="0" w:color="auto"/>
        <w:right w:val="none" w:sz="0" w:space="0" w:color="auto"/>
      </w:divBdr>
      <w:divsChild>
        <w:div w:id="64">
          <w:marLeft w:val="-2000"/>
          <w:marRight w:val="0"/>
          <w:marTop w:val="0"/>
          <w:marBottom w:val="0"/>
          <w:divBdr>
            <w:top w:val="none" w:sz="0" w:space="0" w:color="auto"/>
            <w:left w:val="single" w:sz="48" w:space="0" w:color="C8C8C8"/>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128">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54">
                          <w:marLeft w:val="0"/>
                          <w:marRight w:val="0"/>
                          <w:marTop w:val="0"/>
                          <w:marBottom w:val="0"/>
                          <w:divBdr>
                            <w:top w:val="none" w:sz="0" w:space="0" w:color="auto"/>
                            <w:left w:val="none" w:sz="0" w:space="0" w:color="auto"/>
                            <w:bottom w:val="none" w:sz="0" w:space="0" w:color="auto"/>
                            <w:right w:val="none" w:sz="0" w:space="0" w:color="auto"/>
                          </w:divBdr>
                          <w:divsChild>
                            <w:div w:id="163">
                              <w:marLeft w:val="0"/>
                              <w:marRight w:val="0"/>
                              <w:marTop w:val="0"/>
                              <w:marBottom w:val="0"/>
                              <w:divBdr>
                                <w:top w:val="none" w:sz="0" w:space="0" w:color="auto"/>
                                <w:left w:val="none" w:sz="0" w:space="0" w:color="auto"/>
                                <w:bottom w:val="none" w:sz="0" w:space="0" w:color="auto"/>
                                <w:right w:val="none" w:sz="0" w:space="0" w:color="auto"/>
                              </w:divBdr>
                              <w:divsChild>
                                <w:div w:id="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
      <w:marLeft w:val="0"/>
      <w:marRight w:val="0"/>
      <w:marTop w:val="0"/>
      <w:marBottom w:val="0"/>
      <w:divBdr>
        <w:top w:val="none" w:sz="0" w:space="0" w:color="auto"/>
        <w:left w:val="none" w:sz="0" w:space="0" w:color="auto"/>
        <w:bottom w:val="none" w:sz="0" w:space="0" w:color="auto"/>
        <w:right w:val="none" w:sz="0" w:space="0" w:color="auto"/>
      </w:divBdr>
      <w:divsChild>
        <w:div w:id="193">
          <w:marLeft w:val="0"/>
          <w:marRight w:val="0"/>
          <w:marTop w:val="0"/>
          <w:marBottom w:val="0"/>
          <w:divBdr>
            <w:top w:val="none" w:sz="0" w:space="0" w:color="auto"/>
            <w:left w:val="none" w:sz="0" w:space="0" w:color="auto"/>
            <w:bottom w:val="none" w:sz="0" w:space="0" w:color="auto"/>
            <w:right w:val="none" w:sz="0" w:space="0" w:color="auto"/>
          </w:divBdr>
          <w:divsChild>
            <w:div w:id="18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21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37">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sChild>
            <w:div w:id="116">
              <w:marLeft w:val="0"/>
              <w:marRight w:val="0"/>
              <w:marTop w:val="0"/>
              <w:marBottom w:val="0"/>
              <w:divBdr>
                <w:top w:val="none" w:sz="0" w:space="0" w:color="auto"/>
                <w:left w:val="none" w:sz="0" w:space="0" w:color="auto"/>
                <w:bottom w:val="none" w:sz="0" w:space="0" w:color="auto"/>
                <w:right w:val="none" w:sz="0" w:space="0" w:color="auto"/>
              </w:divBdr>
              <w:divsChild>
                <w:div w:id="108">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15">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sChild>
                                <w:div w:id="103">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188">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 w:id="219">
                                      <w:marLeft w:val="0"/>
                                      <w:marRight w:val="0"/>
                                      <w:marTop w:val="0"/>
                                      <w:marBottom w:val="0"/>
                                      <w:divBdr>
                                        <w:top w:val="none" w:sz="0" w:space="0" w:color="auto"/>
                                        <w:left w:val="none" w:sz="0" w:space="0" w:color="auto"/>
                                        <w:bottom w:val="none" w:sz="0" w:space="0" w:color="auto"/>
                                        <w:right w:val="none" w:sz="0" w:space="0" w:color="auto"/>
                                      </w:divBdr>
                                    </w:div>
                                    <w:div w:id="236">
                                      <w:marLeft w:val="0"/>
                                      <w:marRight w:val="0"/>
                                      <w:marTop w:val="0"/>
                                      <w:marBottom w:val="0"/>
                                      <w:divBdr>
                                        <w:top w:val="none" w:sz="0" w:space="0" w:color="auto"/>
                                        <w:left w:val="none" w:sz="0" w:space="0" w:color="auto"/>
                                        <w:bottom w:val="none" w:sz="0" w:space="0" w:color="auto"/>
                                        <w:right w:val="none" w:sz="0" w:space="0" w:color="auto"/>
                                      </w:divBdr>
                                    </w:div>
                                    <w:div w:id="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229">
                  <w:marLeft w:val="0"/>
                  <w:marRight w:val="0"/>
                  <w:marTop w:val="0"/>
                  <w:marBottom w:val="0"/>
                  <w:divBdr>
                    <w:top w:val="none" w:sz="0" w:space="0" w:color="auto"/>
                    <w:left w:val="none" w:sz="0" w:space="0" w:color="auto"/>
                    <w:bottom w:val="none" w:sz="0" w:space="0" w:color="auto"/>
                    <w:right w:val="none" w:sz="0" w:space="0" w:color="auto"/>
                  </w:divBdr>
                  <w:divsChild>
                    <w:div w:id="114">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
      <w:marLeft w:val="0"/>
      <w:marRight w:val="0"/>
      <w:marTop w:val="0"/>
      <w:marBottom w:val="0"/>
      <w:divBdr>
        <w:top w:val="none" w:sz="0" w:space="0" w:color="auto"/>
        <w:left w:val="none" w:sz="0" w:space="0" w:color="auto"/>
        <w:bottom w:val="none" w:sz="0" w:space="0" w:color="auto"/>
        <w:right w:val="none" w:sz="0" w:space="0" w:color="auto"/>
      </w:divBdr>
    </w:div>
    <w:div w:id="228">
      <w:marLeft w:val="0"/>
      <w:marRight w:val="0"/>
      <w:marTop w:val="0"/>
      <w:marBottom w:val="0"/>
      <w:divBdr>
        <w:top w:val="none" w:sz="0" w:space="0" w:color="auto"/>
        <w:left w:val="none" w:sz="0" w:space="0" w:color="auto"/>
        <w:bottom w:val="none" w:sz="0" w:space="0" w:color="auto"/>
        <w:right w:val="none" w:sz="0" w:space="0" w:color="auto"/>
      </w:divBdr>
    </w:div>
    <w:div w:id="231">
      <w:marLeft w:val="0"/>
      <w:marRight w:val="0"/>
      <w:marTop w:val="0"/>
      <w:marBottom w:val="0"/>
      <w:divBdr>
        <w:top w:val="none" w:sz="0" w:space="0" w:color="auto"/>
        <w:left w:val="none" w:sz="0" w:space="0" w:color="auto"/>
        <w:bottom w:val="none" w:sz="0" w:space="0" w:color="auto"/>
        <w:right w:val="none" w:sz="0" w:space="0" w:color="auto"/>
      </w:divBdr>
      <w:divsChild>
        <w:div w:id="34">
          <w:marLeft w:val="-1500"/>
          <w:marRight w:val="0"/>
          <w:marTop w:val="0"/>
          <w:marBottom w:val="0"/>
          <w:divBdr>
            <w:top w:val="none" w:sz="0" w:space="0" w:color="auto"/>
            <w:left w:val="single" w:sz="48" w:space="0" w:color="C8C8C8"/>
            <w:bottom w:val="none" w:sz="0" w:space="0" w:color="auto"/>
            <w:right w:val="none" w:sz="0" w:space="0" w:color="auto"/>
          </w:divBdr>
          <w:divsChild>
            <w:div w:id="216">
              <w:marLeft w:val="0"/>
              <w:marRight w:val="0"/>
              <w:marTop w:val="0"/>
              <w:marBottom w:val="0"/>
              <w:divBdr>
                <w:top w:val="none" w:sz="0" w:space="0" w:color="auto"/>
                <w:left w:val="none" w:sz="0" w:space="0" w:color="auto"/>
                <w:bottom w:val="none" w:sz="0" w:space="0" w:color="auto"/>
                <w:right w:val="none" w:sz="0" w:space="0" w:color="auto"/>
              </w:divBdr>
              <w:divsChild>
                <w:div w:id="222">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0"/>
                          <w:marBottom w:val="0"/>
                          <w:divBdr>
                            <w:top w:val="none" w:sz="0" w:space="0" w:color="auto"/>
                            <w:left w:val="none" w:sz="0" w:space="0" w:color="auto"/>
                            <w:bottom w:val="none" w:sz="0" w:space="0" w:color="auto"/>
                            <w:right w:val="none" w:sz="0" w:space="0" w:color="auto"/>
                          </w:divBdr>
                          <w:divsChild>
                            <w:div w:id="160">
                              <w:marLeft w:val="0"/>
                              <w:marRight w:val="0"/>
                              <w:marTop w:val="0"/>
                              <w:marBottom w:val="0"/>
                              <w:divBdr>
                                <w:top w:val="none" w:sz="0" w:space="0" w:color="auto"/>
                                <w:left w:val="none" w:sz="0" w:space="0" w:color="auto"/>
                                <w:bottom w:val="none" w:sz="0" w:space="0" w:color="auto"/>
                                <w:right w:val="none" w:sz="0" w:space="0" w:color="auto"/>
                              </w:divBdr>
                              <w:divsChild>
                                <w:div w:id="119">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3">
      <w:marLeft w:val="0"/>
      <w:marRight w:val="0"/>
      <w:marTop w:val="0"/>
      <w:marBottom w:val="0"/>
      <w:divBdr>
        <w:top w:val="none" w:sz="0" w:space="0" w:color="auto"/>
        <w:left w:val="none" w:sz="0" w:space="0" w:color="auto"/>
        <w:bottom w:val="none" w:sz="0" w:space="0" w:color="auto"/>
        <w:right w:val="none" w:sz="0" w:space="0" w:color="auto"/>
      </w:divBdr>
      <w:divsChild>
        <w:div w:id="158">
          <w:marLeft w:val="0"/>
          <w:marRight w:val="0"/>
          <w:marTop w:val="0"/>
          <w:marBottom w:val="0"/>
          <w:divBdr>
            <w:top w:val="none" w:sz="0" w:space="0" w:color="auto"/>
            <w:left w:val="none" w:sz="0" w:space="0" w:color="auto"/>
            <w:bottom w:val="none" w:sz="0" w:space="0" w:color="auto"/>
            <w:right w:val="none" w:sz="0" w:space="0" w:color="auto"/>
          </w:divBdr>
          <w:divsChild>
            <w:div w:id="200">
              <w:marLeft w:val="0"/>
              <w:marRight w:val="0"/>
              <w:marTop w:val="0"/>
              <w:marBottom w:val="0"/>
              <w:divBdr>
                <w:top w:val="none" w:sz="0" w:space="0" w:color="auto"/>
                <w:left w:val="none" w:sz="0" w:space="0" w:color="auto"/>
                <w:bottom w:val="none" w:sz="0" w:space="0" w:color="auto"/>
                <w:right w:val="none" w:sz="0" w:space="0" w:color="auto"/>
              </w:divBdr>
              <w:divsChild>
                <w:div w:id="203">
                  <w:marLeft w:val="0"/>
                  <w:marRight w:val="0"/>
                  <w:marTop w:val="0"/>
                  <w:marBottom w:val="0"/>
                  <w:divBdr>
                    <w:top w:val="none" w:sz="0" w:space="0" w:color="auto"/>
                    <w:left w:val="none" w:sz="0" w:space="0" w:color="auto"/>
                    <w:bottom w:val="none" w:sz="0" w:space="0" w:color="auto"/>
                    <w:right w:val="none" w:sz="0" w:space="0" w:color="auto"/>
                  </w:divBdr>
                  <w:divsChild>
                    <w:div w:id="98">
                      <w:marLeft w:val="0"/>
                      <w:marRight w:val="0"/>
                      <w:marTop w:val="0"/>
                      <w:marBottom w:val="0"/>
                      <w:divBdr>
                        <w:top w:val="none" w:sz="0" w:space="0" w:color="auto"/>
                        <w:left w:val="none" w:sz="0" w:space="0" w:color="auto"/>
                        <w:bottom w:val="none" w:sz="0" w:space="0" w:color="auto"/>
                        <w:right w:val="none" w:sz="0" w:space="0" w:color="auto"/>
                      </w:divBdr>
                      <w:divsChild>
                        <w:div w:id="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1">
      <w:marLeft w:val="0"/>
      <w:marRight w:val="0"/>
      <w:marTop w:val="0"/>
      <w:marBottom w:val="0"/>
      <w:divBdr>
        <w:top w:val="none" w:sz="0" w:space="0" w:color="auto"/>
        <w:left w:val="none" w:sz="0" w:space="0" w:color="auto"/>
        <w:bottom w:val="none" w:sz="0" w:space="0" w:color="auto"/>
        <w:right w:val="none" w:sz="0" w:space="0" w:color="auto"/>
      </w:divBdr>
    </w:div>
    <w:div w:id="244">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133">
              <w:marLeft w:val="0"/>
              <w:marRight w:val="0"/>
              <w:marTop w:val="0"/>
              <w:marBottom w:val="0"/>
              <w:divBdr>
                <w:top w:val="none" w:sz="0" w:space="0" w:color="auto"/>
                <w:left w:val="none" w:sz="0" w:space="0" w:color="auto"/>
                <w:bottom w:val="none" w:sz="0" w:space="0" w:color="auto"/>
                <w:right w:val="none" w:sz="0" w:space="0" w:color="auto"/>
              </w:divBdr>
              <w:divsChild>
                <w:div w:id="135">
                  <w:marLeft w:val="0"/>
                  <w:marRight w:val="0"/>
                  <w:marTop w:val="0"/>
                  <w:marBottom w:val="0"/>
                  <w:divBdr>
                    <w:top w:val="none" w:sz="0" w:space="0" w:color="auto"/>
                    <w:left w:val="none" w:sz="0" w:space="0" w:color="auto"/>
                    <w:bottom w:val="none" w:sz="0" w:space="0" w:color="auto"/>
                    <w:right w:val="none" w:sz="0" w:space="0" w:color="auto"/>
                  </w:divBdr>
                  <w:divsChild>
                    <w:div w:id="82">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11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201">
                                      <w:marLeft w:val="0"/>
                                      <w:marRight w:val="0"/>
                                      <w:marTop w:val="0"/>
                                      <w:marBottom w:val="0"/>
                                      <w:divBdr>
                                        <w:top w:val="none" w:sz="0" w:space="0" w:color="auto"/>
                                        <w:left w:val="none" w:sz="0" w:space="0" w:color="auto"/>
                                        <w:bottom w:val="none" w:sz="0" w:space="0" w:color="auto"/>
                                        <w:right w:val="none" w:sz="0" w:space="0" w:color="auto"/>
                                      </w:divBdr>
                                    </w:div>
                                    <w:div w:id="204">
                                      <w:marLeft w:val="0"/>
                                      <w:marRight w:val="0"/>
                                      <w:marTop w:val="0"/>
                                      <w:marBottom w:val="0"/>
                                      <w:divBdr>
                                        <w:top w:val="none" w:sz="0" w:space="0" w:color="auto"/>
                                        <w:left w:val="none" w:sz="0" w:space="0" w:color="auto"/>
                                        <w:bottom w:val="none" w:sz="0" w:space="0" w:color="auto"/>
                                        <w:right w:val="none" w:sz="0" w:space="0" w:color="auto"/>
                                      </w:divBdr>
                                    </w:div>
                                    <w:div w:id="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5">
      <w:marLeft w:val="0"/>
      <w:marRight w:val="0"/>
      <w:marTop w:val="0"/>
      <w:marBottom w:val="0"/>
      <w:divBdr>
        <w:top w:val="none" w:sz="0" w:space="0" w:color="auto"/>
        <w:left w:val="none" w:sz="0" w:space="0" w:color="auto"/>
        <w:bottom w:val="none" w:sz="0" w:space="0" w:color="auto"/>
        <w:right w:val="none" w:sz="0" w:space="0" w:color="auto"/>
      </w:divBdr>
      <w:divsChild>
        <w:div w:id="165">
          <w:marLeft w:val="-2000"/>
          <w:marRight w:val="0"/>
          <w:marTop w:val="0"/>
          <w:marBottom w:val="0"/>
          <w:divBdr>
            <w:top w:val="none" w:sz="0" w:space="0" w:color="auto"/>
            <w:left w:val="single" w:sz="48" w:space="0" w:color="C8C8C8"/>
            <w:bottom w:val="none" w:sz="0" w:space="0" w:color="auto"/>
            <w:right w:val="none" w:sz="0" w:space="0" w:color="auto"/>
          </w:divBdr>
          <w:divsChild>
            <w:div w:id="1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238">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235">
                              <w:marLeft w:val="0"/>
                              <w:marRight w:val="0"/>
                              <w:marTop w:val="0"/>
                              <w:marBottom w:val="0"/>
                              <w:divBdr>
                                <w:top w:val="none" w:sz="0" w:space="0" w:color="auto"/>
                                <w:left w:val="none" w:sz="0" w:space="0" w:color="auto"/>
                                <w:bottom w:val="none" w:sz="0" w:space="0" w:color="auto"/>
                                <w:right w:val="none" w:sz="0" w:space="0" w:color="auto"/>
                              </w:divBdr>
                              <w:divsChild>
                                <w:div w:id="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5769523">
      <w:bodyDiv w:val="1"/>
      <w:marLeft w:val="0"/>
      <w:marRight w:val="0"/>
      <w:marTop w:val="0"/>
      <w:marBottom w:val="0"/>
      <w:divBdr>
        <w:top w:val="none" w:sz="0" w:space="0" w:color="auto"/>
        <w:left w:val="none" w:sz="0" w:space="0" w:color="auto"/>
        <w:bottom w:val="none" w:sz="0" w:space="0" w:color="auto"/>
        <w:right w:val="none" w:sz="0" w:space="0" w:color="auto"/>
      </w:divBdr>
    </w:div>
    <w:div w:id="624652976">
      <w:bodyDiv w:val="1"/>
      <w:marLeft w:val="0"/>
      <w:marRight w:val="0"/>
      <w:marTop w:val="0"/>
      <w:marBottom w:val="0"/>
      <w:divBdr>
        <w:top w:val="none" w:sz="0" w:space="0" w:color="auto"/>
        <w:left w:val="none" w:sz="0" w:space="0" w:color="auto"/>
        <w:bottom w:val="none" w:sz="0" w:space="0" w:color="auto"/>
        <w:right w:val="none" w:sz="0" w:space="0" w:color="auto"/>
      </w:divBdr>
    </w:div>
    <w:div w:id="1678919864">
      <w:bodyDiv w:val="1"/>
      <w:marLeft w:val="0"/>
      <w:marRight w:val="0"/>
      <w:marTop w:val="0"/>
      <w:marBottom w:val="0"/>
      <w:divBdr>
        <w:top w:val="none" w:sz="0" w:space="0" w:color="auto"/>
        <w:left w:val="none" w:sz="0" w:space="0" w:color="auto"/>
        <w:bottom w:val="none" w:sz="0" w:space="0" w:color="auto"/>
        <w:right w:val="none" w:sz="0" w:space="0" w:color="auto"/>
      </w:divBdr>
    </w:div>
    <w:div w:id="1860578971">
      <w:bodyDiv w:val="1"/>
      <w:marLeft w:val="0"/>
      <w:marRight w:val="0"/>
      <w:marTop w:val="0"/>
      <w:marBottom w:val="0"/>
      <w:divBdr>
        <w:top w:val="none" w:sz="0" w:space="0" w:color="auto"/>
        <w:left w:val="none" w:sz="0" w:space="0" w:color="auto"/>
        <w:bottom w:val="none" w:sz="0" w:space="0" w:color="auto"/>
        <w:right w:val="none" w:sz="0" w:space="0" w:color="auto"/>
      </w:divBdr>
    </w:div>
    <w:div w:id="201028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a.ishares.com/home.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2930</Words>
  <Characters>15617</Characters>
  <Application>Microsoft Office Word</Application>
  <DocSecurity>4</DocSecurity>
  <Lines>130</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Solutions to Chapter 1</vt:lpstr>
      <vt:lpstr>Solutions to Chapter 1</vt:lpstr>
    </vt:vector>
  </TitlesOfParts>
  <Company>University of New Brunswick, Fredericton Campus</Company>
  <LinksUpToDate>false</LinksUpToDate>
  <CharactersWithSpaces>18510</CharactersWithSpaces>
  <SharedDoc>false</SharedDoc>
  <HLinks>
    <vt:vector size="18" baseType="variant">
      <vt:variant>
        <vt:i4>7602296</vt:i4>
      </vt:variant>
      <vt:variant>
        <vt:i4>6</vt:i4>
      </vt:variant>
      <vt:variant>
        <vt:i4>0</vt:i4>
      </vt:variant>
      <vt:variant>
        <vt:i4>5</vt:i4>
      </vt:variant>
      <vt:variant>
        <vt:lpwstr>http://www2.morningstar.ca/tools/screener/ca/FundFinder.aspx?culture=en-US</vt:lpwstr>
      </vt:variant>
      <vt:variant>
        <vt:lpwstr/>
      </vt:variant>
      <vt:variant>
        <vt:i4>7602296</vt:i4>
      </vt:variant>
      <vt:variant>
        <vt:i4>3</vt:i4>
      </vt:variant>
      <vt:variant>
        <vt:i4>0</vt:i4>
      </vt:variant>
      <vt:variant>
        <vt:i4>5</vt:i4>
      </vt:variant>
      <vt:variant>
        <vt:lpwstr>http://www2.morningstar.ca/tools/screener/ca/FundFinder.aspx?culture=en-US</vt:lpwstr>
      </vt:variant>
      <vt:variant>
        <vt:lpwstr/>
      </vt:variant>
      <vt:variant>
        <vt:i4>7340089</vt:i4>
      </vt:variant>
      <vt:variant>
        <vt:i4>0</vt:i4>
      </vt:variant>
      <vt:variant>
        <vt:i4>0</vt:i4>
      </vt:variant>
      <vt:variant>
        <vt:i4>5</vt:i4>
      </vt:variant>
      <vt:variant>
        <vt:lpwstr>http://ca.ishares.com/home.htm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to Chapter 1</dc:title>
  <dc:creator>Elizabeth Maynes</dc:creator>
  <cp:lastModifiedBy>Escobar, Krisha</cp:lastModifiedBy>
  <cp:revision>2</cp:revision>
  <cp:lastPrinted>2014-11-03T22:56:00Z</cp:lastPrinted>
  <dcterms:created xsi:type="dcterms:W3CDTF">2020-01-17T20:33:00Z</dcterms:created>
  <dcterms:modified xsi:type="dcterms:W3CDTF">2020-01-17T20:33:00Z</dcterms:modified>
</cp:coreProperties>
</file>