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8CE" w:rsidRPr="00836392" w:rsidRDefault="003738CE" w:rsidP="003738CE">
      <w:pPr>
        <w:pStyle w:val="bchrdnm"/>
        <w:pBdr>
          <w:top w:val="none" w:sz="0" w:space="0" w:color="auto"/>
        </w:pBdr>
        <w:spacing w:before="0" w:after="0" w:line="480" w:lineRule="auto"/>
        <w:jc w:val="both"/>
        <w:rPr>
          <w:rFonts w:ascii="Times New Roman" w:hAnsi="Times New Roman"/>
          <w:b/>
          <w:color w:val="auto"/>
        </w:rPr>
      </w:pPr>
      <w:bookmarkStart w:id="0" w:name="_GoBack"/>
      <w:bookmarkEnd w:id="0"/>
      <w:r w:rsidRPr="00836392">
        <w:rPr>
          <w:rFonts w:ascii="Times New Roman" w:hAnsi="Times New Roman"/>
          <w:b/>
          <w:color w:val="auto"/>
        </w:rPr>
        <w:t>Case 2-7</w:t>
      </w:r>
    </w:p>
    <w:p w:rsidR="003738CE" w:rsidRPr="00836392" w:rsidRDefault="003738CE" w:rsidP="003738CE">
      <w:pPr>
        <w:pStyle w:val="bchrdtt"/>
        <w:suppressAutoHyphens w:val="0"/>
        <w:spacing w:after="0" w:line="480" w:lineRule="auto"/>
        <w:jc w:val="both"/>
        <w:rPr>
          <w:rFonts w:ascii="Times New Roman" w:hAnsi="Times New Roman"/>
          <w:color w:val="auto"/>
        </w:rPr>
      </w:pPr>
      <w:r w:rsidRPr="00836392">
        <w:rPr>
          <w:rFonts w:ascii="Times New Roman" w:hAnsi="Times New Roman"/>
          <w:color w:val="auto"/>
        </w:rPr>
        <w:t>Milton Manufacturing Company</w:t>
      </w:r>
    </w:p>
    <w:p w:rsidR="003738CE" w:rsidRPr="00836392" w:rsidRDefault="003738CE" w:rsidP="003738CE">
      <w:pPr>
        <w:pStyle w:val="bchrdtxfirst"/>
        <w:spacing w:line="480" w:lineRule="auto"/>
        <w:rPr>
          <w:rFonts w:ascii="Times New Roman" w:hAnsi="Times New Roman"/>
          <w:color w:val="auto"/>
          <w:sz w:val="20"/>
        </w:rPr>
      </w:pPr>
      <w:r w:rsidRPr="00836392">
        <w:rPr>
          <w:rFonts w:ascii="Times New Roman" w:hAnsi="Times New Roman"/>
          <w:color w:val="auto"/>
          <w:sz w:val="20"/>
        </w:rPr>
        <w:t xml:space="preserve">Milton Manufacturing Company produces a variety of textiles for distribution to wholesale manufacturers of clothing products. The company’s primary operations are located in Long Island City, New York, with branch factories and warehouses in several surrounding cities. Milton Manufacturing is a closely held company. Irv Milton is the president of the company. He started the business in </w:t>
      </w:r>
      <w:r>
        <w:rPr>
          <w:rFonts w:ascii="Times New Roman" w:hAnsi="Times New Roman"/>
          <w:color w:val="auto"/>
          <w:sz w:val="20"/>
        </w:rPr>
        <w:t>2002</w:t>
      </w:r>
      <w:r w:rsidRPr="00836392">
        <w:rPr>
          <w:rFonts w:ascii="Times New Roman" w:hAnsi="Times New Roman"/>
          <w:color w:val="auto"/>
          <w:sz w:val="20"/>
        </w:rPr>
        <w:t xml:space="preserve"> and it grew in revenue from $500,000 to $5.0 million in 10 years. However, the revenues declined to $4.5 million in 20</w:t>
      </w:r>
      <w:r>
        <w:rPr>
          <w:rFonts w:ascii="Times New Roman" w:hAnsi="Times New Roman"/>
          <w:color w:val="auto"/>
          <w:sz w:val="20"/>
        </w:rPr>
        <w:t>12</w:t>
      </w:r>
      <w:r w:rsidRPr="00836392">
        <w:rPr>
          <w:rFonts w:ascii="Times New Roman" w:hAnsi="Times New Roman"/>
          <w:color w:val="auto"/>
          <w:sz w:val="20"/>
        </w:rPr>
        <w:t>. Net cash flows from all activities also were declining. The company was concerned because it planned to borrow $20 million from the credit markets in the fourth quarter of 201</w:t>
      </w:r>
      <w:r>
        <w:rPr>
          <w:rFonts w:ascii="Times New Roman" w:hAnsi="Times New Roman"/>
          <w:color w:val="auto"/>
          <w:sz w:val="20"/>
        </w:rPr>
        <w:t>3</w:t>
      </w:r>
      <w:r w:rsidRPr="00836392">
        <w:rPr>
          <w:rFonts w:ascii="Times New Roman" w:hAnsi="Times New Roman"/>
          <w:color w:val="auto"/>
          <w:sz w:val="20"/>
        </w:rPr>
        <w:t>.</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Irv Milton met with Ann Plotkin, the chief accounting officer (CAO), on January 15, 201</w:t>
      </w:r>
      <w:r>
        <w:rPr>
          <w:rFonts w:ascii="Times New Roman" w:hAnsi="Times New Roman"/>
          <w:color w:val="auto"/>
          <w:sz w:val="20"/>
        </w:rPr>
        <w:t>3</w:t>
      </w:r>
      <w:r w:rsidRPr="00836392">
        <w:rPr>
          <w:rFonts w:ascii="Times New Roman" w:hAnsi="Times New Roman"/>
          <w:color w:val="auto"/>
          <w:sz w:val="20"/>
        </w:rPr>
        <w:t>, to discuss a proposal by Plotkin to control cash outflows. She was not overly concerned about the recent decline in net cash flows from operating activities because these amounts were expected to increase in 201</w:t>
      </w:r>
      <w:r>
        <w:rPr>
          <w:rFonts w:ascii="Times New Roman" w:hAnsi="Times New Roman"/>
          <w:color w:val="auto"/>
          <w:sz w:val="20"/>
        </w:rPr>
        <w:t>3</w:t>
      </w:r>
      <w:r w:rsidRPr="00836392">
        <w:rPr>
          <w:rFonts w:ascii="Times New Roman" w:hAnsi="Times New Roman"/>
          <w:color w:val="auto"/>
          <w:sz w:val="20"/>
        </w:rPr>
        <w:t>, as a result of projected higher levels of revenue and cash collections.</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Plotkin knew that if overall capital expenditures continued to increase at the rate of 26 percent per year, Milton Manufacturing probably would not be able to borrow the $20 million. Therefore, she suggested establishing a new policy to be instituted on a temporary basis. Each plant’s capital expenditures for 201</w:t>
      </w:r>
      <w:r>
        <w:rPr>
          <w:rFonts w:ascii="Times New Roman" w:hAnsi="Times New Roman"/>
          <w:color w:val="auto"/>
          <w:sz w:val="20"/>
        </w:rPr>
        <w:t>3</w:t>
      </w:r>
      <w:r w:rsidRPr="00836392">
        <w:rPr>
          <w:rFonts w:ascii="Times New Roman" w:hAnsi="Times New Roman"/>
          <w:color w:val="auto"/>
          <w:sz w:val="20"/>
        </w:rPr>
        <w:t xml:space="preserve"> would be limited to the level of capital expenditures in 20</w:t>
      </w:r>
      <w:r>
        <w:rPr>
          <w:rFonts w:ascii="Times New Roman" w:hAnsi="Times New Roman"/>
          <w:color w:val="auto"/>
          <w:sz w:val="20"/>
        </w:rPr>
        <w:t>11</w:t>
      </w:r>
      <w:r w:rsidRPr="00836392">
        <w:rPr>
          <w:rFonts w:ascii="Times New Roman" w:hAnsi="Times New Roman"/>
          <w:color w:val="auto"/>
          <w:sz w:val="20"/>
        </w:rPr>
        <w:t>. Irv Milton pointedly asked Plotkin about the possible negative effects of such a policy, but in the end Milton was convinced it was necessary to initiate the policy immediately to stem the tide of increases in capital expenditures. A summary of cash flows appears in Exhibit 1.</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Sammie Markowicz is the plant manager at the headquarters location in Long Island City. He was informed of the new capital expenditure policy by Ira Sugofsky, the vice president for operations. Markowicz told Sugofsky that the new policy could negatively affect plant operations because certain machinery and equipment, essential to the production process, had been breaking down more frequently during the past two years. The problem was primarily with the motors. New and better models with more efficient motors had been developed by an overseas supplier. These were expected to be available by April 20</w:t>
      </w:r>
      <w:r>
        <w:rPr>
          <w:rFonts w:ascii="Times New Roman" w:hAnsi="Times New Roman"/>
          <w:color w:val="auto"/>
          <w:sz w:val="20"/>
        </w:rPr>
        <w:t>13</w:t>
      </w:r>
      <w:r w:rsidRPr="00836392">
        <w:rPr>
          <w:rFonts w:ascii="Times New Roman" w:hAnsi="Times New Roman"/>
          <w:color w:val="auto"/>
          <w:sz w:val="20"/>
        </w:rPr>
        <w:t xml:space="preserve">. Markowicz planned to order 1,000 of these new motors for the Long Island City operation, and he </w:t>
      </w:r>
      <w:r w:rsidRPr="00836392">
        <w:rPr>
          <w:rFonts w:ascii="Times New Roman" w:hAnsi="Times New Roman"/>
          <w:color w:val="auto"/>
          <w:sz w:val="20"/>
        </w:rPr>
        <w:lastRenderedPageBreak/>
        <w:t>expected that other plant managers would do the same. Sugofsky told Markowicz to delay the acquisition of new motors for one year after which time the restrictive capital expenditure policy would be lifted. Markowicz reluctantly agreed.</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Milton Manufacturing operated profitably during the first six months of 20</w:t>
      </w:r>
      <w:r>
        <w:rPr>
          <w:rFonts w:ascii="Times New Roman" w:hAnsi="Times New Roman"/>
          <w:color w:val="auto"/>
          <w:sz w:val="20"/>
        </w:rPr>
        <w:t>13</w:t>
      </w:r>
      <w:r w:rsidRPr="00836392">
        <w:rPr>
          <w:rFonts w:ascii="Times New Roman" w:hAnsi="Times New Roman"/>
          <w:color w:val="auto"/>
          <w:sz w:val="20"/>
        </w:rPr>
        <w:t>. Net cash inflows from investing activities exceeded outflows by $250,000 during this time period. It was the first time in three years there was a positive cash flow from investing activities. Production operations accelerated during the third quarter as a result of increased demand for Milton’s textiles. An aggressive advertising campaign initiated in late 20</w:t>
      </w:r>
      <w:r>
        <w:rPr>
          <w:rFonts w:ascii="Times New Roman" w:hAnsi="Times New Roman"/>
          <w:color w:val="auto"/>
          <w:sz w:val="20"/>
        </w:rPr>
        <w:t>12</w:t>
      </w:r>
      <w:r w:rsidRPr="00836392">
        <w:rPr>
          <w:rFonts w:ascii="Times New Roman" w:hAnsi="Times New Roman"/>
          <w:color w:val="auto"/>
          <w:sz w:val="20"/>
        </w:rPr>
        <w:t xml:space="preserve"> seemed to bear fruit for the company. Unfortunately, the increased level of production put pressure on the machines and the degree of breakdown was increasing. A big problem was that the motors wore out prematurely.</w:t>
      </w:r>
    </w:p>
    <w:tbl>
      <w:tblPr>
        <w:tblW w:w="0" w:type="auto"/>
        <w:tblInd w:w="8" w:type="dxa"/>
        <w:tblLayout w:type="fixed"/>
        <w:tblLook w:val="0000" w:firstRow="0" w:lastRow="0" w:firstColumn="0" w:lastColumn="0" w:noHBand="0" w:noVBand="0"/>
      </w:tblPr>
      <w:tblGrid>
        <w:gridCol w:w="5206"/>
        <w:gridCol w:w="1879"/>
        <w:gridCol w:w="2015"/>
      </w:tblGrid>
      <w:tr w:rsidR="003738CE" w:rsidRPr="00836392" w:rsidTr="007169EA">
        <w:trPr>
          <w:trHeight w:val="60"/>
        </w:trPr>
        <w:tc>
          <w:tcPr>
            <w:tcW w:w="9100" w:type="dxa"/>
            <w:gridSpan w:val="3"/>
            <w:tcMar>
              <w:top w:w="0" w:type="dxa"/>
              <w:left w:w="108" w:type="dxa"/>
              <w:bottom w:w="0" w:type="dxa"/>
              <w:right w:w="108" w:type="dxa"/>
            </w:tcMar>
          </w:tcPr>
          <w:p w:rsidR="003738CE" w:rsidRPr="00836392" w:rsidRDefault="003738CE" w:rsidP="007169EA">
            <w:pPr>
              <w:pStyle w:val="bchrdfstt"/>
              <w:suppressAutoHyphens w:val="0"/>
              <w:spacing w:before="0" w:line="480" w:lineRule="auto"/>
              <w:jc w:val="both"/>
              <w:rPr>
                <w:rFonts w:ascii="Times New Roman" w:hAnsi="Times New Roman"/>
                <w:b/>
                <w:color w:val="auto"/>
                <w:sz w:val="20"/>
              </w:rPr>
            </w:pPr>
            <w:r w:rsidRPr="00836392">
              <w:rPr>
                <w:rFonts w:ascii="Times New Roman" w:hAnsi="Times New Roman"/>
                <w:b/>
                <w:color w:val="auto"/>
                <w:sz w:val="20"/>
              </w:rPr>
              <w:t>Exhibit 1</w:t>
            </w:r>
          </w:p>
          <w:p w:rsidR="003738CE" w:rsidRPr="00836392" w:rsidRDefault="003738CE" w:rsidP="007169EA">
            <w:pPr>
              <w:pStyle w:val="bchrdfstt"/>
              <w:suppressAutoHyphens w:val="0"/>
              <w:spacing w:before="0" w:line="480" w:lineRule="auto"/>
              <w:jc w:val="both"/>
              <w:rPr>
                <w:rFonts w:ascii="Times New Roman" w:hAnsi="Times New Roman"/>
                <w:b/>
                <w:color w:val="auto"/>
                <w:sz w:val="20"/>
              </w:rPr>
            </w:pPr>
            <w:r w:rsidRPr="00836392">
              <w:rPr>
                <w:rFonts w:ascii="Times New Roman" w:hAnsi="Times New Roman"/>
                <w:b/>
                <w:color w:val="auto"/>
                <w:sz w:val="20"/>
              </w:rPr>
              <w:t>Milton Manufacturing Company</w:t>
            </w:r>
          </w:p>
          <w:p w:rsidR="003738CE" w:rsidRPr="00836392" w:rsidRDefault="003738CE" w:rsidP="007169EA">
            <w:pPr>
              <w:pStyle w:val="bchrdfsst"/>
              <w:suppressAutoHyphens w:val="0"/>
              <w:spacing w:before="0" w:after="0" w:line="480" w:lineRule="auto"/>
              <w:jc w:val="both"/>
              <w:rPr>
                <w:rFonts w:ascii="Times New Roman" w:hAnsi="Times New Roman"/>
                <w:b/>
                <w:color w:val="auto"/>
                <w:sz w:val="20"/>
              </w:rPr>
            </w:pPr>
            <w:r w:rsidRPr="00836392">
              <w:rPr>
                <w:rFonts w:ascii="Times New Roman" w:hAnsi="Times New Roman"/>
                <w:b/>
                <w:color w:val="auto"/>
                <w:sz w:val="20"/>
              </w:rPr>
              <w:t>Summary of Cash Flows</w:t>
            </w:r>
          </w:p>
          <w:p w:rsidR="003738CE" w:rsidRPr="00836392" w:rsidRDefault="003738CE" w:rsidP="007169EA">
            <w:pPr>
              <w:pStyle w:val="bchrdfsst"/>
              <w:suppressAutoHyphens w:val="0"/>
              <w:spacing w:before="0" w:after="0" w:line="480" w:lineRule="auto"/>
              <w:jc w:val="both"/>
              <w:rPr>
                <w:rFonts w:ascii="Times New Roman" w:hAnsi="Times New Roman"/>
                <w:b/>
                <w:color w:val="auto"/>
                <w:sz w:val="20"/>
              </w:rPr>
            </w:pPr>
            <w:r w:rsidRPr="00836392">
              <w:rPr>
                <w:rFonts w:ascii="Times New Roman" w:hAnsi="Times New Roman"/>
                <w:b/>
                <w:color w:val="auto"/>
                <w:sz w:val="20"/>
              </w:rPr>
              <w:t>For the Years Ended December 31, 20</w:t>
            </w:r>
            <w:r>
              <w:rPr>
                <w:rFonts w:ascii="Times New Roman" w:hAnsi="Times New Roman"/>
                <w:b/>
                <w:color w:val="auto"/>
                <w:sz w:val="20"/>
              </w:rPr>
              <w:t>12</w:t>
            </w:r>
            <w:r w:rsidRPr="00836392">
              <w:rPr>
                <w:rFonts w:ascii="Times New Roman" w:hAnsi="Times New Roman"/>
                <w:b/>
                <w:color w:val="auto"/>
                <w:sz w:val="20"/>
              </w:rPr>
              <w:t xml:space="preserve"> and 200</w:t>
            </w:r>
            <w:r>
              <w:rPr>
                <w:rFonts w:ascii="Times New Roman" w:hAnsi="Times New Roman"/>
                <w:b/>
                <w:color w:val="auto"/>
                <w:sz w:val="20"/>
              </w:rPr>
              <w:t>11</w:t>
            </w:r>
            <w:r w:rsidRPr="00836392">
              <w:rPr>
                <w:rFonts w:ascii="Times New Roman" w:hAnsi="Times New Roman"/>
                <w:b/>
                <w:color w:val="auto"/>
                <w:sz w:val="20"/>
              </w:rPr>
              <w:t xml:space="preserve"> (000 omitted)</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NoParagraphStyle"/>
              <w:spacing w:line="480" w:lineRule="auto"/>
              <w:jc w:val="both"/>
              <w:textAlignment w:val="auto"/>
              <w:rPr>
                <w:rFonts w:ascii="Times New Roman" w:hAnsi="Times New Roman"/>
                <w:color w:val="auto"/>
                <w:sz w:val="20"/>
                <w:lang w:val="en-US"/>
              </w:rPr>
            </w:pPr>
          </w:p>
        </w:tc>
        <w:tc>
          <w:tcPr>
            <w:tcW w:w="1879" w:type="dxa"/>
            <w:tcMar>
              <w:top w:w="0" w:type="dxa"/>
              <w:left w:w="108" w:type="dxa"/>
              <w:bottom w:w="0" w:type="dxa"/>
              <w:right w:w="108" w:type="dxa"/>
            </w:tcMar>
          </w:tcPr>
          <w:p w:rsidR="003738CE" w:rsidRPr="00836392" w:rsidRDefault="003738CE" w:rsidP="007169EA">
            <w:pPr>
              <w:pStyle w:val="bchrdtbcn"/>
              <w:suppressAutoHyphens w:val="0"/>
              <w:spacing w:line="480" w:lineRule="auto"/>
              <w:jc w:val="both"/>
              <w:rPr>
                <w:rFonts w:ascii="Times New Roman" w:hAnsi="Times New Roman"/>
                <w:b/>
                <w:color w:val="auto"/>
                <w:sz w:val="20"/>
              </w:rPr>
            </w:pPr>
            <w:r w:rsidRPr="00836392">
              <w:rPr>
                <w:rFonts w:ascii="Times New Roman" w:hAnsi="Times New Roman" w:cs="StoneSans-Bold"/>
                <w:b/>
                <w:bCs/>
                <w:color w:val="auto"/>
                <w:sz w:val="20"/>
                <w:szCs w:val="16"/>
              </w:rPr>
              <w:t>December 31, 20</w:t>
            </w:r>
            <w:r>
              <w:rPr>
                <w:rFonts w:ascii="Times New Roman" w:hAnsi="Times New Roman" w:cs="StoneSans-Bold"/>
                <w:b/>
                <w:bCs/>
                <w:color w:val="auto"/>
                <w:sz w:val="20"/>
                <w:szCs w:val="16"/>
              </w:rPr>
              <w:t>12</w:t>
            </w:r>
          </w:p>
        </w:tc>
        <w:tc>
          <w:tcPr>
            <w:tcW w:w="2015" w:type="dxa"/>
            <w:tcMar>
              <w:top w:w="0" w:type="dxa"/>
              <w:left w:w="108" w:type="dxa"/>
              <w:bottom w:w="0" w:type="dxa"/>
              <w:right w:w="108" w:type="dxa"/>
            </w:tcMar>
          </w:tcPr>
          <w:p w:rsidR="003738CE" w:rsidRPr="00836392" w:rsidRDefault="003738CE" w:rsidP="007169EA">
            <w:pPr>
              <w:pStyle w:val="bchrdtbcn"/>
              <w:suppressAutoHyphens w:val="0"/>
              <w:spacing w:line="480" w:lineRule="auto"/>
              <w:ind w:left="180"/>
              <w:jc w:val="both"/>
              <w:rPr>
                <w:rFonts w:ascii="Times New Roman" w:hAnsi="Times New Roman"/>
                <w:b/>
                <w:color w:val="auto"/>
                <w:sz w:val="20"/>
              </w:rPr>
            </w:pPr>
            <w:r w:rsidRPr="00836392">
              <w:rPr>
                <w:rFonts w:ascii="Times New Roman" w:hAnsi="Times New Roman" w:cs="StoneSans-Bold"/>
                <w:b/>
                <w:bCs/>
                <w:color w:val="auto"/>
                <w:sz w:val="20"/>
                <w:szCs w:val="16"/>
              </w:rPr>
              <w:t>December 31, 20</w:t>
            </w:r>
            <w:r>
              <w:rPr>
                <w:rFonts w:ascii="Times New Roman" w:hAnsi="Times New Roman" w:cs="StoneSans-Bold"/>
                <w:b/>
                <w:bCs/>
                <w:color w:val="auto"/>
                <w:sz w:val="20"/>
                <w:szCs w:val="16"/>
              </w:rPr>
              <w:t>11</w:t>
            </w:r>
          </w:p>
        </w:tc>
      </w:tr>
      <w:tr w:rsidR="003738CE" w:rsidRPr="00836392" w:rsidTr="007169EA">
        <w:trPr>
          <w:trHeight w:val="60"/>
        </w:trPr>
        <w:tc>
          <w:tcPr>
            <w:tcW w:w="9100" w:type="dxa"/>
            <w:gridSpan w:val="3"/>
            <w:tcMar>
              <w:top w:w="0" w:type="dxa"/>
              <w:left w:w="108" w:type="dxa"/>
              <w:bottom w:w="0" w:type="dxa"/>
              <w:right w:w="108" w:type="dxa"/>
            </w:tcMar>
          </w:tcPr>
          <w:p w:rsidR="003738CE" w:rsidRPr="00836392" w:rsidRDefault="003738CE" w:rsidP="007169EA">
            <w:pPr>
              <w:pStyle w:val="bchrdfsst"/>
              <w:suppressAutoHyphens w:val="0"/>
              <w:spacing w:before="0" w:after="0" w:line="480" w:lineRule="auto"/>
              <w:jc w:val="both"/>
              <w:rPr>
                <w:rFonts w:ascii="Times New Roman" w:hAnsi="Times New Roman"/>
                <w:b/>
                <w:color w:val="auto"/>
                <w:sz w:val="20"/>
              </w:rPr>
            </w:pPr>
            <w:r w:rsidRPr="00836392">
              <w:rPr>
                <w:rFonts w:ascii="Times New Roman" w:hAnsi="Times New Roman" w:cs="StoneSans-Bold"/>
                <w:b/>
                <w:bCs/>
                <w:color w:val="auto"/>
                <w:sz w:val="20"/>
              </w:rPr>
              <w:t>Cash Flows from Operating Activities</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tbtx"/>
              <w:suppressAutoHyphens w:val="0"/>
              <w:spacing w:after="0" w:line="480" w:lineRule="auto"/>
              <w:jc w:val="both"/>
              <w:rPr>
                <w:color w:val="auto"/>
                <w:sz w:val="20"/>
              </w:rPr>
            </w:pPr>
            <w:r w:rsidRPr="00836392">
              <w:rPr>
                <w:rFonts w:ascii="Times New Roman" w:hAnsi="Times New Roman"/>
                <w:color w:val="auto"/>
                <w:sz w:val="20"/>
              </w:rPr>
              <w:t>Net income</w:t>
            </w:r>
          </w:p>
        </w:tc>
        <w:tc>
          <w:tcPr>
            <w:tcW w:w="1879"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520"/>
              <w:jc w:val="both"/>
              <w:rPr>
                <w:color w:val="auto"/>
                <w:sz w:val="20"/>
              </w:rPr>
            </w:pPr>
            <w:r w:rsidRPr="00836392">
              <w:rPr>
                <w:rFonts w:ascii="Times New Roman" w:hAnsi="Times New Roman"/>
                <w:color w:val="auto"/>
                <w:sz w:val="20"/>
              </w:rPr>
              <w:t>$     372</w:t>
            </w:r>
          </w:p>
        </w:tc>
        <w:tc>
          <w:tcPr>
            <w:tcW w:w="2015"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540"/>
              <w:jc w:val="both"/>
              <w:rPr>
                <w:rFonts w:ascii="Times New Roman" w:hAnsi="Times New Roman"/>
                <w:color w:val="auto"/>
                <w:sz w:val="20"/>
              </w:rPr>
            </w:pPr>
            <w:r w:rsidRPr="00836392">
              <w:rPr>
                <w:rFonts w:ascii="Times New Roman" w:hAnsi="Times New Roman"/>
                <w:color w:val="auto"/>
                <w:sz w:val="20"/>
              </w:rPr>
              <w:t>$</w:t>
            </w:r>
            <w:r w:rsidRPr="00836392">
              <w:rPr>
                <w:rFonts w:ascii="MS Mincho" w:eastAsia="MS Mincho" w:hAnsi="MS Mincho" w:cs="MS Mincho"/>
                <w:color w:val="auto"/>
                <w:sz w:val="20"/>
              </w:rPr>
              <w:t> </w:t>
            </w:r>
            <w:r w:rsidRPr="00836392">
              <w:rPr>
                <w:rFonts w:ascii="Times New Roman" w:hAnsi="Times New Roman"/>
                <w:color w:val="auto"/>
                <w:sz w:val="20"/>
              </w:rPr>
              <w:t xml:space="preserve">     542</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tbtx"/>
              <w:suppressAutoHyphens w:val="0"/>
              <w:spacing w:after="0" w:line="480" w:lineRule="auto"/>
              <w:jc w:val="both"/>
              <w:rPr>
                <w:color w:val="auto"/>
                <w:sz w:val="20"/>
              </w:rPr>
            </w:pPr>
            <w:r w:rsidRPr="00836392">
              <w:rPr>
                <w:rFonts w:ascii="Times New Roman" w:hAnsi="Times New Roman"/>
                <w:color w:val="auto"/>
                <w:sz w:val="20"/>
              </w:rPr>
              <w:t>Adjustments to reconcile net income to net cash provided by operating activities</w:t>
            </w:r>
          </w:p>
        </w:tc>
        <w:tc>
          <w:tcPr>
            <w:tcW w:w="1879" w:type="dxa"/>
            <w:tcMar>
              <w:top w:w="0" w:type="dxa"/>
              <w:left w:w="108" w:type="dxa"/>
              <w:bottom w:w="0" w:type="dxa"/>
              <w:right w:w="108" w:type="dxa"/>
            </w:tcMar>
            <w:vAlign w:val="bottom"/>
          </w:tcPr>
          <w:p w:rsidR="003738CE" w:rsidRPr="00836392" w:rsidRDefault="003738CE" w:rsidP="007169EA">
            <w:pPr>
              <w:pStyle w:val="bchtbtx"/>
              <w:suppressAutoHyphens w:val="0"/>
              <w:spacing w:after="0" w:line="480" w:lineRule="auto"/>
              <w:ind w:right="520"/>
              <w:jc w:val="both"/>
              <w:rPr>
                <w:color w:val="auto"/>
                <w:sz w:val="20"/>
              </w:rPr>
            </w:pPr>
            <w:r>
              <w:rPr>
                <w:rStyle w:val="UL"/>
                <w:rFonts w:ascii="Times New Roman" w:hAnsi="Times New Roman"/>
                <w:color w:val="auto"/>
                <w:sz w:val="20"/>
              </w:rPr>
              <w:t xml:space="preserve">    </w:t>
            </w:r>
            <w:r w:rsidRPr="00836392">
              <w:rPr>
                <w:rStyle w:val="UL"/>
                <w:rFonts w:ascii="Times New Roman" w:hAnsi="Times New Roman"/>
                <w:color w:val="auto"/>
                <w:sz w:val="20"/>
              </w:rPr>
              <w:t>1,350</w:t>
            </w:r>
          </w:p>
        </w:tc>
        <w:tc>
          <w:tcPr>
            <w:tcW w:w="2015" w:type="dxa"/>
            <w:tcMar>
              <w:top w:w="0" w:type="dxa"/>
              <w:left w:w="108" w:type="dxa"/>
              <w:bottom w:w="0" w:type="dxa"/>
              <w:right w:w="108" w:type="dxa"/>
            </w:tcMar>
            <w:vAlign w:val="bottom"/>
          </w:tcPr>
          <w:p w:rsidR="003738CE" w:rsidRPr="00836392" w:rsidRDefault="003738CE" w:rsidP="007169EA">
            <w:pPr>
              <w:pStyle w:val="bchtbtx"/>
              <w:suppressAutoHyphens w:val="0"/>
              <w:spacing w:after="0" w:line="480" w:lineRule="auto"/>
              <w:ind w:right="540"/>
              <w:jc w:val="both"/>
              <w:rPr>
                <w:rFonts w:ascii="Times New Roman" w:hAnsi="Times New Roman"/>
                <w:color w:val="auto"/>
                <w:sz w:val="20"/>
              </w:rPr>
            </w:pPr>
            <w:r>
              <w:rPr>
                <w:rStyle w:val="UL"/>
                <w:rFonts w:ascii="Times New Roman" w:hAnsi="Times New Roman"/>
                <w:color w:val="auto"/>
                <w:sz w:val="20"/>
              </w:rPr>
              <w:t xml:space="preserve">      </w:t>
            </w:r>
            <w:r w:rsidRPr="00836392">
              <w:rPr>
                <w:rStyle w:val="UL"/>
                <w:rFonts w:ascii="Times New Roman" w:hAnsi="Times New Roman"/>
                <w:color w:val="auto"/>
                <w:sz w:val="20"/>
              </w:rPr>
              <w:t>1,383</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tbtx"/>
              <w:suppressAutoHyphens w:val="0"/>
              <w:spacing w:after="0" w:line="480" w:lineRule="auto"/>
              <w:jc w:val="both"/>
              <w:rPr>
                <w:color w:val="auto"/>
                <w:sz w:val="20"/>
              </w:rPr>
            </w:pPr>
            <w:r w:rsidRPr="00836392">
              <w:rPr>
                <w:rFonts w:ascii="Times New Roman" w:hAnsi="Times New Roman"/>
                <w:color w:val="auto"/>
                <w:sz w:val="20"/>
              </w:rPr>
              <w:t>Net cash provided by operating activities</w:t>
            </w:r>
          </w:p>
        </w:tc>
        <w:tc>
          <w:tcPr>
            <w:tcW w:w="1879"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520"/>
              <w:jc w:val="both"/>
              <w:rPr>
                <w:color w:val="auto"/>
                <w:sz w:val="20"/>
              </w:rPr>
            </w:pPr>
            <w:r w:rsidRPr="00836392">
              <w:rPr>
                <w:rStyle w:val="UL"/>
                <w:rFonts w:ascii="Times New Roman" w:hAnsi="Times New Roman"/>
                <w:color w:val="auto"/>
                <w:sz w:val="20"/>
              </w:rPr>
              <w:t>$  1,722</w:t>
            </w:r>
          </w:p>
        </w:tc>
        <w:tc>
          <w:tcPr>
            <w:tcW w:w="2015"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540"/>
              <w:jc w:val="both"/>
              <w:rPr>
                <w:rFonts w:ascii="Times New Roman" w:hAnsi="Times New Roman"/>
                <w:color w:val="auto"/>
                <w:sz w:val="20"/>
              </w:rPr>
            </w:pPr>
            <w:r w:rsidRPr="00836392">
              <w:rPr>
                <w:rStyle w:val="UL"/>
                <w:rFonts w:ascii="Times New Roman" w:hAnsi="Times New Roman"/>
                <w:color w:val="auto"/>
                <w:sz w:val="20"/>
              </w:rPr>
              <w:t>$</w:t>
            </w:r>
            <w:r w:rsidRPr="00836392">
              <w:rPr>
                <w:rStyle w:val="UL"/>
                <w:rFonts w:ascii="MS Mincho" w:eastAsia="MS Mincho" w:hAnsi="MS Mincho" w:cs="MS Mincho"/>
                <w:color w:val="auto"/>
                <w:sz w:val="20"/>
              </w:rPr>
              <w:t> </w:t>
            </w:r>
            <w:r w:rsidRPr="00836392">
              <w:rPr>
                <w:rStyle w:val="UL"/>
                <w:rFonts w:ascii="Times New Roman" w:hAnsi="Times New Roman"/>
                <w:color w:val="auto"/>
                <w:sz w:val="20"/>
              </w:rPr>
              <w:t xml:space="preserve">  1,925</w:t>
            </w:r>
          </w:p>
        </w:tc>
      </w:tr>
      <w:tr w:rsidR="003738CE" w:rsidRPr="00836392" w:rsidTr="007169EA">
        <w:trPr>
          <w:trHeight w:val="60"/>
        </w:trPr>
        <w:tc>
          <w:tcPr>
            <w:tcW w:w="9100" w:type="dxa"/>
            <w:gridSpan w:val="3"/>
            <w:tcMar>
              <w:top w:w="0" w:type="dxa"/>
              <w:left w:w="108" w:type="dxa"/>
              <w:bottom w:w="0" w:type="dxa"/>
              <w:right w:w="108" w:type="dxa"/>
            </w:tcMar>
          </w:tcPr>
          <w:p w:rsidR="003738CE" w:rsidRPr="00836392" w:rsidRDefault="003738CE" w:rsidP="007169EA">
            <w:pPr>
              <w:pStyle w:val="bchrdfsst"/>
              <w:suppressAutoHyphens w:val="0"/>
              <w:spacing w:before="0" w:after="0" w:line="480" w:lineRule="auto"/>
              <w:jc w:val="both"/>
              <w:rPr>
                <w:rFonts w:ascii="Times New Roman" w:hAnsi="Times New Roman"/>
                <w:b/>
                <w:color w:val="auto"/>
                <w:sz w:val="20"/>
              </w:rPr>
            </w:pPr>
            <w:r w:rsidRPr="00836392">
              <w:rPr>
                <w:rFonts w:ascii="Times New Roman" w:hAnsi="Times New Roman" w:cs="StoneSans-Bold"/>
                <w:b/>
                <w:bCs/>
                <w:color w:val="auto"/>
                <w:sz w:val="20"/>
              </w:rPr>
              <w:t>Cash Flows from Investing Activities</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tbtx"/>
              <w:suppressAutoHyphens w:val="0"/>
              <w:spacing w:after="0" w:line="480" w:lineRule="auto"/>
              <w:jc w:val="both"/>
              <w:rPr>
                <w:color w:val="auto"/>
                <w:sz w:val="20"/>
              </w:rPr>
            </w:pPr>
            <w:r w:rsidRPr="00836392">
              <w:rPr>
                <w:rFonts w:ascii="Times New Roman" w:hAnsi="Times New Roman"/>
                <w:color w:val="auto"/>
                <w:sz w:val="20"/>
              </w:rPr>
              <w:t>Capital expenditures</w:t>
            </w:r>
          </w:p>
        </w:tc>
        <w:tc>
          <w:tcPr>
            <w:tcW w:w="1879"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460"/>
              <w:jc w:val="both"/>
              <w:rPr>
                <w:color w:val="auto"/>
                <w:sz w:val="20"/>
              </w:rPr>
            </w:pPr>
            <w:r w:rsidRPr="00836392">
              <w:rPr>
                <w:rFonts w:ascii="Times New Roman" w:hAnsi="Times New Roman"/>
                <w:color w:val="auto"/>
                <w:sz w:val="20"/>
              </w:rPr>
              <w:t>$ (2,420)</w:t>
            </w:r>
          </w:p>
        </w:tc>
        <w:tc>
          <w:tcPr>
            <w:tcW w:w="2015"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480"/>
              <w:jc w:val="both"/>
              <w:rPr>
                <w:rFonts w:ascii="Times New Roman" w:hAnsi="Times New Roman"/>
                <w:color w:val="auto"/>
                <w:sz w:val="20"/>
              </w:rPr>
            </w:pPr>
            <w:r w:rsidRPr="00836392">
              <w:rPr>
                <w:rFonts w:ascii="Times New Roman" w:hAnsi="Times New Roman"/>
                <w:color w:val="auto"/>
                <w:sz w:val="20"/>
              </w:rPr>
              <w:t>$</w:t>
            </w:r>
            <w:r w:rsidRPr="00836392">
              <w:rPr>
                <w:rFonts w:ascii="MS Mincho" w:eastAsia="MS Mincho" w:hAnsi="MS Mincho" w:cs="MS Mincho"/>
                <w:color w:val="auto"/>
                <w:sz w:val="20"/>
              </w:rPr>
              <w:t> </w:t>
            </w:r>
            <w:r w:rsidRPr="00836392">
              <w:rPr>
                <w:rFonts w:ascii="Times New Roman" w:hAnsi="Times New Roman"/>
                <w:color w:val="auto"/>
                <w:sz w:val="20"/>
              </w:rPr>
              <w:t xml:space="preserve"> (1,918)</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tbtx"/>
              <w:suppressAutoHyphens w:val="0"/>
              <w:spacing w:after="0" w:line="480" w:lineRule="auto"/>
              <w:jc w:val="both"/>
              <w:rPr>
                <w:color w:val="auto"/>
                <w:sz w:val="20"/>
              </w:rPr>
            </w:pPr>
            <w:r w:rsidRPr="00836392">
              <w:rPr>
                <w:rFonts w:ascii="Times New Roman" w:hAnsi="Times New Roman"/>
                <w:color w:val="auto"/>
                <w:sz w:val="20"/>
              </w:rPr>
              <w:t>Other investing inflows (outflows)</w:t>
            </w:r>
          </w:p>
        </w:tc>
        <w:tc>
          <w:tcPr>
            <w:tcW w:w="1879"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520"/>
              <w:jc w:val="both"/>
              <w:rPr>
                <w:color w:val="auto"/>
                <w:sz w:val="20"/>
              </w:rPr>
            </w:pPr>
            <w:r>
              <w:rPr>
                <w:rStyle w:val="UL"/>
                <w:rFonts w:ascii="Times New Roman" w:hAnsi="Times New Roman"/>
                <w:color w:val="auto"/>
                <w:sz w:val="20"/>
              </w:rPr>
              <w:t xml:space="preserve">        </w:t>
            </w:r>
            <w:r w:rsidRPr="00836392">
              <w:rPr>
                <w:rStyle w:val="UL"/>
                <w:rFonts w:ascii="Times New Roman" w:hAnsi="Times New Roman"/>
                <w:color w:val="auto"/>
                <w:sz w:val="20"/>
              </w:rPr>
              <w:t>176</w:t>
            </w:r>
          </w:p>
        </w:tc>
        <w:tc>
          <w:tcPr>
            <w:tcW w:w="2015"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540"/>
              <w:jc w:val="both"/>
              <w:rPr>
                <w:rFonts w:ascii="Times New Roman" w:hAnsi="Times New Roman"/>
                <w:color w:val="auto"/>
                <w:sz w:val="20"/>
              </w:rPr>
            </w:pPr>
            <w:r>
              <w:rPr>
                <w:rStyle w:val="UL"/>
                <w:rFonts w:ascii="Times New Roman" w:hAnsi="Times New Roman"/>
                <w:color w:val="auto"/>
                <w:sz w:val="20"/>
              </w:rPr>
              <w:t xml:space="preserve">            </w:t>
            </w:r>
            <w:r w:rsidRPr="00836392">
              <w:rPr>
                <w:rStyle w:val="UL"/>
                <w:rFonts w:ascii="Times New Roman" w:hAnsi="Times New Roman"/>
                <w:color w:val="auto"/>
                <w:sz w:val="20"/>
              </w:rPr>
              <w:t>84</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tbtx"/>
              <w:suppressAutoHyphens w:val="0"/>
              <w:spacing w:after="0" w:line="480" w:lineRule="auto"/>
              <w:jc w:val="both"/>
              <w:rPr>
                <w:color w:val="auto"/>
                <w:sz w:val="20"/>
              </w:rPr>
            </w:pPr>
            <w:r w:rsidRPr="00836392">
              <w:rPr>
                <w:rFonts w:ascii="Times New Roman" w:hAnsi="Times New Roman"/>
                <w:color w:val="auto"/>
                <w:sz w:val="20"/>
              </w:rPr>
              <w:t>Net cash used in investing activities</w:t>
            </w:r>
          </w:p>
        </w:tc>
        <w:tc>
          <w:tcPr>
            <w:tcW w:w="1879"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460"/>
              <w:jc w:val="both"/>
              <w:rPr>
                <w:color w:val="auto"/>
                <w:sz w:val="20"/>
              </w:rPr>
            </w:pPr>
            <w:r w:rsidRPr="00836392">
              <w:rPr>
                <w:rStyle w:val="UL"/>
                <w:rFonts w:ascii="Times New Roman" w:hAnsi="Times New Roman"/>
                <w:color w:val="auto"/>
                <w:sz w:val="20"/>
              </w:rPr>
              <w:t>$ (2,244)</w:t>
            </w:r>
          </w:p>
        </w:tc>
        <w:tc>
          <w:tcPr>
            <w:tcW w:w="2015" w:type="dxa"/>
            <w:tcMar>
              <w:top w:w="0" w:type="dxa"/>
              <w:left w:w="108" w:type="dxa"/>
              <w:bottom w:w="0" w:type="dxa"/>
              <w:right w:w="108" w:type="dxa"/>
            </w:tcMar>
          </w:tcPr>
          <w:p w:rsidR="003738CE" w:rsidRPr="00836392" w:rsidRDefault="003738CE" w:rsidP="007169EA">
            <w:pPr>
              <w:pStyle w:val="bchtbtx"/>
              <w:suppressAutoHyphens w:val="0"/>
              <w:spacing w:after="0" w:line="480" w:lineRule="auto"/>
              <w:ind w:right="480"/>
              <w:jc w:val="both"/>
              <w:rPr>
                <w:rFonts w:ascii="Times New Roman" w:hAnsi="Times New Roman"/>
                <w:color w:val="auto"/>
                <w:sz w:val="20"/>
              </w:rPr>
            </w:pPr>
            <w:r w:rsidRPr="00836392">
              <w:rPr>
                <w:rStyle w:val="UL"/>
                <w:rFonts w:ascii="Times New Roman" w:hAnsi="Times New Roman"/>
                <w:color w:val="auto"/>
                <w:sz w:val="20"/>
              </w:rPr>
              <w:t>$</w:t>
            </w:r>
            <w:r w:rsidRPr="00836392">
              <w:rPr>
                <w:rStyle w:val="UL"/>
                <w:rFonts w:ascii="MS Mincho" w:eastAsia="MS Mincho" w:hAnsi="MS Mincho" w:cs="MS Mincho"/>
                <w:color w:val="auto"/>
                <w:sz w:val="20"/>
              </w:rPr>
              <w:t> </w:t>
            </w:r>
            <w:r w:rsidRPr="00836392">
              <w:rPr>
                <w:rStyle w:val="UL"/>
                <w:rFonts w:ascii="Times New Roman" w:hAnsi="Times New Roman"/>
                <w:color w:val="auto"/>
                <w:sz w:val="20"/>
              </w:rPr>
              <w:t xml:space="preserve"> (1,834)</w:t>
            </w:r>
          </w:p>
        </w:tc>
      </w:tr>
      <w:tr w:rsidR="003738CE" w:rsidRPr="00836392" w:rsidTr="007169EA">
        <w:trPr>
          <w:trHeight w:val="60"/>
        </w:trPr>
        <w:tc>
          <w:tcPr>
            <w:tcW w:w="9100" w:type="dxa"/>
            <w:gridSpan w:val="3"/>
            <w:tcMar>
              <w:top w:w="0" w:type="dxa"/>
              <w:left w:w="108" w:type="dxa"/>
              <w:bottom w:w="0" w:type="dxa"/>
              <w:right w:w="108" w:type="dxa"/>
            </w:tcMar>
          </w:tcPr>
          <w:p w:rsidR="003738CE" w:rsidRPr="00836392" w:rsidRDefault="003738CE" w:rsidP="007169EA">
            <w:pPr>
              <w:pStyle w:val="bchrdfsst"/>
              <w:suppressAutoHyphens w:val="0"/>
              <w:spacing w:before="0" w:after="0" w:line="480" w:lineRule="auto"/>
              <w:jc w:val="both"/>
              <w:rPr>
                <w:rFonts w:ascii="Times New Roman" w:hAnsi="Times New Roman"/>
                <w:b/>
                <w:color w:val="auto"/>
                <w:sz w:val="20"/>
              </w:rPr>
            </w:pPr>
            <w:r w:rsidRPr="00836392">
              <w:rPr>
                <w:rFonts w:ascii="Times New Roman" w:hAnsi="Times New Roman" w:cs="StoneSans-Bold"/>
                <w:b/>
                <w:bCs/>
                <w:color w:val="auto"/>
                <w:sz w:val="20"/>
              </w:rPr>
              <w:t>Cash Flows from Financing Activities</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rdtbtx"/>
              <w:suppressAutoHyphens w:val="0"/>
              <w:spacing w:line="480" w:lineRule="auto"/>
              <w:jc w:val="both"/>
              <w:rPr>
                <w:color w:val="auto"/>
                <w:sz w:val="20"/>
              </w:rPr>
            </w:pPr>
            <w:r w:rsidRPr="00836392">
              <w:rPr>
                <w:rFonts w:ascii="Times New Roman" w:hAnsi="Times New Roman"/>
                <w:color w:val="auto"/>
                <w:sz w:val="20"/>
              </w:rPr>
              <w:t>Net cash provided (used in) financing activities</w:t>
            </w:r>
          </w:p>
        </w:tc>
        <w:tc>
          <w:tcPr>
            <w:tcW w:w="1879" w:type="dxa"/>
            <w:tcMar>
              <w:top w:w="0" w:type="dxa"/>
              <w:left w:w="108" w:type="dxa"/>
              <w:bottom w:w="0" w:type="dxa"/>
              <w:right w:w="108" w:type="dxa"/>
            </w:tcMar>
          </w:tcPr>
          <w:p w:rsidR="003738CE" w:rsidRPr="00836392" w:rsidRDefault="003738CE" w:rsidP="007169EA">
            <w:pPr>
              <w:pStyle w:val="bchrdtbtx"/>
              <w:suppressAutoHyphens w:val="0"/>
              <w:spacing w:line="480" w:lineRule="auto"/>
              <w:ind w:right="520"/>
              <w:jc w:val="both"/>
              <w:rPr>
                <w:color w:val="auto"/>
                <w:sz w:val="20"/>
              </w:rPr>
            </w:pPr>
            <w:r w:rsidRPr="00836392">
              <w:rPr>
                <w:rStyle w:val="rule1"/>
                <w:rFonts w:ascii="Times New Roman" w:hAnsi="Times New Roman"/>
                <w:color w:val="auto"/>
                <w:sz w:val="20"/>
              </w:rPr>
              <w:t xml:space="preserve">$     </w:t>
            </w:r>
            <w:r>
              <w:rPr>
                <w:rStyle w:val="rule1"/>
                <w:rFonts w:ascii="Times New Roman" w:hAnsi="Times New Roman"/>
                <w:color w:val="auto"/>
                <w:sz w:val="20"/>
              </w:rPr>
              <w:t xml:space="preserve"> </w:t>
            </w:r>
            <w:r w:rsidRPr="00836392">
              <w:rPr>
                <w:rStyle w:val="rule1"/>
                <w:rFonts w:ascii="Times New Roman" w:hAnsi="Times New Roman"/>
                <w:color w:val="auto"/>
                <w:sz w:val="20"/>
              </w:rPr>
              <w:t>168</w:t>
            </w:r>
          </w:p>
        </w:tc>
        <w:tc>
          <w:tcPr>
            <w:tcW w:w="2015" w:type="dxa"/>
            <w:tcMar>
              <w:top w:w="0" w:type="dxa"/>
              <w:left w:w="108" w:type="dxa"/>
              <w:bottom w:w="0" w:type="dxa"/>
              <w:right w:w="108" w:type="dxa"/>
            </w:tcMar>
          </w:tcPr>
          <w:p w:rsidR="003738CE" w:rsidRPr="00836392" w:rsidRDefault="003738CE" w:rsidP="007169EA">
            <w:pPr>
              <w:pStyle w:val="bchrdtbtx"/>
              <w:suppressAutoHyphens w:val="0"/>
              <w:spacing w:line="480" w:lineRule="auto"/>
              <w:ind w:right="500"/>
              <w:jc w:val="both"/>
              <w:rPr>
                <w:rFonts w:ascii="Times New Roman" w:hAnsi="Times New Roman"/>
                <w:color w:val="auto"/>
                <w:sz w:val="20"/>
              </w:rPr>
            </w:pPr>
            <w:r w:rsidRPr="00836392">
              <w:rPr>
                <w:rStyle w:val="UL"/>
                <w:rFonts w:ascii="Times New Roman" w:hAnsi="Times New Roman"/>
                <w:color w:val="auto"/>
                <w:sz w:val="20"/>
              </w:rPr>
              <w:t xml:space="preserve">$ </w:t>
            </w:r>
            <w:r w:rsidRPr="00836392">
              <w:rPr>
                <w:rStyle w:val="UL"/>
                <w:rFonts w:ascii="MS Mincho" w:eastAsia="MS Mincho" w:hAnsi="MS Mincho" w:cs="MS Mincho"/>
                <w:color w:val="auto"/>
                <w:sz w:val="20"/>
              </w:rPr>
              <w:t>  </w:t>
            </w:r>
            <w:r w:rsidRPr="00836392">
              <w:rPr>
                <w:rStyle w:val="UL"/>
                <w:rFonts w:ascii="Times New Roman" w:hAnsi="Times New Roman"/>
                <w:color w:val="auto"/>
                <w:sz w:val="20"/>
              </w:rPr>
              <w:t xml:space="preserve"> (376)</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rdtbtx"/>
              <w:suppressAutoHyphens w:val="0"/>
              <w:spacing w:line="480" w:lineRule="auto"/>
              <w:jc w:val="both"/>
              <w:rPr>
                <w:rFonts w:ascii="Times New Roman" w:hAnsi="Times New Roman"/>
                <w:color w:val="auto"/>
                <w:sz w:val="20"/>
              </w:rPr>
            </w:pPr>
            <w:r w:rsidRPr="00836392">
              <w:rPr>
                <w:rFonts w:ascii="Times New Roman" w:hAnsi="Times New Roman" w:cs="StoneSans-Bold"/>
                <w:b/>
                <w:bCs/>
                <w:color w:val="auto"/>
                <w:sz w:val="20"/>
              </w:rPr>
              <w:t>Increase (decrease) in cash and cash equivalents</w:t>
            </w:r>
          </w:p>
        </w:tc>
        <w:tc>
          <w:tcPr>
            <w:tcW w:w="1879" w:type="dxa"/>
            <w:tcMar>
              <w:top w:w="0" w:type="dxa"/>
              <w:left w:w="108" w:type="dxa"/>
              <w:bottom w:w="0" w:type="dxa"/>
              <w:right w:w="108" w:type="dxa"/>
            </w:tcMar>
          </w:tcPr>
          <w:p w:rsidR="003738CE" w:rsidRPr="00836392" w:rsidRDefault="003738CE" w:rsidP="007169EA">
            <w:pPr>
              <w:pStyle w:val="bchrdtbtx"/>
              <w:suppressAutoHyphens w:val="0"/>
              <w:spacing w:line="480" w:lineRule="auto"/>
              <w:ind w:right="460"/>
              <w:jc w:val="both"/>
              <w:rPr>
                <w:rFonts w:ascii="Times New Roman" w:hAnsi="Times New Roman"/>
                <w:color w:val="auto"/>
                <w:sz w:val="20"/>
              </w:rPr>
            </w:pPr>
            <w:r w:rsidRPr="00836392">
              <w:rPr>
                <w:rFonts w:ascii="Times New Roman" w:hAnsi="Times New Roman" w:cs="StoneSans-Semibold"/>
                <w:b/>
                <w:color w:val="auto"/>
                <w:sz w:val="20"/>
              </w:rPr>
              <w:t xml:space="preserve">$  </w:t>
            </w:r>
            <w:r w:rsidRPr="00836392">
              <w:rPr>
                <w:rFonts w:ascii="MS Mincho" w:eastAsia="MS Mincho" w:hAnsi="MS Mincho" w:cs="MS Mincho"/>
                <w:color w:val="auto"/>
                <w:sz w:val="20"/>
              </w:rPr>
              <w:t> </w:t>
            </w:r>
            <w:r w:rsidRPr="00836392">
              <w:rPr>
                <w:rFonts w:ascii="Times New Roman" w:hAnsi="Times New Roman" w:cs="StoneSans-Semibold"/>
                <w:b/>
                <w:color w:val="auto"/>
                <w:sz w:val="20"/>
              </w:rPr>
              <w:t xml:space="preserve"> (354)</w:t>
            </w:r>
          </w:p>
        </w:tc>
        <w:tc>
          <w:tcPr>
            <w:tcW w:w="2015" w:type="dxa"/>
            <w:tcMar>
              <w:top w:w="0" w:type="dxa"/>
              <w:left w:w="108" w:type="dxa"/>
              <w:bottom w:w="0" w:type="dxa"/>
              <w:right w:w="108" w:type="dxa"/>
            </w:tcMar>
          </w:tcPr>
          <w:p w:rsidR="003738CE" w:rsidRPr="00836392" w:rsidRDefault="003738CE" w:rsidP="007169EA">
            <w:pPr>
              <w:pStyle w:val="bchrdtbtx"/>
              <w:suppressAutoHyphens w:val="0"/>
              <w:spacing w:line="480" w:lineRule="auto"/>
              <w:ind w:right="480"/>
              <w:jc w:val="both"/>
              <w:rPr>
                <w:rFonts w:ascii="Times New Roman" w:hAnsi="Times New Roman"/>
                <w:color w:val="auto"/>
                <w:sz w:val="20"/>
              </w:rPr>
            </w:pPr>
            <w:r w:rsidRPr="00836392">
              <w:rPr>
                <w:rFonts w:ascii="Times New Roman" w:hAnsi="Times New Roman" w:cs="StoneSans-Semibold"/>
                <w:b/>
                <w:color w:val="auto"/>
                <w:sz w:val="20"/>
              </w:rPr>
              <w:t xml:space="preserve">$   </w:t>
            </w:r>
            <w:r>
              <w:rPr>
                <w:rFonts w:ascii="Times New Roman" w:hAnsi="Times New Roman" w:cs="StoneSans-Semibold"/>
                <w:b/>
                <w:color w:val="auto"/>
                <w:sz w:val="20"/>
              </w:rPr>
              <w:t xml:space="preserve">   </w:t>
            </w:r>
            <w:r w:rsidRPr="00836392">
              <w:rPr>
                <w:rFonts w:ascii="Times New Roman" w:hAnsi="Times New Roman" w:cs="StoneSans-Semibold"/>
                <w:b/>
                <w:color w:val="auto"/>
                <w:sz w:val="20"/>
              </w:rPr>
              <w:t>(285)</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rdtbtx"/>
              <w:suppressAutoHyphens w:val="0"/>
              <w:spacing w:line="480" w:lineRule="auto"/>
              <w:jc w:val="both"/>
              <w:rPr>
                <w:rFonts w:ascii="Times New Roman" w:hAnsi="Times New Roman"/>
                <w:color w:val="auto"/>
                <w:sz w:val="20"/>
              </w:rPr>
            </w:pPr>
            <w:r w:rsidRPr="00836392">
              <w:rPr>
                <w:rFonts w:ascii="Times New Roman" w:hAnsi="Times New Roman" w:cs="StoneSans-Bold"/>
                <w:b/>
                <w:bCs/>
                <w:color w:val="auto"/>
                <w:sz w:val="20"/>
              </w:rPr>
              <w:lastRenderedPageBreak/>
              <w:t>Cash and cash equivalents—beginning of the year</w:t>
            </w:r>
          </w:p>
        </w:tc>
        <w:tc>
          <w:tcPr>
            <w:tcW w:w="1879" w:type="dxa"/>
            <w:tcMar>
              <w:top w:w="0" w:type="dxa"/>
              <w:left w:w="108" w:type="dxa"/>
              <w:bottom w:w="0" w:type="dxa"/>
              <w:right w:w="108" w:type="dxa"/>
            </w:tcMar>
          </w:tcPr>
          <w:p w:rsidR="003738CE" w:rsidRPr="00836392" w:rsidRDefault="003738CE" w:rsidP="007169EA">
            <w:pPr>
              <w:pStyle w:val="bchrdtbtx"/>
              <w:suppressAutoHyphens w:val="0"/>
              <w:spacing w:line="480" w:lineRule="auto"/>
              <w:ind w:right="520"/>
              <w:jc w:val="both"/>
              <w:rPr>
                <w:rFonts w:ascii="Times New Roman" w:hAnsi="Times New Roman"/>
                <w:color w:val="auto"/>
                <w:sz w:val="20"/>
              </w:rPr>
            </w:pPr>
            <w:r w:rsidRPr="00836392">
              <w:rPr>
                <w:rStyle w:val="UL"/>
                <w:rFonts w:ascii="Times New Roman" w:hAnsi="Times New Roman" w:cs="StoneSans-Semibold"/>
                <w:b/>
                <w:color w:val="auto"/>
                <w:sz w:val="20"/>
              </w:rPr>
              <w:t xml:space="preserve">$     </w:t>
            </w:r>
            <w:r>
              <w:rPr>
                <w:rStyle w:val="UL"/>
                <w:rFonts w:ascii="Times New Roman" w:hAnsi="Times New Roman" w:cs="StoneSans-Semibold"/>
                <w:b/>
                <w:color w:val="auto"/>
                <w:sz w:val="20"/>
              </w:rPr>
              <w:t xml:space="preserve">  </w:t>
            </w:r>
            <w:r w:rsidRPr="00836392">
              <w:rPr>
                <w:rStyle w:val="UL"/>
                <w:rFonts w:ascii="Times New Roman" w:hAnsi="Times New Roman" w:cs="StoneSans-Semibold"/>
                <w:b/>
                <w:color w:val="auto"/>
                <w:sz w:val="20"/>
              </w:rPr>
              <w:t>506</w:t>
            </w:r>
          </w:p>
        </w:tc>
        <w:tc>
          <w:tcPr>
            <w:tcW w:w="2015" w:type="dxa"/>
            <w:tcMar>
              <w:top w:w="0" w:type="dxa"/>
              <w:left w:w="108" w:type="dxa"/>
              <w:bottom w:w="0" w:type="dxa"/>
              <w:right w:w="108" w:type="dxa"/>
            </w:tcMar>
          </w:tcPr>
          <w:p w:rsidR="003738CE" w:rsidRPr="00836392" w:rsidRDefault="003738CE" w:rsidP="007169EA">
            <w:pPr>
              <w:pStyle w:val="bchrdtbtx"/>
              <w:suppressAutoHyphens w:val="0"/>
              <w:spacing w:line="480" w:lineRule="auto"/>
              <w:ind w:right="540"/>
              <w:jc w:val="both"/>
              <w:rPr>
                <w:rFonts w:ascii="Times New Roman" w:hAnsi="Times New Roman"/>
                <w:color w:val="auto"/>
                <w:sz w:val="20"/>
              </w:rPr>
            </w:pPr>
            <w:r w:rsidRPr="00836392">
              <w:rPr>
                <w:rStyle w:val="UL"/>
                <w:rFonts w:ascii="Times New Roman" w:hAnsi="Times New Roman" w:cs="StoneSans-Semibold"/>
                <w:b/>
                <w:color w:val="auto"/>
                <w:sz w:val="20"/>
              </w:rPr>
              <w:t xml:space="preserve">$    </w:t>
            </w:r>
            <w:r w:rsidRPr="00836392">
              <w:rPr>
                <w:rStyle w:val="UL"/>
                <w:rFonts w:ascii="MS Mincho" w:eastAsia="MS Mincho" w:hAnsi="MS Mincho" w:cs="MS Mincho"/>
                <w:color w:val="auto"/>
                <w:sz w:val="20"/>
              </w:rPr>
              <w:t> </w:t>
            </w:r>
            <w:r w:rsidRPr="00836392">
              <w:rPr>
                <w:rStyle w:val="UL"/>
                <w:rFonts w:ascii="Times New Roman" w:hAnsi="Times New Roman" w:cs="StoneSans-Semibold"/>
                <w:b/>
                <w:color w:val="auto"/>
                <w:sz w:val="20"/>
              </w:rPr>
              <w:t xml:space="preserve"> 791</w:t>
            </w:r>
          </w:p>
        </w:tc>
      </w:tr>
      <w:tr w:rsidR="003738CE" w:rsidRPr="00836392" w:rsidTr="007169EA">
        <w:trPr>
          <w:trHeight w:val="60"/>
        </w:trPr>
        <w:tc>
          <w:tcPr>
            <w:tcW w:w="5206" w:type="dxa"/>
            <w:tcMar>
              <w:top w:w="0" w:type="dxa"/>
              <w:left w:w="108" w:type="dxa"/>
              <w:bottom w:w="0" w:type="dxa"/>
              <w:right w:w="108" w:type="dxa"/>
            </w:tcMar>
          </w:tcPr>
          <w:p w:rsidR="003738CE" w:rsidRPr="00836392" w:rsidRDefault="003738CE" w:rsidP="007169EA">
            <w:pPr>
              <w:pStyle w:val="bchrdtbtx"/>
              <w:suppressAutoHyphens w:val="0"/>
              <w:spacing w:line="480" w:lineRule="auto"/>
              <w:jc w:val="both"/>
              <w:rPr>
                <w:rFonts w:ascii="Times New Roman" w:hAnsi="Times New Roman"/>
                <w:color w:val="auto"/>
                <w:sz w:val="20"/>
              </w:rPr>
            </w:pPr>
            <w:r w:rsidRPr="00836392">
              <w:rPr>
                <w:rFonts w:ascii="Times New Roman" w:hAnsi="Times New Roman" w:cs="StoneSans-Bold"/>
                <w:b/>
                <w:bCs/>
                <w:color w:val="auto"/>
                <w:sz w:val="20"/>
              </w:rPr>
              <w:t>Cash and cash equivalents—end of the year</w:t>
            </w:r>
          </w:p>
        </w:tc>
        <w:tc>
          <w:tcPr>
            <w:tcW w:w="1879" w:type="dxa"/>
            <w:tcMar>
              <w:top w:w="0" w:type="dxa"/>
              <w:left w:w="108" w:type="dxa"/>
              <w:bottom w:w="0" w:type="dxa"/>
              <w:right w:w="108" w:type="dxa"/>
            </w:tcMar>
          </w:tcPr>
          <w:p w:rsidR="003738CE" w:rsidRPr="007F29F9" w:rsidRDefault="003738CE" w:rsidP="007169EA">
            <w:pPr>
              <w:pStyle w:val="bchrdtbtx"/>
              <w:suppressAutoHyphens w:val="0"/>
              <w:spacing w:line="480" w:lineRule="auto"/>
              <w:ind w:right="520"/>
              <w:jc w:val="both"/>
              <w:rPr>
                <w:rFonts w:ascii="Times New Roman" w:hAnsi="Times New Roman"/>
                <w:color w:val="auto"/>
                <w:sz w:val="20"/>
                <w:u w:val="single"/>
              </w:rPr>
            </w:pPr>
            <w:r w:rsidRPr="007F29F9">
              <w:rPr>
                <w:rFonts w:ascii="Times New Roman" w:hAnsi="Times New Roman" w:cs="StoneSans-Semibold"/>
                <w:b/>
                <w:color w:val="auto"/>
                <w:sz w:val="20"/>
                <w:u w:val="single"/>
              </w:rPr>
              <w:t>$       152</w:t>
            </w:r>
          </w:p>
        </w:tc>
        <w:tc>
          <w:tcPr>
            <w:tcW w:w="2015" w:type="dxa"/>
            <w:tcMar>
              <w:top w:w="0" w:type="dxa"/>
              <w:left w:w="108" w:type="dxa"/>
              <w:bottom w:w="0" w:type="dxa"/>
              <w:right w:w="108" w:type="dxa"/>
            </w:tcMar>
          </w:tcPr>
          <w:p w:rsidR="003738CE" w:rsidRPr="007F29F9" w:rsidRDefault="003738CE" w:rsidP="007169EA">
            <w:pPr>
              <w:pStyle w:val="bchrdtbtx"/>
              <w:suppressAutoHyphens w:val="0"/>
              <w:spacing w:line="480" w:lineRule="auto"/>
              <w:ind w:right="540"/>
              <w:jc w:val="both"/>
              <w:rPr>
                <w:rFonts w:ascii="Times New Roman" w:hAnsi="Times New Roman"/>
                <w:b/>
                <w:color w:val="auto"/>
                <w:sz w:val="20"/>
                <w:u w:val="single"/>
              </w:rPr>
            </w:pPr>
            <w:r w:rsidRPr="007F29F9">
              <w:rPr>
                <w:rFonts w:ascii="Times New Roman" w:hAnsi="Times New Roman" w:cs="StoneSans-Semibold"/>
                <w:b/>
                <w:color w:val="auto"/>
                <w:sz w:val="20"/>
                <w:u w:val="single"/>
              </w:rPr>
              <w:t xml:space="preserve">$    </w:t>
            </w:r>
            <w:r w:rsidRPr="007F29F9">
              <w:rPr>
                <w:rFonts w:ascii="MS Mincho" w:eastAsia="MS Mincho" w:hAnsi="MS Mincho" w:cs="MS Mincho"/>
                <w:b/>
                <w:color w:val="auto"/>
                <w:sz w:val="20"/>
                <w:u w:val="single"/>
              </w:rPr>
              <w:t> </w:t>
            </w:r>
            <w:r w:rsidRPr="007F29F9">
              <w:rPr>
                <w:rFonts w:ascii="Times New Roman" w:hAnsi="Times New Roman" w:cs="StoneSans-Semibold"/>
                <w:b/>
                <w:color w:val="auto"/>
                <w:sz w:val="20"/>
                <w:u w:val="single"/>
              </w:rPr>
              <w:t xml:space="preserve"> 506</w:t>
            </w:r>
          </w:p>
        </w:tc>
      </w:tr>
    </w:tbl>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Markowicz was concerned about the machine breakdown and increasing delays in meeting customer demands for the shipment of the textile products. He met with the other branch plant managers who complained bitterly to him about not being able to spend the money to acquire new motors. Markowicz was very sensitive to their needs. He informed them that the company’s regular supplier had recently announced a 25 percent price increase for the motors. Other suppliers followed suit and Markowicz saw no choice but to buy the motors from the overseas supplier. That supplier’s price was lower, and the quality of the motors would significantly enhance the machines’ operating efficiency. However, the company’s restrictions on capital expenditures stood in the way of making the purchase.</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Markowicz approached Sugofsky and told him about the machine breakdowns and concerns of other plant managers. Sugofsky seemed indifferent. He reminded Markowicz of the capital expenditure restrictions in place and that the Long Island City plant was committed to make expenditures at the same level as it had in 20</w:t>
      </w:r>
      <w:r>
        <w:rPr>
          <w:rFonts w:ascii="Times New Roman" w:hAnsi="Times New Roman"/>
          <w:color w:val="auto"/>
          <w:sz w:val="20"/>
        </w:rPr>
        <w:t>11</w:t>
      </w:r>
      <w:r w:rsidRPr="00836392">
        <w:rPr>
          <w:rFonts w:ascii="Times New Roman" w:hAnsi="Times New Roman"/>
          <w:color w:val="auto"/>
          <w:sz w:val="20"/>
        </w:rPr>
        <w:t>. Markowicz argued that he was faced with an unusual situation and he had to act now. Sugofsky hurriedly left but not before he said to Markowicz: “A policy is a policy.”</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Markowicz reflected on the comment and his obligations to Milton Manufacturing. He was conflicted because he viewed his primary responsibility and that of the other plant managers to ensure that the production process operated smoothly. The last thing the workers needed right now was a stoppage of production because of machine failure.</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At this time, Markowicz learned of a 30-day promotional price offered by the overseas supplier to gain new customers by lowering the price for all motors by 25 percent. Coupled with the 25 percent increase in price by the company’s supplier, Markowicz knew he could save the company $1,500, or 50 percent of cost, on each motor purchased from the overseas supplier.</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After carefully considering the implications of his intended action, Markowicz contacted the other plant managers and informed them that while they were not obligated to follow his lead because of the capital expenditure policy, he planned to purchase 1,000 motors from the overseas supplier for the headquarters plant in Long Island City.</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Markowicz made the purchase in the fourth quarter of 20</w:t>
      </w:r>
      <w:r>
        <w:rPr>
          <w:rFonts w:ascii="Times New Roman" w:hAnsi="Times New Roman"/>
          <w:color w:val="auto"/>
          <w:sz w:val="20"/>
        </w:rPr>
        <w:t>13</w:t>
      </w:r>
      <w:r w:rsidRPr="00836392">
        <w:rPr>
          <w:rFonts w:ascii="Times New Roman" w:hAnsi="Times New Roman"/>
          <w:color w:val="auto"/>
          <w:sz w:val="20"/>
        </w:rPr>
        <w:t xml:space="preserve"> without informing Sugofsky. He convinced </w:t>
      </w:r>
      <w:r w:rsidRPr="00836392">
        <w:rPr>
          <w:rFonts w:ascii="Times New Roman" w:hAnsi="Times New Roman"/>
          <w:color w:val="auto"/>
          <w:sz w:val="20"/>
        </w:rPr>
        <w:lastRenderedPageBreak/>
        <w:t>the plant accountant to record the $1.5 million expenditure as an operating (not capital) expenditure because he knew the higher level of operating cash inflows would mask the effect of his expenditure. In fact, Markowicz was proud that he had “saved” the company $1.5 million and he did what was necessary to ensure that the Long Island City plant continued to operate.</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The acquisitions by Markowicz and the other plant managers enabled the company to keep up with the growing demand for textiles and the company finished the year with record high levels of net cash inflows from all activities. Markowicz was lauded by his team for his leadership. The company successfully executed a loan agreement with Second Bankers Hours &amp; Trust Co. The $20 million borrowed was received on January 3, 201</w:t>
      </w:r>
      <w:r>
        <w:rPr>
          <w:rFonts w:ascii="Times New Roman" w:hAnsi="Times New Roman"/>
          <w:color w:val="auto"/>
          <w:sz w:val="20"/>
        </w:rPr>
        <w:t>4</w:t>
      </w:r>
      <w:r w:rsidRPr="00836392">
        <w:rPr>
          <w:rFonts w:ascii="Times New Roman" w:hAnsi="Times New Roman"/>
          <w:color w:val="auto"/>
          <w:sz w:val="20"/>
        </w:rPr>
        <w:t>.</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During the course of an internal audit on January 21, 201</w:t>
      </w:r>
      <w:r>
        <w:rPr>
          <w:rFonts w:ascii="Times New Roman" w:hAnsi="Times New Roman"/>
          <w:color w:val="auto"/>
          <w:sz w:val="20"/>
        </w:rPr>
        <w:t>4</w:t>
      </w:r>
      <w:r w:rsidRPr="00836392">
        <w:rPr>
          <w:rFonts w:ascii="Times New Roman" w:hAnsi="Times New Roman"/>
          <w:color w:val="auto"/>
          <w:sz w:val="20"/>
        </w:rPr>
        <w:t>, Beverly Wald, the chief internal auditor</w:t>
      </w:r>
      <w:r>
        <w:rPr>
          <w:rFonts w:ascii="Times New Roman" w:hAnsi="Times New Roman"/>
          <w:color w:val="auto"/>
          <w:sz w:val="20"/>
        </w:rPr>
        <w:t xml:space="preserve"> who is a CPA</w:t>
      </w:r>
      <w:r w:rsidRPr="00836392">
        <w:rPr>
          <w:rFonts w:ascii="Times New Roman" w:hAnsi="Times New Roman"/>
          <w:color w:val="auto"/>
          <w:sz w:val="20"/>
        </w:rPr>
        <w:t>, discovered that there was an unusually high level of motors in the inventory. A complete check of inventory determined that $1.0 million of motors remained on hand.</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Wald reported her findings to Ann Plotkin and together they went to see Irv Milton. After being informed of the situation, Milton called in Ira Sugofsky. When Wald told him about her findings, Sugofsky’s face turned beet red. He paced the floor, poured a glass of water, drank it quickly, and then began his explanation. Sugofsky told them about his encounter with Sammie Markowicz. Sugofsky stated in no uncertain terms that he had told Markowicz not to increase plant expenditures beyond the 20</w:t>
      </w:r>
      <w:r>
        <w:rPr>
          <w:rFonts w:ascii="Times New Roman" w:hAnsi="Times New Roman"/>
          <w:color w:val="auto"/>
          <w:sz w:val="20"/>
        </w:rPr>
        <w:t>11</w:t>
      </w:r>
      <w:r w:rsidRPr="00836392">
        <w:rPr>
          <w:rFonts w:ascii="Times New Roman" w:hAnsi="Times New Roman"/>
          <w:color w:val="auto"/>
          <w:sz w:val="20"/>
        </w:rPr>
        <w:t xml:space="preserve"> level. “I left the meeting believing that he understood the company’s policy. I knew nothing about the purchase,” he stated.</w:t>
      </w:r>
    </w:p>
    <w:p w:rsidR="003738CE" w:rsidRPr="00836392" w:rsidRDefault="003738CE" w:rsidP="003738CE">
      <w:pPr>
        <w:pStyle w:val="bchrdtx"/>
        <w:spacing w:line="480" w:lineRule="auto"/>
        <w:rPr>
          <w:rFonts w:ascii="Times New Roman" w:hAnsi="Times New Roman"/>
          <w:color w:val="auto"/>
          <w:sz w:val="20"/>
        </w:rPr>
      </w:pPr>
      <w:r w:rsidRPr="00836392">
        <w:rPr>
          <w:rFonts w:ascii="Times New Roman" w:hAnsi="Times New Roman"/>
          <w:color w:val="auto"/>
          <w:sz w:val="20"/>
        </w:rPr>
        <w:t>At this point Wald joined in and explained to Sugofsky that the $1 million is accounted for as inventory and not an operating cash outflow: “What we do in this case is transfer the motors out of inventory and into the machinery account once they are placed into operation because, according to the documentation, the motors added significant value to the asset.” Sugofsky had a perplexed look on his face. Finally, Irv Milton took control of the accounting lesson by asking: “What’s the difference? Isn’t the main issue that Markowicz did not follow company policy?” The three officers in the room shook their head simultaneously, perhaps in gratitude for being saved the additional lecturing. Milton then said he wanted the three of them to brainstorm some alternatives on how best to deal with the Sammie Markowicz situation and present the alternatives to him in one week.</w:t>
      </w:r>
    </w:p>
    <w:p w:rsidR="003738CE" w:rsidRDefault="003738CE" w:rsidP="003738CE">
      <w:pPr>
        <w:pStyle w:val="bchrdhb"/>
        <w:keepNext w:val="0"/>
        <w:suppressAutoHyphens w:val="0"/>
        <w:spacing w:before="0" w:after="0" w:line="480" w:lineRule="auto"/>
        <w:jc w:val="both"/>
        <w:rPr>
          <w:rFonts w:ascii="Times New Roman" w:hAnsi="Times New Roman"/>
          <w:b/>
          <w:color w:val="auto"/>
        </w:rPr>
      </w:pPr>
      <w:r w:rsidRPr="00D530B0">
        <w:rPr>
          <w:rFonts w:ascii="Times New Roman" w:hAnsi="Times New Roman"/>
          <w:b/>
          <w:color w:val="auto"/>
        </w:rPr>
        <w:lastRenderedPageBreak/>
        <w:t>NOTES</w:t>
      </w:r>
    </w:p>
    <w:p w:rsidR="003738CE" w:rsidRPr="00D1156B" w:rsidRDefault="003738CE" w:rsidP="003738CE">
      <w:pPr>
        <w:spacing w:line="480" w:lineRule="auto"/>
        <w:rPr>
          <w:sz w:val="20"/>
        </w:rPr>
      </w:pPr>
      <w:r w:rsidRPr="00D1156B">
        <w:rPr>
          <w:sz w:val="20"/>
        </w:rPr>
        <w:t xml:space="preserve">This case deals with a company’s efforts to manage its short-term earnings and cash outflows by restricting capital expenditures. </w:t>
      </w:r>
    </w:p>
    <w:p w:rsidR="003738CE" w:rsidRPr="00D1156B" w:rsidRDefault="003738CE" w:rsidP="003738CE">
      <w:pPr>
        <w:spacing w:line="480" w:lineRule="auto"/>
        <w:rPr>
          <w:sz w:val="20"/>
        </w:rPr>
      </w:pPr>
    </w:p>
    <w:p w:rsidR="003738CE" w:rsidRPr="00D1156B" w:rsidRDefault="003738CE" w:rsidP="003738CE">
      <w:pPr>
        <w:spacing w:line="480" w:lineRule="auto"/>
        <w:rPr>
          <w:b/>
          <w:sz w:val="20"/>
        </w:rPr>
      </w:pPr>
      <w:r w:rsidRPr="00D1156B">
        <w:rPr>
          <w:b/>
          <w:sz w:val="20"/>
        </w:rPr>
        <w:t>Ethical Issues</w:t>
      </w:r>
    </w:p>
    <w:p w:rsidR="003738CE" w:rsidRPr="00D1156B" w:rsidRDefault="003738CE" w:rsidP="003738CE">
      <w:pPr>
        <w:spacing w:line="480" w:lineRule="auto"/>
        <w:rPr>
          <w:sz w:val="20"/>
        </w:rPr>
      </w:pPr>
      <w:r w:rsidRPr="00D1156B">
        <w:rPr>
          <w:sz w:val="20"/>
        </w:rPr>
        <w:t>Top management ‘s decision to restrict capital expenditures created a conflict for Sammie Markowicz, the plant manager at the headquarters location in Long Island City. On the one hand, Markowicz knows that the company expects him to follow company policy. On the other hand, he is very conscious of his primary responsibility to keep the production process operating as efficiently as possible. Markowicz was placed in a difficult position because of the capital expenditure restrictions, especially in light of the previously experienced machine breakdowns. The conflict comes to a head for Markowicz when he learns about the 25% price increase that is announced by the plant’s primary supplier for motors used in the production process.</w:t>
      </w:r>
    </w:p>
    <w:p w:rsidR="003738CE" w:rsidRPr="00D1156B" w:rsidRDefault="003738CE" w:rsidP="003738CE">
      <w:pPr>
        <w:spacing w:line="480" w:lineRule="auto"/>
        <w:rPr>
          <w:sz w:val="20"/>
        </w:rPr>
      </w:pPr>
    </w:p>
    <w:p w:rsidR="003738CE" w:rsidRPr="00D1156B" w:rsidRDefault="003738CE" w:rsidP="003738CE">
      <w:pPr>
        <w:spacing w:line="480" w:lineRule="auto"/>
        <w:rPr>
          <w:sz w:val="20"/>
        </w:rPr>
      </w:pPr>
      <w:r w:rsidRPr="00D1156B">
        <w:rPr>
          <w:sz w:val="20"/>
        </w:rPr>
        <w:t xml:space="preserve">Markowicz’ decision to order $150,000 of the motors for the Long Island City plant influences other plant managers to take similar actions. He acted in a way that he thought would be in the best interest of the company even though it violated company policy. He failed to consider the consequences of his action on the stakeholders. At a minimum, Markowicz could have contacted top management with his dilemma and sought a reversal of the policy by emphasizing the more frequent machine break downs and pending price increase. Markowicz was wrong to hide the acquisition of an asset by charging it to expense. This action violates the rights of the stockholders who rely on accurate financial information. Markowicz’s action were primarily motivated by self-interest (reasoning at stage 2) and not out of concern for the interests of the stakeholders. An issue that should be dealt with by the company is how and why Markowicz was able to circumvent the interest controls and override the policy. </w:t>
      </w:r>
    </w:p>
    <w:p w:rsidR="003738CE" w:rsidRDefault="003738CE" w:rsidP="003738CE">
      <w:pPr>
        <w:pStyle w:val="bchrdhb"/>
        <w:keepNext w:val="0"/>
        <w:suppressAutoHyphens w:val="0"/>
        <w:spacing w:before="0" w:after="0" w:line="480" w:lineRule="auto"/>
        <w:jc w:val="both"/>
        <w:rPr>
          <w:rFonts w:ascii="Times New Roman" w:hAnsi="Times New Roman"/>
          <w:b/>
          <w:color w:val="auto"/>
        </w:rPr>
      </w:pPr>
    </w:p>
    <w:p w:rsidR="003738CE" w:rsidRPr="00836392" w:rsidRDefault="003738CE" w:rsidP="003738CE">
      <w:pPr>
        <w:pStyle w:val="bchrdhb"/>
        <w:keepNext w:val="0"/>
        <w:suppressAutoHyphens w:val="0"/>
        <w:spacing w:before="0" w:after="0" w:line="480" w:lineRule="auto"/>
        <w:jc w:val="both"/>
        <w:rPr>
          <w:rFonts w:ascii="Times New Roman" w:hAnsi="Times New Roman"/>
          <w:b/>
          <w:color w:val="auto"/>
        </w:rPr>
      </w:pPr>
      <w:r w:rsidRPr="00836392">
        <w:rPr>
          <w:rFonts w:ascii="Times New Roman" w:hAnsi="Times New Roman"/>
          <w:b/>
          <w:color w:val="auto"/>
        </w:rPr>
        <w:t>Question</w:t>
      </w:r>
      <w:r>
        <w:rPr>
          <w:rFonts w:ascii="Times New Roman" w:hAnsi="Times New Roman"/>
          <w:b/>
          <w:color w:val="auto"/>
        </w:rPr>
        <w:t>s</w:t>
      </w:r>
    </w:p>
    <w:p w:rsidR="003738CE" w:rsidRPr="00207356" w:rsidRDefault="003738CE" w:rsidP="003738CE">
      <w:pPr>
        <w:pStyle w:val="bchrdtxfirst0"/>
        <w:spacing w:line="480" w:lineRule="auto"/>
        <w:rPr>
          <w:rFonts w:ascii="Times New Roman" w:hAnsi="Times New Roman"/>
          <w:b/>
          <w:color w:val="auto"/>
          <w:sz w:val="20"/>
        </w:rPr>
      </w:pPr>
      <w:r w:rsidRPr="00207356">
        <w:rPr>
          <w:rFonts w:ascii="Times New Roman" w:hAnsi="Times New Roman"/>
          <w:b/>
          <w:color w:val="auto"/>
          <w:sz w:val="20"/>
        </w:rPr>
        <w:t xml:space="preserve">Use the Integrated Ethical Decision-Making Process explained in this chapter to help you assess the following: </w:t>
      </w:r>
    </w:p>
    <w:p w:rsidR="003738CE" w:rsidRPr="00D530B0" w:rsidRDefault="003738CE" w:rsidP="003738CE">
      <w:pPr>
        <w:pStyle w:val="bchrdtxfirst0"/>
        <w:numPr>
          <w:ilvl w:val="0"/>
          <w:numId w:val="1"/>
        </w:numPr>
        <w:spacing w:line="480" w:lineRule="auto"/>
        <w:rPr>
          <w:rFonts w:ascii="Times New Roman" w:hAnsi="Times New Roman"/>
          <w:b/>
          <w:color w:val="auto"/>
          <w:sz w:val="20"/>
        </w:rPr>
      </w:pPr>
      <w:r w:rsidRPr="00D530B0">
        <w:rPr>
          <w:rFonts w:ascii="Times New Roman" w:hAnsi="Times New Roman"/>
          <w:b/>
          <w:color w:val="auto"/>
          <w:sz w:val="20"/>
        </w:rPr>
        <w:lastRenderedPageBreak/>
        <w:t>Identify the ethical and professional issues of concern to Beverly Wald in this case.</w:t>
      </w:r>
    </w:p>
    <w:p w:rsidR="003738CE" w:rsidRDefault="003738CE" w:rsidP="003738CE">
      <w:pPr>
        <w:spacing w:line="480" w:lineRule="auto"/>
      </w:pPr>
      <w:r>
        <w:t xml:space="preserve">The ethical issues for Beverly Wald are the recording, transparency and disclosure of accounting transactions and the resulting financial statements. There could be question of whether the bank would have made the loan if the proper accounting treatment had been reflected in the financial statements. </w:t>
      </w:r>
      <w:r w:rsidR="0035029A">
        <w:t>Fraud appears t</w:t>
      </w:r>
      <w:r w:rsidR="006A67B8">
        <w:t>o be involved in the situation because of improper accounting and reporting</w:t>
      </w:r>
      <w:r w:rsidR="002F4FFE">
        <w:t xml:space="preserve"> of the expenditures and effect</w:t>
      </w:r>
      <w:r w:rsidR="006A67B8">
        <w:t xml:space="preserve"> on earnings. </w:t>
      </w:r>
      <w:r>
        <w:t xml:space="preserve">The </w:t>
      </w:r>
      <w:r w:rsidR="006A67B8">
        <w:t xml:space="preserve">operational </w:t>
      </w:r>
      <w:r>
        <w:t xml:space="preserve">and accounting issues are how did Markowicz circumvent internal controls and how did he </w:t>
      </w:r>
      <w:r w:rsidR="00215AC1">
        <w:t xml:space="preserve">convince the plant accountant to record the capital expenditures as </w:t>
      </w:r>
      <w:r w:rsidR="002F4FFE">
        <w:t>an operating item</w:t>
      </w:r>
      <w:r w:rsidR="00215AC1">
        <w:t>. Wald sh</w:t>
      </w:r>
      <w:r>
        <w:t xml:space="preserve">ould be concerned </w:t>
      </w:r>
      <w:r w:rsidR="00001F26">
        <w:t xml:space="preserve">about these matters as the chief internal auditor and a CPA. She also should be concerned that company policies have been circumvented. </w:t>
      </w:r>
    </w:p>
    <w:p w:rsidR="003738CE" w:rsidRPr="008F7167" w:rsidRDefault="003738CE" w:rsidP="003738CE">
      <w:pPr>
        <w:spacing w:line="480" w:lineRule="auto"/>
        <w:rPr>
          <w:sz w:val="20"/>
        </w:rPr>
      </w:pPr>
    </w:p>
    <w:p w:rsidR="003738CE" w:rsidRPr="00D530B0" w:rsidRDefault="003738CE" w:rsidP="003738CE">
      <w:pPr>
        <w:pStyle w:val="bchrdtxfirst0"/>
        <w:numPr>
          <w:ilvl w:val="0"/>
          <w:numId w:val="1"/>
        </w:numPr>
        <w:spacing w:line="480" w:lineRule="auto"/>
        <w:rPr>
          <w:rFonts w:ascii="Times New Roman" w:hAnsi="Times New Roman"/>
          <w:b/>
          <w:color w:val="auto"/>
          <w:sz w:val="20"/>
        </w:rPr>
      </w:pPr>
      <w:r w:rsidRPr="00D530B0">
        <w:rPr>
          <w:rFonts w:ascii="Times New Roman" w:hAnsi="Times New Roman"/>
          <w:b/>
          <w:color w:val="auto"/>
          <w:sz w:val="20"/>
        </w:rPr>
        <w:t>Identify and evaluate the alternative courses of action for Wald, Ann Plotkin, and Ira Sugofsky to present in their meeting with Milton.</w:t>
      </w:r>
    </w:p>
    <w:p w:rsidR="003738CE" w:rsidRDefault="003738CE" w:rsidP="003738CE">
      <w:pPr>
        <w:spacing w:line="480" w:lineRule="auto"/>
      </w:pPr>
      <w:r>
        <w:t xml:space="preserve">Wald, Plotkin, and Sugofsky may consider the following alternatives. (1) The company can pretend that management did not know or notice the violation of the policy. This alternative may be a rationalization of act-utilitarianism. The company used the </w:t>
      </w:r>
      <w:r w:rsidR="00410070">
        <w:t>accounting to secure new funding.</w:t>
      </w:r>
      <w:r>
        <w:t xml:space="preserve"> Since everythi</w:t>
      </w:r>
      <w:r w:rsidR="00410070">
        <w:t>ng seems to have worked for the best</w:t>
      </w:r>
      <w:r>
        <w:t>,</w:t>
      </w:r>
      <w:r w:rsidR="00410070">
        <w:t xml:space="preserve"> although not through ethical means, there may be no need to take any further</w:t>
      </w:r>
      <w:r>
        <w:t xml:space="preserve"> action. The company could counsel Markowic</w:t>
      </w:r>
      <w:r w:rsidR="003E50A0">
        <w:t>z to not do it again. Thus, this approach may be labeled “no harm, no foul.”</w:t>
      </w:r>
      <w:r>
        <w:t xml:space="preserve"> (2) The company could restate the financial statements.  This would be supported by </w:t>
      </w:r>
      <w:r w:rsidR="00F728B4">
        <w:t>rights theory and virtue</w:t>
      </w:r>
      <w:r>
        <w:t>.   Once the company makes the restatement, it should inform the lender.</w:t>
      </w:r>
      <w:r w:rsidR="003E50A0">
        <w:t xml:space="preserve"> The company would have done the right thing and maintained its integrity </w:t>
      </w:r>
      <w:r w:rsidR="005F3557">
        <w:t>as well as the trust of the lenders.</w:t>
      </w:r>
      <w:r>
        <w:t xml:space="preserve"> Further (3) the company could decide to </w:t>
      </w:r>
      <w:r w:rsidR="005F3557">
        <w:lastRenderedPageBreak/>
        <w:t xml:space="preserve">sanction </w:t>
      </w:r>
      <w:r>
        <w:t>Markowicz to temper any future insubordination</w:t>
      </w:r>
      <w:r w:rsidR="005F3557">
        <w:t xml:space="preserve"> by employees</w:t>
      </w:r>
      <w:r>
        <w:t>.</w:t>
      </w:r>
      <w:r w:rsidRPr="003F7D99">
        <w:t xml:space="preserve"> </w:t>
      </w:r>
      <w:r>
        <w:t xml:space="preserve">The punishment could range from a reprimand to being fired. This alternative would be supported by rule-utilitarianism. Deontology would also support this alternative. The company had a right to expect the Markowicz to follow its directives; </w:t>
      </w:r>
      <w:r w:rsidR="0031211E">
        <w:t>Markowic</w:t>
      </w:r>
      <w:r>
        <w:t xml:space="preserve">z had a duty to meet the company’s expectations.  </w:t>
      </w:r>
      <w:r w:rsidR="0031211E">
        <w:t xml:space="preserve">By this action the company is setting an ethical tone at the top and making it clear to other employees that </w:t>
      </w:r>
      <w:r w:rsidR="00542651">
        <w:t xml:space="preserve"> company </w:t>
      </w:r>
      <w:r w:rsidR="0031211E">
        <w:t xml:space="preserve">policies should always be followed unless an exception is granted by top management. </w:t>
      </w:r>
    </w:p>
    <w:p w:rsidR="003738CE" w:rsidRPr="008F7167" w:rsidRDefault="003738CE" w:rsidP="003738CE">
      <w:pPr>
        <w:pStyle w:val="bchrdtxfirst0"/>
        <w:spacing w:line="480" w:lineRule="auto"/>
        <w:rPr>
          <w:rFonts w:ascii="Times New Roman" w:hAnsi="Times New Roman"/>
          <w:color w:val="auto"/>
          <w:sz w:val="20"/>
        </w:rPr>
      </w:pPr>
    </w:p>
    <w:p w:rsidR="003738CE" w:rsidRPr="00EC21D8" w:rsidRDefault="003738CE" w:rsidP="003738CE">
      <w:pPr>
        <w:pStyle w:val="bchrdtxfirst0"/>
        <w:numPr>
          <w:ilvl w:val="0"/>
          <w:numId w:val="1"/>
        </w:numPr>
        <w:spacing w:line="480" w:lineRule="auto"/>
        <w:rPr>
          <w:rFonts w:ascii="Times New Roman" w:hAnsi="Times New Roman"/>
          <w:b/>
          <w:color w:val="auto"/>
          <w:sz w:val="20"/>
        </w:rPr>
      </w:pPr>
      <w:r w:rsidRPr="00EC21D8">
        <w:rPr>
          <w:rFonts w:ascii="Times New Roman" w:hAnsi="Times New Roman"/>
          <w:b/>
          <w:color w:val="auto"/>
          <w:sz w:val="20"/>
        </w:rPr>
        <w:t>How do virtue considerations influence the alternatives presented?</w:t>
      </w:r>
    </w:p>
    <w:p w:rsidR="003738CE" w:rsidRPr="009832BB" w:rsidRDefault="003738CE" w:rsidP="003738CE">
      <w:pPr>
        <w:spacing w:line="480" w:lineRule="auto"/>
      </w:pPr>
      <w:r w:rsidRPr="009832BB">
        <w:t>The v</w:t>
      </w:r>
      <w:r>
        <w:t>irtues to set an ethical tone in a company</w:t>
      </w:r>
      <w:r w:rsidRPr="009832BB">
        <w:t xml:space="preserve"> include trustworthiness, </w:t>
      </w:r>
      <w:r>
        <w:t xml:space="preserve">honesty, integrity, responsibility, </w:t>
      </w:r>
      <w:r w:rsidRPr="009832BB">
        <w:t>respect, and fairness.</w:t>
      </w:r>
      <w:r w:rsidR="00542651">
        <w:t xml:space="preserve"> The virtues are internal values that should drive company behavior, not external ones such as </w:t>
      </w:r>
      <w:r w:rsidR="00CF46DC">
        <w:t>looking better for lenders and greed/self-interest actions.</w:t>
      </w:r>
    </w:p>
    <w:p w:rsidR="003738CE" w:rsidRPr="008F7167" w:rsidRDefault="003738CE" w:rsidP="003738CE">
      <w:pPr>
        <w:pStyle w:val="bchrdtxfirst0"/>
        <w:spacing w:line="480" w:lineRule="auto"/>
        <w:rPr>
          <w:rFonts w:ascii="Times New Roman" w:hAnsi="Times New Roman"/>
          <w:color w:val="auto"/>
          <w:sz w:val="20"/>
        </w:rPr>
      </w:pPr>
    </w:p>
    <w:p w:rsidR="003738CE" w:rsidRPr="00EC21D8" w:rsidRDefault="003738CE" w:rsidP="003738CE">
      <w:pPr>
        <w:pStyle w:val="bchrdtxfirst0"/>
        <w:numPr>
          <w:ilvl w:val="0"/>
          <w:numId w:val="1"/>
        </w:numPr>
        <w:spacing w:line="480" w:lineRule="auto"/>
        <w:rPr>
          <w:rFonts w:ascii="Times New Roman" w:hAnsi="Times New Roman"/>
          <w:b/>
          <w:color w:val="auto"/>
          <w:sz w:val="20"/>
        </w:rPr>
      </w:pPr>
      <w:r w:rsidRPr="00EC21D8">
        <w:rPr>
          <w:rFonts w:ascii="Times New Roman" w:hAnsi="Times New Roman"/>
          <w:b/>
          <w:color w:val="auto"/>
          <w:sz w:val="20"/>
        </w:rPr>
        <w:t>If you were in Milton’s place, which of the alternatives would you choose and why?</w:t>
      </w:r>
    </w:p>
    <w:p w:rsidR="003738CE" w:rsidRDefault="003738CE" w:rsidP="003738CE"/>
    <w:p w:rsidR="003738CE" w:rsidRPr="008419CA" w:rsidRDefault="003738CE" w:rsidP="003738CE">
      <w:pPr>
        <w:spacing w:line="480" w:lineRule="auto"/>
      </w:pPr>
      <w:r>
        <w:t xml:space="preserve">Being in Milton’s place, alternative (2) of restating the financial statements and letting the lender know should be chosen. Further the </w:t>
      </w:r>
      <w:r w:rsidR="00CF46DC">
        <w:t>punishment of Markowic</w:t>
      </w:r>
      <w:r>
        <w:t xml:space="preserve">z should be considered to set an ethical tone in the firm. </w:t>
      </w:r>
      <w:r w:rsidR="0011494A">
        <w:t xml:space="preserve">The company should work on better internal communication. </w:t>
      </w:r>
      <w:r>
        <w:t>Employees should feel comfortable to bring matters to their superiors and to admit to mist</w:t>
      </w:r>
      <w:r w:rsidR="0011494A">
        <w:t>akes. In this case, if Markowic</w:t>
      </w:r>
      <w:r>
        <w:t>z had felt comfortable explain</w:t>
      </w:r>
      <w:r w:rsidR="00732381">
        <w:t>ing</w:t>
      </w:r>
      <w:r>
        <w:t xml:space="preserve"> the plan to purchase the motors with Sugofsky or other superiors, the firm could have made a </w:t>
      </w:r>
      <w:r w:rsidR="0011494A">
        <w:t xml:space="preserve">decision to set aside its own policy in this case because Markowicz’s actions saved a lot of money for the company and kept the production </w:t>
      </w:r>
      <w:r w:rsidR="00732381">
        <w:t>process operating</w:t>
      </w:r>
      <w:r w:rsidR="0011494A">
        <w:t xml:space="preserve"> smoothly, a key ingredient in the company’s continued success. </w:t>
      </w:r>
    </w:p>
    <w:p w:rsidR="003738CE" w:rsidRDefault="003738CE" w:rsidP="003738CE"/>
    <w:p w:rsidR="00A139FC" w:rsidRDefault="00A139FC"/>
    <w:sectPr w:rsidR="00A139FC" w:rsidSect="009B2F0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Italic">
    <w:panose1 w:val="00000000000000000000"/>
    <w:charset w:val="4D"/>
    <w:family w:val="auto"/>
    <w:notTrueType/>
    <w:pitch w:val="default"/>
    <w:sig w:usb0="00000003" w:usb1="00000000" w:usb2="00000000" w:usb3="00000000" w:csb0="00000001" w:csb1="00000000"/>
  </w:font>
  <w:font w:name="StoneSans-Semibold">
    <w:altName w:val="Cambria"/>
    <w:panose1 w:val="00000000000000000000"/>
    <w:charset w:val="4D"/>
    <w:family w:val="auto"/>
    <w:notTrueType/>
    <w:pitch w:val="default"/>
    <w:sig w:usb0="00000003" w:usb1="00000000" w:usb2="00000000" w:usb3="00000000" w:csb0="00000001" w:csb1="00000000"/>
  </w:font>
  <w:font w:name="Bodoni">
    <w:panose1 w:val="00000000000000000000"/>
    <w:charset w:val="4D"/>
    <w:family w:val="auto"/>
    <w:notTrueType/>
    <w:pitch w:val="default"/>
    <w:sig w:usb0="00000003" w:usb1="00000000" w:usb2="00000000" w:usb3="00000000" w:csb0="00000001" w:csb1="00000000"/>
  </w:font>
  <w:font w:name="TimesNewRomanPS">
    <w:altName w:val="Cambria"/>
    <w:panose1 w:val="00000000000000000000"/>
    <w:charset w:val="00"/>
    <w:family w:val="auto"/>
    <w:notTrueType/>
    <w:pitch w:val="default"/>
    <w:sig w:usb0="00000003" w:usb1="00000000" w:usb2="00000000" w:usb3="00000000" w:csb0="00000001" w:csb1="00000000"/>
  </w:font>
  <w:font w:name="StoneSans">
    <w:altName w:val="Cambria"/>
    <w:panose1 w:val="00000000000000000000"/>
    <w:charset w:val="4D"/>
    <w:family w:val="auto"/>
    <w:notTrueType/>
    <w:pitch w:val="default"/>
    <w:sig w:usb0="00000003" w:usb1="00000000" w:usb2="00000000" w:usb3="00000000" w:csb0="00000001" w:csb1="00000000"/>
  </w:font>
  <w:font w:name="StoneSans-Bold">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D790C"/>
    <w:multiLevelType w:val="hybridMultilevel"/>
    <w:tmpl w:val="A268D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8CE"/>
    <w:rsid w:val="00001F26"/>
    <w:rsid w:val="0011494A"/>
    <w:rsid w:val="00215AC1"/>
    <w:rsid w:val="002F4FFE"/>
    <w:rsid w:val="0031211E"/>
    <w:rsid w:val="0035029A"/>
    <w:rsid w:val="003738CE"/>
    <w:rsid w:val="003E50A0"/>
    <w:rsid w:val="00410070"/>
    <w:rsid w:val="00542651"/>
    <w:rsid w:val="005F3557"/>
    <w:rsid w:val="006A67B8"/>
    <w:rsid w:val="00732381"/>
    <w:rsid w:val="00A139FC"/>
    <w:rsid w:val="00CF46DC"/>
    <w:rsid w:val="00DB29A9"/>
    <w:rsid w:val="00F72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8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738CE"/>
    <w:pPr>
      <w:widowControl w:val="0"/>
      <w:autoSpaceDE w:val="0"/>
      <w:autoSpaceDN w:val="0"/>
      <w:adjustRightInd w:val="0"/>
      <w:spacing w:after="0" w:line="288" w:lineRule="auto"/>
      <w:textAlignment w:val="center"/>
    </w:pPr>
    <w:rPr>
      <w:rFonts w:ascii="Times-Italic" w:eastAsia="Times New Roman" w:hAnsi="Times-Italic" w:cs="Times-Italic"/>
      <w:color w:val="000000"/>
      <w:sz w:val="24"/>
      <w:szCs w:val="24"/>
      <w:lang w:val="en-GB"/>
    </w:rPr>
  </w:style>
  <w:style w:type="paragraph" w:customStyle="1" w:styleId="bchrdnm">
    <w:name w:val="bchrd_nm"/>
    <w:basedOn w:val="NoParagraphStyle"/>
    <w:rsid w:val="003738CE"/>
    <w:pPr>
      <w:pBdr>
        <w:top w:val="single" w:sz="8" w:space="14" w:color="000000"/>
      </w:pBdr>
      <w:spacing w:before="280" w:after="80" w:line="280" w:lineRule="atLeast"/>
    </w:pPr>
    <w:rPr>
      <w:rFonts w:ascii="StoneSans-Semibold" w:hAnsi="StoneSans-Semibold" w:cs="StoneSans-Semibold"/>
      <w:lang w:val="en-US"/>
    </w:rPr>
  </w:style>
  <w:style w:type="paragraph" w:customStyle="1" w:styleId="bchrdtt">
    <w:name w:val="bchrd_tt"/>
    <w:basedOn w:val="NoParagraphStyle"/>
    <w:rsid w:val="003738CE"/>
    <w:pPr>
      <w:tabs>
        <w:tab w:val="right" w:pos="1680"/>
        <w:tab w:val="left" w:pos="2160"/>
      </w:tabs>
      <w:suppressAutoHyphens/>
      <w:spacing w:after="120" w:line="360" w:lineRule="atLeast"/>
    </w:pPr>
    <w:rPr>
      <w:rFonts w:ascii="Bodoni" w:hAnsi="Bodoni" w:cs="Bodoni"/>
      <w:sz w:val="32"/>
      <w:szCs w:val="32"/>
      <w:lang w:val="en-US"/>
    </w:rPr>
  </w:style>
  <w:style w:type="paragraph" w:customStyle="1" w:styleId="bchrdtxfirst">
    <w:name w:val="bchrd_tx_first"/>
    <w:basedOn w:val="NoParagraphStyle"/>
    <w:rsid w:val="003738CE"/>
    <w:pPr>
      <w:spacing w:line="220" w:lineRule="atLeast"/>
      <w:jc w:val="both"/>
    </w:pPr>
    <w:rPr>
      <w:rFonts w:ascii="TimesNewRomanPS" w:hAnsi="TimesNewRomanPS" w:cs="TimesNewRomanPS"/>
      <w:sz w:val="18"/>
      <w:szCs w:val="18"/>
      <w:lang w:val="en-US"/>
    </w:rPr>
  </w:style>
  <w:style w:type="paragraph" w:customStyle="1" w:styleId="bchrdtx">
    <w:name w:val="bchrd_tx"/>
    <w:basedOn w:val="NoParagraphStyle"/>
    <w:rsid w:val="003738CE"/>
    <w:pPr>
      <w:spacing w:line="220" w:lineRule="atLeast"/>
      <w:ind w:firstLine="240"/>
      <w:jc w:val="both"/>
    </w:pPr>
    <w:rPr>
      <w:rFonts w:ascii="TimesNewRomanPS" w:hAnsi="TimesNewRomanPS" w:cs="TimesNewRomanPS"/>
      <w:sz w:val="18"/>
      <w:szCs w:val="18"/>
      <w:lang w:val="en-US"/>
    </w:rPr>
  </w:style>
  <w:style w:type="paragraph" w:customStyle="1" w:styleId="bchrdhb">
    <w:name w:val="bchrd_hb"/>
    <w:basedOn w:val="NoParagraphStyle"/>
    <w:rsid w:val="003738CE"/>
    <w:pPr>
      <w:keepNext/>
      <w:tabs>
        <w:tab w:val="left" w:pos="2160"/>
      </w:tabs>
      <w:suppressAutoHyphens/>
      <w:spacing w:before="80" w:after="80" w:line="280" w:lineRule="atLeast"/>
    </w:pPr>
    <w:rPr>
      <w:rFonts w:ascii="StoneSans-Semibold" w:hAnsi="StoneSans-Semibold" w:cs="StoneSans-Semibold"/>
      <w:lang w:val="en-US"/>
    </w:rPr>
  </w:style>
  <w:style w:type="paragraph" w:customStyle="1" w:styleId="bchrdtxfirst0">
    <w:name w:val="bchrd_tx.first"/>
    <w:basedOn w:val="NoParagraphStyle"/>
    <w:rsid w:val="003738CE"/>
    <w:pPr>
      <w:spacing w:line="220" w:lineRule="atLeast"/>
      <w:jc w:val="both"/>
    </w:pPr>
    <w:rPr>
      <w:rFonts w:ascii="TimesNewRomanPS" w:hAnsi="TimesNewRomanPS" w:cs="TimesNewRomanPS"/>
      <w:sz w:val="18"/>
      <w:szCs w:val="18"/>
      <w:lang w:val="en-US"/>
    </w:rPr>
  </w:style>
  <w:style w:type="paragraph" w:customStyle="1" w:styleId="bchrdfstt">
    <w:name w:val="bchrd_fstt"/>
    <w:basedOn w:val="NoParagraphStyle"/>
    <w:rsid w:val="003738CE"/>
    <w:pPr>
      <w:tabs>
        <w:tab w:val="left" w:pos="2160"/>
      </w:tabs>
      <w:suppressAutoHyphens/>
      <w:spacing w:before="360" w:line="220" w:lineRule="atLeast"/>
      <w:jc w:val="center"/>
    </w:pPr>
    <w:rPr>
      <w:rFonts w:ascii="StoneSans-Semibold" w:hAnsi="StoneSans-Semibold" w:cs="StoneSans-Semibold"/>
      <w:caps/>
      <w:sz w:val="18"/>
      <w:szCs w:val="18"/>
      <w:lang w:val="en-US"/>
    </w:rPr>
  </w:style>
  <w:style w:type="paragraph" w:customStyle="1" w:styleId="bchrdtbtx">
    <w:name w:val="bchrd_tbtx"/>
    <w:basedOn w:val="NoParagraphStyle"/>
    <w:rsid w:val="003738CE"/>
    <w:pPr>
      <w:suppressAutoHyphens/>
      <w:spacing w:line="200" w:lineRule="atLeast"/>
    </w:pPr>
    <w:rPr>
      <w:rFonts w:ascii="StoneSans" w:hAnsi="StoneSans" w:cs="StoneSans"/>
      <w:sz w:val="16"/>
      <w:szCs w:val="16"/>
      <w:lang w:val="en-US"/>
    </w:rPr>
  </w:style>
  <w:style w:type="paragraph" w:customStyle="1" w:styleId="bchtbtx">
    <w:name w:val="bch_tbtx"/>
    <w:basedOn w:val="NoParagraphStyle"/>
    <w:rsid w:val="003738CE"/>
    <w:pPr>
      <w:suppressAutoHyphens/>
      <w:spacing w:after="20" w:line="200" w:lineRule="atLeast"/>
    </w:pPr>
    <w:rPr>
      <w:rFonts w:ascii="StoneSans" w:hAnsi="StoneSans" w:cs="StoneSans"/>
      <w:sz w:val="16"/>
      <w:szCs w:val="16"/>
      <w:lang w:val="en-US"/>
    </w:rPr>
  </w:style>
  <w:style w:type="paragraph" w:customStyle="1" w:styleId="bchrdfsst">
    <w:name w:val="bchrd_fsst"/>
    <w:basedOn w:val="NoParagraphStyle"/>
    <w:rsid w:val="003738CE"/>
    <w:pPr>
      <w:tabs>
        <w:tab w:val="left" w:pos="2160"/>
      </w:tabs>
      <w:suppressAutoHyphens/>
      <w:spacing w:before="20" w:after="160" w:line="200" w:lineRule="atLeast"/>
      <w:jc w:val="center"/>
    </w:pPr>
    <w:rPr>
      <w:rFonts w:ascii="StoneSans-Semibold" w:hAnsi="StoneSans-Semibold" w:cs="StoneSans-Semibold"/>
      <w:sz w:val="16"/>
      <w:szCs w:val="16"/>
      <w:lang w:val="en-US"/>
    </w:rPr>
  </w:style>
  <w:style w:type="paragraph" w:customStyle="1" w:styleId="bchrdtbcn">
    <w:name w:val="bchrd_tbcn"/>
    <w:basedOn w:val="NoParagraphStyle"/>
    <w:rsid w:val="003738CE"/>
    <w:pPr>
      <w:suppressAutoHyphens/>
      <w:spacing w:line="220" w:lineRule="atLeast"/>
    </w:pPr>
    <w:rPr>
      <w:rFonts w:ascii="StoneSans-Semibold" w:hAnsi="StoneSans-Semibold" w:cs="StoneSans-Semibold"/>
      <w:sz w:val="18"/>
      <w:szCs w:val="18"/>
      <w:lang w:val="en-US"/>
    </w:rPr>
  </w:style>
  <w:style w:type="character" w:customStyle="1" w:styleId="rule1">
    <w:name w:val="rule_1"/>
    <w:rsid w:val="003738CE"/>
    <w:rPr>
      <w:u w:val="thick" w:color="000000"/>
    </w:rPr>
  </w:style>
  <w:style w:type="character" w:customStyle="1" w:styleId="UL">
    <w:name w:val="UL"/>
    <w:basedOn w:val="rule1"/>
    <w:rsid w:val="003738CE"/>
    <w:rPr>
      <w:u w:val="thick"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8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738CE"/>
    <w:pPr>
      <w:widowControl w:val="0"/>
      <w:autoSpaceDE w:val="0"/>
      <w:autoSpaceDN w:val="0"/>
      <w:adjustRightInd w:val="0"/>
      <w:spacing w:after="0" w:line="288" w:lineRule="auto"/>
      <w:textAlignment w:val="center"/>
    </w:pPr>
    <w:rPr>
      <w:rFonts w:ascii="Times-Italic" w:eastAsia="Times New Roman" w:hAnsi="Times-Italic" w:cs="Times-Italic"/>
      <w:color w:val="000000"/>
      <w:sz w:val="24"/>
      <w:szCs w:val="24"/>
      <w:lang w:val="en-GB"/>
    </w:rPr>
  </w:style>
  <w:style w:type="paragraph" w:customStyle="1" w:styleId="bchrdnm">
    <w:name w:val="bchrd_nm"/>
    <w:basedOn w:val="NoParagraphStyle"/>
    <w:rsid w:val="003738CE"/>
    <w:pPr>
      <w:pBdr>
        <w:top w:val="single" w:sz="8" w:space="14" w:color="000000"/>
      </w:pBdr>
      <w:spacing w:before="280" w:after="80" w:line="280" w:lineRule="atLeast"/>
    </w:pPr>
    <w:rPr>
      <w:rFonts w:ascii="StoneSans-Semibold" w:hAnsi="StoneSans-Semibold" w:cs="StoneSans-Semibold"/>
      <w:lang w:val="en-US"/>
    </w:rPr>
  </w:style>
  <w:style w:type="paragraph" w:customStyle="1" w:styleId="bchrdtt">
    <w:name w:val="bchrd_tt"/>
    <w:basedOn w:val="NoParagraphStyle"/>
    <w:rsid w:val="003738CE"/>
    <w:pPr>
      <w:tabs>
        <w:tab w:val="right" w:pos="1680"/>
        <w:tab w:val="left" w:pos="2160"/>
      </w:tabs>
      <w:suppressAutoHyphens/>
      <w:spacing w:after="120" w:line="360" w:lineRule="atLeast"/>
    </w:pPr>
    <w:rPr>
      <w:rFonts w:ascii="Bodoni" w:hAnsi="Bodoni" w:cs="Bodoni"/>
      <w:sz w:val="32"/>
      <w:szCs w:val="32"/>
      <w:lang w:val="en-US"/>
    </w:rPr>
  </w:style>
  <w:style w:type="paragraph" w:customStyle="1" w:styleId="bchrdtxfirst">
    <w:name w:val="bchrd_tx_first"/>
    <w:basedOn w:val="NoParagraphStyle"/>
    <w:rsid w:val="003738CE"/>
    <w:pPr>
      <w:spacing w:line="220" w:lineRule="atLeast"/>
      <w:jc w:val="both"/>
    </w:pPr>
    <w:rPr>
      <w:rFonts w:ascii="TimesNewRomanPS" w:hAnsi="TimesNewRomanPS" w:cs="TimesNewRomanPS"/>
      <w:sz w:val="18"/>
      <w:szCs w:val="18"/>
      <w:lang w:val="en-US"/>
    </w:rPr>
  </w:style>
  <w:style w:type="paragraph" w:customStyle="1" w:styleId="bchrdtx">
    <w:name w:val="bchrd_tx"/>
    <w:basedOn w:val="NoParagraphStyle"/>
    <w:rsid w:val="003738CE"/>
    <w:pPr>
      <w:spacing w:line="220" w:lineRule="atLeast"/>
      <w:ind w:firstLine="240"/>
      <w:jc w:val="both"/>
    </w:pPr>
    <w:rPr>
      <w:rFonts w:ascii="TimesNewRomanPS" w:hAnsi="TimesNewRomanPS" w:cs="TimesNewRomanPS"/>
      <w:sz w:val="18"/>
      <w:szCs w:val="18"/>
      <w:lang w:val="en-US"/>
    </w:rPr>
  </w:style>
  <w:style w:type="paragraph" w:customStyle="1" w:styleId="bchrdhb">
    <w:name w:val="bchrd_hb"/>
    <w:basedOn w:val="NoParagraphStyle"/>
    <w:rsid w:val="003738CE"/>
    <w:pPr>
      <w:keepNext/>
      <w:tabs>
        <w:tab w:val="left" w:pos="2160"/>
      </w:tabs>
      <w:suppressAutoHyphens/>
      <w:spacing w:before="80" w:after="80" w:line="280" w:lineRule="atLeast"/>
    </w:pPr>
    <w:rPr>
      <w:rFonts w:ascii="StoneSans-Semibold" w:hAnsi="StoneSans-Semibold" w:cs="StoneSans-Semibold"/>
      <w:lang w:val="en-US"/>
    </w:rPr>
  </w:style>
  <w:style w:type="paragraph" w:customStyle="1" w:styleId="bchrdtxfirst0">
    <w:name w:val="bchrd_tx.first"/>
    <w:basedOn w:val="NoParagraphStyle"/>
    <w:rsid w:val="003738CE"/>
    <w:pPr>
      <w:spacing w:line="220" w:lineRule="atLeast"/>
      <w:jc w:val="both"/>
    </w:pPr>
    <w:rPr>
      <w:rFonts w:ascii="TimesNewRomanPS" w:hAnsi="TimesNewRomanPS" w:cs="TimesNewRomanPS"/>
      <w:sz w:val="18"/>
      <w:szCs w:val="18"/>
      <w:lang w:val="en-US"/>
    </w:rPr>
  </w:style>
  <w:style w:type="paragraph" w:customStyle="1" w:styleId="bchrdfstt">
    <w:name w:val="bchrd_fstt"/>
    <w:basedOn w:val="NoParagraphStyle"/>
    <w:rsid w:val="003738CE"/>
    <w:pPr>
      <w:tabs>
        <w:tab w:val="left" w:pos="2160"/>
      </w:tabs>
      <w:suppressAutoHyphens/>
      <w:spacing w:before="360" w:line="220" w:lineRule="atLeast"/>
      <w:jc w:val="center"/>
    </w:pPr>
    <w:rPr>
      <w:rFonts w:ascii="StoneSans-Semibold" w:hAnsi="StoneSans-Semibold" w:cs="StoneSans-Semibold"/>
      <w:caps/>
      <w:sz w:val="18"/>
      <w:szCs w:val="18"/>
      <w:lang w:val="en-US"/>
    </w:rPr>
  </w:style>
  <w:style w:type="paragraph" w:customStyle="1" w:styleId="bchrdtbtx">
    <w:name w:val="bchrd_tbtx"/>
    <w:basedOn w:val="NoParagraphStyle"/>
    <w:rsid w:val="003738CE"/>
    <w:pPr>
      <w:suppressAutoHyphens/>
      <w:spacing w:line="200" w:lineRule="atLeast"/>
    </w:pPr>
    <w:rPr>
      <w:rFonts w:ascii="StoneSans" w:hAnsi="StoneSans" w:cs="StoneSans"/>
      <w:sz w:val="16"/>
      <w:szCs w:val="16"/>
      <w:lang w:val="en-US"/>
    </w:rPr>
  </w:style>
  <w:style w:type="paragraph" w:customStyle="1" w:styleId="bchtbtx">
    <w:name w:val="bch_tbtx"/>
    <w:basedOn w:val="NoParagraphStyle"/>
    <w:rsid w:val="003738CE"/>
    <w:pPr>
      <w:suppressAutoHyphens/>
      <w:spacing w:after="20" w:line="200" w:lineRule="atLeast"/>
    </w:pPr>
    <w:rPr>
      <w:rFonts w:ascii="StoneSans" w:hAnsi="StoneSans" w:cs="StoneSans"/>
      <w:sz w:val="16"/>
      <w:szCs w:val="16"/>
      <w:lang w:val="en-US"/>
    </w:rPr>
  </w:style>
  <w:style w:type="paragraph" w:customStyle="1" w:styleId="bchrdfsst">
    <w:name w:val="bchrd_fsst"/>
    <w:basedOn w:val="NoParagraphStyle"/>
    <w:rsid w:val="003738CE"/>
    <w:pPr>
      <w:tabs>
        <w:tab w:val="left" w:pos="2160"/>
      </w:tabs>
      <w:suppressAutoHyphens/>
      <w:spacing w:before="20" w:after="160" w:line="200" w:lineRule="atLeast"/>
      <w:jc w:val="center"/>
    </w:pPr>
    <w:rPr>
      <w:rFonts w:ascii="StoneSans-Semibold" w:hAnsi="StoneSans-Semibold" w:cs="StoneSans-Semibold"/>
      <w:sz w:val="16"/>
      <w:szCs w:val="16"/>
      <w:lang w:val="en-US"/>
    </w:rPr>
  </w:style>
  <w:style w:type="paragraph" w:customStyle="1" w:styleId="bchrdtbcn">
    <w:name w:val="bchrd_tbcn"/>
    <w:basedOn w:val="NoParagraphStyle"/>
    <w:rsid w:val="003738CE"/>
    <w:pPr>
      <w:suppressAutoHyphens/>
      <w:spacing w:line="220" w:lineRule="atLeast"/>
    </w:pPr>
    <w:rPr>
      <w:rFonts w:ascii="StoneSans-Semibold" w:hAnsi="StoneSans-Semibold" w:cs="StoneSans-Semibold"/>
      <w:sz w:val="18"/>
      <w:szCs w:val="18"/>
      <w:lang w:val="en-US"/>
    </w:rPr>
  </w:style>
  <w:style w:type="character" w:customStyle="1" w:styleId="rule1">
    <w:name w:val="rule_1"/>
    <w:rsid w:val="003738CE"/>
    <w:rPr>
      <w:u w:val="thick" w:color="000000"/>
    </w:rPr>
  </w:style>
  <w:style w:type="character" w:customStyle="1" w:styleId="UL">
    <w:name w:val="UL"/>
    <w:basedOn w:val="rule1"/>
    <w:rsid w:val="003738CE"/>
    <w:rPr>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2229</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14906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2013-07-27T16:51:00Z</dcterms:created>
  <dcterms:modified xsi:type="dcterms:W3CDTF">2013-07-27T16:51:00Z</dcterms:modified>
</cp:coreProperties>
</file>