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792" w:rsidRPr="00E73E6A" w:rsidRDefault="00682572">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rPr>
          <w:b/>
          <w:sz w:val="32"/>
        </w:rPr>
      </w:pPr>
      <w:r w:rsidRPr="00E73E6A">
        <w:rPr>
          <w:b/>
          <w:noProof/>
          <w:sz w:val="32"/>
        </w:rPr>
        <mc:AlternateContent>
          <mc:Choice Requires="wps">
            <w:drawing>
              <wp:anchor distT="0" distB="0" distL="114300" distR="114300" simplePos="0" relativeHeight="251659776" behindDoc="0" locked="0" layoutInCell="0" allowOverlap="1" wp14:anchorId="5D71A18E" wp14:editId="6B4FA6BD">
                <wp:simplePos x="0" y="0"/>
                <wp:positionH relativeFrom="column">
                  <wp:posOffset>-4445</wp:posOffset>
                </wp:positionH>
                <wp:positionV relativeFrom="paragraph">
                  <wp:posOffset>548005</wp:posOffset>
                </wp:positionV>
                <wp:extent cx="5436870" cy="0"/>
                <wp:effectExtent l="0" t="0" r="0" b="0"/>
                <wp:wrapTopAndBottom/>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3.15pt" to="427.75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hZV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NF6ExvXAEBldraUBs9qVfzrOl3h5SuWqL2PDJ8OxtIy0JG8i4lbJwB/F3/RTOIIQevY5tO&#10;je0CJDQAnaIa55sa/OQRhcNp/jCbP4JodPAlpBgSjXX+M9cdCkaJJXCOwOT47HwgQoohJNyj9EZI&#10;GcWWCvUlXkwn05jgtBQsOEOYs/tdJS06kjAu8YtVgec+zOqDYhGs5YStr7YnQl5suFyqgAelAJ2r&#10;dZmHH4t0sZ6v5/kon8zWozyt69GnTZWPZpvscVo/1FVVZz8DtSwvWsEYV4HdMJtZ/nfaX1/JZapu&#10;03lrQ/IePfYLyA7/SDpqGeS7DMJOs/PWDhrDOMbg69MJ836/B/v+ga9+AQAA//8DAFBLAwQUAAYA&#10;CAAAACEAXcmMvdsAAAAHAQAADwAAAGRycy9kb3ducmV2LnhtbEyOzU7DMBCE70i8g7VIXKrWoVVK&#10;FLKpEJAbFwqI6zZekoh4ncZuG3h6jDjAcX408xWbyfbqyKPvnCBcLRJQLLUznTQIL8/VPAPlA4mh&#10;3gkjfLKHTXl+VlBu3Eme+LgNjYoj4nNCaEMYcq193bIlv3ADS8ze3WgpRDk22ox0iuO218skWWtL&#10;ncSHlga+a7n+2B4sgq9eeV99zepZ8rZqHC/3948PhHh5Md3egAo8hb8y/OBHdCgj084dxHjVI8yv&#10;YxEhW69AxThL0xTU7tfQZaH/85ffAAAA//8DAFBLAQItABQABgAIAAAAIQC2gziS/gAAAOEBAAAT&#10;AAAAAAAAAAAAAAAAAAAAAABbQ29udGVudF9UeXBlc10ueG1sUEsBAi0AFAAGAAgAAAAhADj9If/W&#10;AAAAlAEAAAsAAAAAAAAAAAAAAAAALwEAAF9yZWxzLy5yZWxzUEsBAi0AFAAGAAgAAAAhAJ6mFlUS&#10;AgAAKAQAAA4AAAAAAAAAAAAAAAAALgIAAGRycy9lMm9Eb2MueG1sUEsBAi0AFAAGAAgAAAAhAF3J&#10;jL3bAAAABwEAAA8AAAAAAAAAAAAAAAAAbAQAAGRycy9kb3ducmV2LnhtbFBLBQYAAAAABAAEAPMA&#10;AAB0BQAAAAA=&#10;" o:allowincell="f">
                <w10:wrap type="topAndBottom"/>
              </v:line>
            </w:pict>
          </mc:Fallback>
        </mc:AlternateContent>
      </w:r>
      <w:r w:rsidR="003D6792" w:rsidRPr="00E73E6A">
        <w:rPr>
          <w:b/>
          <w:sz w:val="32"/>
        </w:rPr>
        <w:t xml:space="preserve">Chapter </w:t>
      </w:r>
      <w:r w:rsidR="006E581C">
        <w:rPr>
          <w:b/>
          <w:sz w:val="32"/>
        </w:rPr>
        <w:t>3</w:t>
      </w:r>
    </w:p>
    <w:p w:rsidR="00F43948" w:rsidRPr="00226C98" w:rsidRDefault="00226C98" w:rsidP="00F43948">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b/>
          <w:color w:val="000000"/>
          <w:sz w:val="32"/>
        </w:rPr>
      </w:pPr>
      <w:r w:rsidRPr="00226C98">
        <w:rPr>
          <w:b/>
          <w:color w:val="000000"/>
          <w:sz w:val="32"/>
        </w:rPr>
        <w:t>Data Visualization</w:t>
      </w:r>
    </w:p>
    <w:p w:rsidR="00F43948" w:rsidRDefault="00F43948" w:rsidP="00F43948">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226C98" w:rsidRPr="00E73E6A" w:rsidRDefault="00226C98" w:rsidP="00226C98">
      <w:pPr>
        <w:tabs>
          <w:tab w:val="left" w:pos="-936"/>
          <w:tab w:val="left" w:pos="504"/>
          <w:tab w:val="left" w:pos="904"/>
          <w:tab w:val="left" w:pos="1264"/>
          <w:tab w:val="left" w:pos="1784"/>
          <w:tab w:val="left" w:pos="2024"/>
          <w:tab w:val="left" w:pos="2384"/>
          <w:tab w:val="left" w:pos="3124"/>
          <w:tab w:val="left" w:pos="3484"/>
          <w:tab w:val="left" w:pos="4324"/>
          <w:tab w:val="left" w:pos="4704"/>
          <w:tab w:val="left" w:pos="5464"/>
          <w:tab w:val="left" w:pos="5904"/>
          <w:tab w:val="left" w:pos="6764"/>
          <w:tab w:val="left" w:pos="7184"/>
          <w:tab w:val="left" w:pos="9864"/>
          <w:tab w:val="left" w:pos="10584"/>
          <w:tab w:val="left" w:pos="11304"/>
          <w:tab w:val="left" w:pos="12024"/>
        </w:tabs>
        <w:spacing w:line="240" w:lineRule="atLeast"/>
        <w:rPr>
          <w:b/>
          <w:sz w:val="32"/>
        </w:rPr>
      </w:pPr>
      <w:r>
        <w:rPr>
          <w:rFonts w:ascii="Times" w:hAnsi="Times"/>
          <w:b/>
          <w:color w:val="000000"/>
          <w:sz w:val="24"/>
        </w:rPr>
        <w:t xml:space="preserve">Case Problem:  </w:t>
      </w:r>
      <w:r w:rsidRPr="006E581C">
        <w:rPr>
          <w:rFonts w:ascii="Times" w:hAnsi="Times"/>
          <w:b/>
          <w:color w:val="000000"/>
          <w:sz w:val="24"/>
        </w:rPr>
        <w:t>All-Time Movie Box Office Data</w:t>
      </w:r>
    </w:p>
    <w:p w:rsidR="00226C98" w:rsidRDefault="00226C98" w:rsidP="00226C98">
      <w:pPr>
        <w:pStyle w:val="NL11"/>
        <w:tabs>
          <w:tab w:val="clear" w:pos="2640"/>
        </w:tabs>
        <w:spacing w:before="0" w:line="240" w:lineRule="auto"/>
        <w:ind w:left="900"/>
        <w:jc w:val="left"/>
        <w:rPr>
          <w:rStyle w:val="NL1"/>
          <w:bCs/>
        </w:rPr>
      </w:pPr>
    </w:p>
    <w:p w:rsidR="00217278" w:rsidRDefault="00217278" w:rsidP="00217278">
      <w:pPr>
        <w:pStyle w:val="NL11"/>
        <w:numPr>
          <w:ilvl w:val="0"/>
          <w:numId w:val="2"/>
        </w:numPr>
        <w:tabs>
          <w:tab w:val="clear" w:pos="2640"/>
        </w:tabs>
        <w:spacing w:before="0" w:line="240" w:lineRule="auto"/>
        <w:jc w:val="left"/>
        <w:rPr>
          <w:rStyle w:val="NL1"/>
          <w:bCs/>
        </w:rPr>
      </w:pPr>
      <w:r>
        <w:rPr>
          <w:rStyle w:val="NL1"/>
          <w:bCs/>
        </w:rPr>
        <w:t>A scatter chart showing the relationship between year released and inflation-adjusted U.S. box office receipts is shown below.</w:t>
      </w:r>
    </w:p>
    <w:p w:rsidR="00217278" w:rsidRDefault="00217278" w:rsidP="00217278">
      <w:pPr>
        <w:pStyle w:val="NL11"/>
        <w:tabs>
          <w:tab w:val="clear" w:pos="2640"/>
        </w:tabs>
        <w:spacing w:before="0" w:line="240" w:lineRule="auto"/>
        <w:ind w:left="0"/>
        <w:jc w:val="left"/>
        <w:rPr>
          <w:rStyle w:val="NL1"/>
          <w:bCs/>
        </w:rPr>
      </w:pPr>
    </w:p>
    <w:p w:rsidR="00217278" w:rsidRDefault="00217278" w:rsidP="00BA4D4F">
      <w:pPr>
        <w:pStyle w:val="NL11"/>
        <w:tabs>
          <w:tab w:val="clear" w:pos="2640"/>
        </w:tabs>
        <w:spacing w:before="0" w:line="240" w:lineRule="auto"/>
        <w:ind w:left="0" w:firstLine="540"/>
        <w:jc w:val="center"/>
        <w:rPr>
          <w:rStyle w:val="NL1"/>
          <w:bCs/>
        </w:rPr>
      </w:pPr>
      <w:r w:rsidRPr="00217278">
        <w:rPr>
          <w:rStyle w:val="NL1"/>
        </w:rPr>
        <w:drawing>
          <wp:inline distT="0" distB="0" distL="0" distR="0">
            <wp:extent cx="4620905" cy="2390771"/>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25439" cy="2393117"/>
                    </a:xfrm>
                    <a:prstGeom prst="rect">
                      <a:avLst/>
                    </a:prstGeom>
                    <a:noFill/>
                    <a:ln>
                      <a:noFill/>
                    </a:ln>
                  </pic:spPr>
                </pic:pic>
              </a:graphicData>
            </a:graphic>
          </wp:inline>
        </w:drawing>
      </w:r>
    </w:p>
    <w:p w:rsidR="00217278" w:rsidRDefault="00217278" w:rsidP="00217278">
      <w:pPr>
        <w:pStyle w:val="NL11"/>
        <w:tabs>
          <w:tab w:val="clear" w:pos="2640"/>
        </w:tabs>
        <w:spacing w:before="0" w:line="240" w:lineRule="auto"/>
        <w:ind w:left="0"/>
        <w:jc w:val="left"/>
        <w:rPr>
          <w:rStyle w:val="NL1"/>
          <w:bCs/>
        </w:rPr>
      </w:pPr>
    </w:p>
    <w:p w:rsidR="000D248C" w:rsidRDefault="00217278" w:rsidP="00217278">
      <w:pPr>
        <w:pStyle w:val="NL11"/>
        <w:tabs>
          <w:tab w:val="clear" w:pos="2640"/>
        </w:tabs>
        <w:spacing w:before="0" w:line="240" w:lineRule="auto"/>
        <w:ind w:left="900"/>
        <w:jc w:val="left"/>
        <w:rPr>
          <w:rStyle w:val="NL1"/>
          <w:bCs/>
        </w:rPr>
      </w:pPr>
      <w:r>
        <w:rPr>
          <w:rStyle w:val="NL1"/>
          <w:bCs/>
        </w:rPr>
        <w:t xml:space="preserve">This scatter chart indicates that box office receipts for the Top 50 movies have been </w:t>
      </w:r>
      <w:r w:rsidR="000D248C">
        <w:rPr>
          <w:rStyle w:val="NL1"/>
          <w:bCs/>
        </w:rPr>
        <w:t xml:space="preserve">relatively flat to slightly </w:t>
      </w:r>
      <w:r>
        <w:rPr>
          <w:rStyle w:val="NL1"/>
          <w:bCs/>
        </w:rPr>
        <w:t xml:space="preserve">declining over time (adjusted for inflation). </w:t>
      </w:r>
      <w:r w:rsidR="000D248C">
        <w:rPr>
          <w:rStyle w:val="NL1"/>
          <w:bCs/>
        </w:rPr>
        <w:t xml:space="preserve">The value for Gone with the Wind is somewhat of an outlier here, but even if we remove Gone with the Wind, the trend is flat to slightly decreasing. </w:t>
      </w:r>
      <w:r>
        <w:rPr>
          <w:rStyle w:val="NL1"/>
          <w:bCs/>
        </w:rPr>
        <w:t xml:space="preserve">Because this represents the receipts for top movies, this </w:t>
      </w:r>
      <w:r w:rsidR="000D248C">
        <w:rPr>
          <w:rStyle w:val="NL1"/>
          <w:bCs/>
        </w:rPr>
        <w:t>seems to indicate that either the total revenues of box office movies are not increasing over time or that there is greater competition for box-office recepits among movies so the top movies are not dominating the total box-office receipts.</w:t>
      </w:r>
    </w:p>
    <w:p w:rsidR="00217278" w:rsidRDefault="00217278" w:rsidP="00217278">
      <w:pPr>
        <w:pStyle w:val="NL11"/>
        <w:tabs>
          <w:tab w:val="clear" w:pos="2640"/>
        </w:tabs>
        <w:spacing w:before="0" w:line="240" w:lineRule="auto"/>
        <w:ind w:left="540"/>
        <w:jc w:val="left"/>
        <w:rPr>
          <w:rStyle w:val="NL1"/>
          <w:bCs/>
        </w:rPr>
      </w:pPr>
      <w:r>
        <w:rPr>
          <w:rStyle w:val="NL1"/>
          <w:bCs/>
        </w:rPr>
        <w:tab/>
      </w:r>
    </w:p>
    <w:p w:rsidR="00217278" w:rsidRDefault="00217278" w:rsidP="00217278">
      <w:pPr>
        <w:pStyle w:val="NL11"/>
        <w:numPr>
          <w:ilvl w:val="0"/>
          <w:numId w:val="2"/>
        </w:numPr>
        <w:tabs>
          <w:tab w:val="clear" w:pos="2640"/>
        </w:tabs>
        <w:spacing w:before="0" w:line="240" w:lineRule="auto"/>
        <w:jc w:val="left"/>
        <w:rPr>
          <w:rStyle w:val="NL1"/>
          <w:bCs/>
        </w:rPr>
      </w:pPr>
      <w:r>
        <w:rPr>
          <w:rStyle w:val="NL1"/>
          <w:bCs/>
        </w:rPr>
        <w:t>A scatter chart showing the relationship between budget and world box office receipts appears below.</w:t>
      </w:r>
    </w:p>
    <w:p w:rsidR="00217278" w:rsidRDefault="00217278" w:rsidP="00217278">
      <w:pPr>
        <w:pStyle w:val="NL11"/>
        <w:tabs>
          <w:tab w:val="clear" w:pos="2640"/>
        </w:tabs>
        <w:spacing w:before="0" w:line="240" w:lineRule="auto"/>
        <w:ind w:left="900"/>
        <w:jc w:val="left"/>
        <w:rPr>
          <w:rStyle w:val="NL1"/>
          <w:bCs/>
        </w:rPr>
      </w:pPr>
    </w:p>
    <w:p w:rsidR="00217278" w:rsidRDefault="00217278" w:rsidP="00217278">
      <w:pPr>
        <w:pStyle w:val="NL11"/>
        <w:tabs>
          <w:tab w:val="clear" w:pos="2640"/>
        </w:tabs>
        <w:spacing w:before="0" w:line="240" w:lineRule="auto"/>
        <w:ind w:left="900"/>
        <w:jc w:val="left"/>
        <w:rPr>
          <w:rStyle w:val="NL1"/>
          <w:bCs/>
        </w:rPr>
      </w:pPr>
      <w:r w:rsidRPr="00217278">
        <w:rPr>
          <w:rStyle w:val="NL1"/>
        </w:rPr>
        <w:lastRenderedPageBreak/>
        <w:drawing>
          <wp:inline distT="0" distB="0" distL="0" distR="0">
            <wp:extent cx="4581525" cy="274701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81525" cy="2747010"/>
                    </a:xfrm>
                    <a:prstGeom prst="rect">
                      <a:avLst/>
                    </a:prstGeom>
                    <a:noFill/>
                    <a:ln>
                      <a:noFill/>
                    </a:ln>
                  </pic:spPr>
                </pic:pic>
              </a:graphicData>
            </a:graphic>
          </wp:inline>
        </w:drawing>
      </w:r>
    </w:p>
    <w:p w:rsidR="00217278" w:rsidRDefault="00217278" w:rsidP="00217278">
      <w:pPr>
        <w:pStyle w:val="NL11"/>
        <w:tabs>
          <w:tab w:val="clear" w:pos="2640"/>
        </w:tabs>
        <w:spacing w:before="0" w:line="240" w:lineRule="auto"/>
        <w:ind w:left="900"/>
        <w:jc w:val="left"/>
        <w:rPr>
          <w:rStyle w:val="NL1"/>
          <w:bCs/>
        </w:rPr>
      </w:pPr>
    </w:p>
    <w:p w:rsidR="00217278" w:rsidRDefault="00217278" w:rsidP="00217278">
      <w:pPr>
        <w:pStyle w:val="NL11"/>
        <w:tabs>
          <w:tab w:val="clear" w:pos="2640"/>
        </w:tabs>
        <w:spacing w:before="0" w:line="240" w:lineRule="auto"/>
        <w:ind w:left="900"/>
        <w:jc w:val="left"/>
        <w:rPr>
          <w:rStyle w:val="NL1"/>
          <w:bCs/>
        </w:rPr>
      </w:pPr>
    </w:p>
    <w:p w:rsidR="00217278" w:rsidRDefault="00BA4D4F" w:rsidP="00217278">
      <w:pPr>
        <w:pStyle w:val="NL11"/>
        <w:tabs>
          <w:tab w:val="clear" w:pos="2640"/>
        </w:tabs>
        <w:spacing w:before="0" w:line="240" w:lineRule="auto"/>
        <w:ind w:left="900"/>
        <w:jc w:val="left"/>
        <w:rPr>
          <w:rStyle w:val="NL1"/>
          <w:bCs/>
        </w:rPr>
      </w:pPr>
      <w:r>
        <w:rPr>
          <w:rStyle w:val="NL1"/>
          <w:bCs/>
        </w:rPr>
        <w:t>This scatter chart seems to clear</w:t>
      </w:r>
      <w:r w:rsidR="000D248C">
        <w:rPr>
          <w:rStyle w:val="NL1"/>
          <w:bCs/>
        </w:rPr>
        <w:t>y</w:t>
      </w:r>
      <w:r>
        <w:rPr>
          <w:rStyle w:val="NL1"/>
          <w:bCs/>
        </w:rPr>
        <w:t xml:space="preserve"> show a positive relation between budget and world box office receipts. Top 50 movies with larger budgets appear to be correlated with higher box office receipts. Some of this relation may be driven by the fact that movie studios need to recoup their investment so movies with larger production budgets also receive greater marketing budgets and receive wider releases which lead to greater box office receipts, particularly worldwide.</w:t>
      </w:r>
    </w:p>
    <w:p w:rsidR="00597121" w:rsidRDefault="00597121" w:rsidP="00597121">
      <w:pPr>
        <w:pStyle w:val="NL11"/>
        <w:tabs>
          <w:tab w:val="clear" w:pos="2640"/>
        </w:tabs>
        <w:spacing w:before="0" w:line="240" w:lineRule="auto"/>
        <w:ind w:left="0"/>
        <w:jc w:val="left"/>
        <w:rPr>
          <w:rStyle w:val="NL1"/>
          <w:bCs/>
        </w:rPr>
      </w:pPr>
    </w:p>
    <w:p w:rsidR="00597121" w:rsidRDefault="00597121" w:rsidP="00597121">
      <w:pPr>
        <w:pStyle w:val="NL11"/>
        <w:numPr>
          <w:ilvl w:val="0"/>
          <w:numId w:val="2"/>
        </w:numPr>
        <w:tabs>
          <w:tab w:val="clear" w:pos="2640"/>
        </w:tabs>
        <w:spacing w:before="0" w:line="240" w:lineRule="auto"/>
        <w:jc w:val="left"/>
        <w:rPr>
          <w:rStyle w:val="NL1"/>
          <w:bCs/>
        </w:rPr>
      </w:pPr>
    </w:p>
    <w:p w:rsidR="00BA4D4F" w:rsidRDefault="00BA4D4F" w:rsidP="00217278">
      <w:pPr>
        <w:pStyle w:val="NL11"/>
        <w:tabs>
          <w:tab w:val="clear" w:pos="2640"/>
        </w:tabs>
        <w:spacing w:before="0" w:line="240" w:lineRule="auto"/>
        <w:ind w:left="900"/>
        <w:jc w:val="left"/>
        <w:rPr>
          <w:rStyle w:val="NL1"/>
          <w:bCs/>
        </w:rPr>
      </w:pPr>
    </w:p>
    <w:tbl>
      <w:tblPr>
        <w:tblW w:w="4760" w:type="dxa"/>
        <w:jc w:val="center"/>
        <w:tblLook w:val="04A0" w:firstRow="1" w:lastRow="0" w:firstColumn="1" w:lastColumn="0" w:noHBand="0" w:noVBand="1"/>
      </w:tblPr>
      <w:tblGrid>
        <w:gridCol w:w="2166"/>
        <w:gridCol w:w="1316"/>
        <w:gridCol w:w="1278"/>
      </w:tblGrid>
      <w:tr w:rsidR="003044B6" w:rsidRPr="003044B6" w:rsidTr="003044B6">
        <w:trPr>
          <w:trHeight w:val="945"/>
          <w:jc w:val="center"/>
        </w:trPr>
        <w:tc>
          <w:tcPr>
            <w:tcW w:w="2166" w:type="dxa"/>
            <w:tcBorders>
              <w:top w:val="nil"/>
              <w:left w:val="nil"/>
              <w:bottom w:val="single" w:sz="4" w:space="0" w:color="auto"/>
              <w:right w:val="nil"/>
            </w:tcBorders>
            <w:shd w:val="clear" w:color="auto" w:fill="auto"/>
            <w:vAlign w:val="bottom"/>
            <w:hideMark/>
          </w:tcPr>
          <w:p w:rsidR="003044B6" w:rsidRPr="003044B6" w:rsidRDefault="003044B6" w:rsidP="003044B6">
            <w:pPr>
              <w:rPr>
                <w:b/>
                <w:bCs/>
              </w:rPr>
            </w:pPr>
            <w:r w:rsidRPr="003044B6">
              <w:rPr>
                <w:b/>
                <w:bCs/>
              </w:rPr>
              <w:t>U.S. Box Office Receipts (Inflation Adjusted Millions $)</w:t>
            </w:r>
          </w:p>
        </w:tc>
        <w:tc>
          <w:tcPr>
            <w:tcW w:w="1316" w:type="dxa"/>
            <w:tcBorders>
              <w:top w:val="nil"/>
              <w:left w:val="nil"/>
              <w:bottom w:val="single" w:sz="4" w:space="0" w:color="auto"/>
              <w:right w:val="nil"/>
            </w:tcBorders>
            <w:shd w:val="clear" w:color="auto" w:fill="auto"/>
            <w:noWrap/>
            <w:vAlign w:val="bottom"/>
            <w:hideMark/>
          </w:tcPr>
          <w:p w:rsidR="003044B6" w:rsidRPr="003044B6" w:rsidRDefault="003044B6" w:rsidP="003044B6">
            <w:pPr>
              <w:rPr>
                <w:b/>
                <w:bCs/>
              </w:rPr>
            </w:pPr>
            <w:r w:rsidRPr="003044B6">
              <w:rPr>
                <w:b/>
                <w:bCs/>
              </w:rPr>
              <w:t>Frequency</w:t>
            </w:r>
          </w:p>
        </w:tc>
        <w:tc>
          <w:tcPr>
            <w:tcW w:w="1278" w:type="dxa"/>
            <w:tcBorders>
              <w:top w:val="nil"/>
              <w:left w:val="nil"/>
              <w:bottom w:val="single" w:sz="4" w:space="0" w:color="auto"/>
              <w:right w:val="nil"/>
            </w:tcBorders>
            <w:shd w:val="clear" w:color="auto" w:fill="auto"/>
            <w:vAlign w:val="bottom"/>
            <w:hideMark/>
          </w:tcPr>
          <w:p w:rsidR="003044B6" w:rsidRPr="003044B6" w:rsidRDefault="003044B6" w:rsidP="003044B6">
            <w:pPr>
              <w:rPr>
                <w:b/>
                <w:bCs/>
              </w:rPr>
            </w:pPr>
            <w:r w:rsidRPr="003044B6">
              <w:rPr>
                <w:b/>
                <w:bCs/>
              </w:rPr>
              <w:t>Percent Frequency</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&lt; 400</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0</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0%</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400-499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3</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6%</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500-599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19</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38%</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600-699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9</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18%</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700-799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5</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10%</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800-899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6</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12%</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900-999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1</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2%</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1000-1099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3</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6%</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1100-1199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2</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4%</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1200-1299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0</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0%</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1300-1399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0</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0%</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1400-1499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1</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2%</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1500-1599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0</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0%</w:t>
            </w:r>
          </w:p>
        </w:tc>
      </w:tr>
      <w:tr w:rsidR="003044B6" w:rsidRPr="003044B6" w:rsidTr="003044B6">
        <w:trPr>
          <w:trHeight w:val="315"/>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r w:rsidRPr="003044B6">
              <w:t>1600-1699</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1</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2%</w:t>
            </w:r>
          </w:p>
        </w:tc>
      </w:tr>
      <w:tr w:rsidR="003044B6" w:rsidRPr="003044B6" w:rsidTr="003044B6">
        <w:trPr>
          <w:trHeight w:val="315"/>
          <w:jc w:val="center"/>
        </w:trPr>
        <w:tc>
          <w:tcPr>
            <w:tcW w:w="2166" w:type="dxa"/>
            <w:tcBorders>
              <w:top w:val="nil"/>
              <w:left w:val="nil"/>
              <w:bottom w:val="single" w:sz="4" w:space="0" w:color="auto"/>
              <w:right w:val="nil"/>
            </w:tcBorders>
            <w:shd w:val="clear" w:color="auto" w:fill="auto"/>
            <w:noWrap/>
            <w:vAlign w:val="bottom"/>
            <w:hideMark/>
          </w:tcPr>
          <w:p w:rsidR="003044B6" w:rsidRPr="003044B6" w:rsidRDefault="003044B6" w:rsidP="003044B6">
            <w:r w:rsidRPr="003044B6">
              <w:t>&gt; 1700</w:t>
            </w:r>
          </w:p>
        </w:tc>
        <w:tc>
          <w:tcPr>
            <w:tcW w:w="1316" w:type="dxa"/>
            <w:tcBorders>
              <w:top w:val="nil"/>
              <w:left w:val="nil"/>
              <w:bottom w:val="single" w:sz="4" w:space="0" w:color="auto"/>
              <w:right w:val="nil"/>
            </w:tcBorders>
            <w:shd w:val="clear" w:color="auto" w:fill="auto"/>
            <w:noWrap/>
            <w:vAlign w:val="bottom"/>
            <w:hideMark/>
          </w:tcPr>
          <w:p w:rsidR="003044B6" w:rsidRPr="003044B6" w:rsidRDefault="003044B6" w:rsidP="003044B6">
            <w:pPr>
              <w:jc w:val="right"/>
            </w:pPr>
            <w:r w:rsidRPr="003044B6">
              <w:t>0</w:t>
            </w:r>
          </w:p>
        </w:tc>
        <w:tc>
          <w:tcPr>
            <w:tcW w:w="1278" w:type="dxa"/>
            <w:tcBorders>
              <w:top w:val="nil"/>
              <w:left w:val="nil"/>
              <w:bottom w:val="single" w:sz="4" w:space="0" w:color="auto"/>
              <w:right w:val="nil"/>
            </w:tcBorders>
            <w:shd w:val="clear" w:color="auto" w:fill="auto"/>
            <w:noWrap/>
            <w:vAlign w:val="bottom"/>
            <w:hideMark/>
          </w:tcPr>
          <w:p w:rsidR="003044B6" w:rsidRPr="003044B6" w:rsidRDefault="003044B6" w:rsidP="003044B6">
            <w:pPr>
              <w:jc w:val="right"/>
            </w:pPr>
            <w:r w:rsidRPr="003044B6">
              <w:t>0%</w:t>
            </w:r>
          </w:p>
        </w:tc>
      </w:tr>
      <w:tr w:rsidR="003044B6" w:rsidRPr="003044B6" w:rsidTr="003044B6">
        <w:trPr>
          <w:trHeight w:val="330"/>
          <w:jc w:val="center"/>
        </w:trPr>
        <w:tc>
          <w:tcPr>
            <w:tcW w:w="216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 xml:space="preserve">Total: </w:t>
            </w:r>
          </w:p>
        </w:tc>
        <w:tc>
          <w:tcPr>
            <w:tcW w:w="1316"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50</w:t>
            </w:r>
          </w:p>
        </w:tc>
        <w:tc>
          <w:tcPr>
            <w:tcW w:w="1278" w:type="dxa"/>
            <w:tcBorders>
              <w:top w:val="nil"/>
              <w:left w:val="nil"/>
              <w:bottom w:val="nil"/>
              <w:right w:val="nil"/>
            </w:tcBorders>
            <w:shd w:val="clear" w:color="auto" w:fill="auto"/>
            <w:noWrap/>
            <w:vAlign w:val="bottom"/>
            <w:hideMark/>
          </w:tcPr>
          <w:p w:rsidR="003044B6" w:rsidRPr="003044B6" w:rsidRDefault="003044B6" w:rsidP="003044B6">
            <w:pPr>
              <w:jc w:val="right"/>
            </w:pPr>
            <w:r w:rsidRPr="003044B6">
              <w:t>100%</w:t>
            </w:r>
          </w:p>
        </w:tc>
      </w:tr>
    </w:tbl>
    <w:p w:rsidR="003044B6" w:rsidRDefault="003044B6" w:rsidP="00217278">
      <w:pPr>
        <w:pStyle w:val="NL11"/>
        <w:tabs>
          <w:tab w:val="clear" w:pos="2640"/>
        </w:tabs>
        <w:spacing w:before="0" w:line="240" w:lineRule="auto"/>
        <w:ind w:left="900"/>
        <w:jc w:val="left"/>
        <w:rPr>
          <w:rStyle w:val="NL1"/>
          <w:bCs/>
        </w:rPr>
      </w:pPr>
    </w:p>
    <w:p w:rsidR="003044B6" w:rsidRDefault="003044B6" w:rsidP="00217278">
      <w:pPr>
        <w:pStyle w:val="NL11"/>
        <w:tabs>
          <w:tab w:val="clear" w:pos="2640"/>
        </w:tabs>
        <w:spacing w:before="0" w:line="240" w:lineRule="auto"/>
        <w:ind w:left="900"/>
        <w:jc w:val="left"/>
        <w:rPr>
          <w:rStyle w:val="NL1"/>
          <w:bCs/>
        </w:rPr>
      </w:pPr>
      <w:r w:rsidRPr="003044B6">
        <w:rPr>
          <w:rStyle w:val="NL1"/>
        </w:rPr>
        <w:lastRenderedPageBreak/>
        <w:drawing>
          <wp:anchor distT="0" distB="0" distL="114300" distR="114300" simplePos="0" relativeHeight="251661824" behindDoc="0" locked="0" layoutInCell="1" allowOverlap="1" wp14:anchorId="616F91C1" wp14:editId="10379340">
            <wp:simplePos x="0" y="0"/>
            <wp:positionH relativeFrom="margin">
              <wp:align>left</wp:align>
            </wp:positionH>
            <wp:positionV relativeFrom="paragraph">
              <wp:posOffset>146685</wp:posOffset>
            </wp:positionV>
            <wp:extent cx="5591175" cy="2613660"/>
            <wp:effectExtent l="0" t="0" r="952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91175" cy="2613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44B6" w:rsidRDefault="003044B6" w:rsidP="00217278">
      <w:pPr>
        <w:pStyle w:val="NL11"/>
        <w:tabs>
          <w:tab w:val="clear" w:pos="2640"/>
        </w:tabs>
        <w:spacing w:before="0" w:line="240" w:lineRule="auto"/>
        <w:ind w:left="900"/>
        <w:jc w:val="left"/>
        <w:rPr>
          <w:rStyle w:val="NL1"/>
          <w:bCs/>
        </w:rPr>
      </w:pPr>
    </w:p>
    <w:p w:rsidR="00BA4D4F" w:rsidRDefault="00BA4D4F" w:rsidP="00217278">
      <w:pPr>
        <w:pStyle w:val="NL11"/>
        <w:tabs>
          <w:tab w:val="clear" w:pos="2640"/>
        </w:tabs>
        <w:spacing w:before="0" w:line="240" w:lineRule="auto"/>
        <w:ind w:left="900"/>
        <w:jc w:val="left"/>
        <w:rPr>
          <w:rStyle w:val="NL1"/>
          <w:bCs/>
        </w:rPr>
      </w:pPr>
    </w:p>
    <w:p w:rsidR="003044B6" w:rsidRDefault="003044B6" w:rsidP="003044B6">
      <w:pPr>
        <w:pStyle w:val="NL11"/>
        <w:tabs>
          <w:tab w:val="clear" w:pos="2640"/>
        </w:tabs>
        <w:spacing w:before="0" w:line="240" w:lineRule="auto"/>
        <w:ind w:left="900"/>
        <w:jc w:val="left"/>
        <w:rPr>
          <w:rStyle w:val="NL1"/>
          <w:bCs/>
        </w:rPr>
      </w:pPr>
      <w:r>
        <w:rPr>
          <w:rStyle w:val="NL1"/>
          <w:bCs/>
        </w:rPr>
        <w:t>The distribution of inflation-adjusted U.S. box office receipts is skewed to the right</w:t>
      </w:r>
      <w:r w:rsidR="00F43948" w:rsidRPr="00217278">
        <w:rPr>
          <w:rStyle w:val="NL1"/>
          <w:bCs/>
        </w:rPr>
        <w:t>.</w:t>
      </w:r>
      <w:r>
        <w:rPr>
          <w:rStyle w:val="NL1"/>
          <w:bCs/>
        </w:rPr>
        <w:t xml:space="preserve"> Most of the Top 50 movies have inflation-adjusted box office receipts that are less than $700 million dollars. However, there are a few movies that have much greater inflation-adjusted box office receipts. In particular, the movies </w:t>
      </w:r>
      <w:r w:rsidRPr="003044B6">
        <w:rPr>
          <w:rStyle w:val="NL1"/>
          <w:bCs/>
          <w:i/>
        </w:rPr>
        <w:t>Gone With the Wind</w:t>
      </w:r>
      <w:r>
        <w:rPr>
          <w:rStyle w:val="NL1"/>
          <w:bCs/>
        </w:rPr>
        <w:t xml:space="preserve"> ($1.65 billion) and </w:t>
      </w:r>
      <w:r w:rsidRPr="003044B6">
        <w:rPr>
          <w:rStyle w:val="NL1"/>
          <w:bCs/>
          <w:i/>
        </w:rPr>
        <w:t>Star Wars</w:t>
      </w:r>
      <w:r>
        <w:rPr>
          <w:rStyle w:val="NL1"/>
          <w:bCs/>
        </w:rPr>
        <w:t xml:space="preserve"> ($1.43 billion) appear to be outliers.</w:t>
      </w:r>
    </w:p>
    <w:p w:rsidR="003044B6" w:rsidRDefault="003044B6" w:rsidP="003044B6">
      <w:pPr>
        <w:pStyle w:val="NL11"/>
        <w:tabs>
          <w:tab w:val="clear" w:pos="2640"/>
        </w:tabs>
        <w:spacing w:before="0" w:line="240" w:lineRule="auto"/>
        <w:ind w:left="540"/>
        <w:jc w:val="left"/>
        <w:rPr>
          <w:rStyle w:val="NL1"/>
          <w:bCs/>
        </w:rPr>
      </w:pPr>
    </w:p>
    <w:p w:rsidR="003044B6" w:rsidRDefault="00597121" w:rsidP="003044B6">
      <w:pPr>
        <w:pStyle w:val="NL11"/>
        <w:numPr>
          <w:ilvl w:val="0"/>
          <w:numId w:val="2"/>
        </w:numPr>
        <w:tabs>
          <w:tab w:val="clear" w:pos="2640"/>
        </w:tabs>
        <w:spacing w:before="0" w:line="240" w:lineRule="auto"/>
        <w:jc w:val="left"/>
        <w:rPr>
          <w:rStyle w:val="NL1"/>
          <w:bCs/>
        </w:rPr>
      </w:pPr>
      <w:r>
        <w:rPr>
          <w:rStyle w:val="NL1"/>
          <w:bCs/>
        </w:rPr>
        <w:t>A PivotTable used to create the crosstabulation appears below.</w:t>
      </w:r>
    </w:p>
    <w:p w:rsidR="00597121" w:rsidRDefault="00597121" w:rsidP="00597121">
      <w:pPr>
        <w:pStyle w:val="NL11"/>
        <w:tabs>
          <w:tab w:val="clear" w:pos="2640"/>
        </w:tabs>
        <w:spacing w:before="0" w:line="240" w:lineRule="auto"/>
        <w:ind w:left="900"/>
        <w:jc w:val="left"/>
        <w:rPr>
          <w:rStyle w:val="NL1"/>
          <w:bCs/>
        </w:rPr>
      </w:pPr>
    </w:p>
    <w:p w:rsidR="00597121" w:rsidRDefault="00597121" w:rsidP="00597121">
      <w:pPr>
        <w:pStyle w:val="NL11"/>
        <w:tabs>
          <w:tab w:val="clear" w:pos="2640"/>
        </w:tabs>
        <w:spacing w:before="0" w:line="240" w:lineRule="auto"/>
        <w:ind w:left="0"/>
        <w:jc w:val="center"/>
        <w:rPr>
          <w:rStyle w:val="NL1"/>
          <w:bCs/>
        </w:rPr>
      </w:pPr>
      <w:r>
        <w:drawing>
          <wp:inline distT="0" distB="0" distL="0" distR="0">
            <wp:extent cx="5762625" cy="244111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81094" cy="2448936"/>
                    </a:xfrm>
                    <a:prstGeom prst="rect">
                      <a:avLst/>
                    </a:prstGeom>
                  </pic:spPr>
                </pic:pic>
              </a:graphicData>
            </a:graphic>
          </wp:inline>
        </w:drawing>
      </w:r>
    </w:p>
    <w:p w:rsidR="00597121" w:rsidRDefault="00597121" w:rsidP="00597121">
      <w:pPr>
        <w:pStyle w:val="NL11"/>
        <w:tabs>
          <w:tab w:val="clear" w:pos="2640"/>
        </w:tabs>
        <w:spacing w:before="0" w:line="240" w:lineRule="auto"/>
        <w:ind w:left="0"/>
        <w:jc w:val="center"/>
        <w:rPr>
          <w:rStyle w:val="NL1"/>
          <w:bCs/>
        </w:rPr>
      </w:pPr>
    </w:p>
    <w:p w:rsidR="00597121" w:rsidRDefault="00597121" w:rsidP="00597121">
      <w:pPr>
        <w:pStyle w:val="NL11"/>
        <w:tabs>
          <w:tab w:val="clear" w:pos="2640"/>
          <w:tab w:val="left" w:pos="900"/>
        </w:tabs>
        <w:spacing w:before="0" w:line="240" w:lineRule="auto"/>
        <w:ind w:left="900"/>
        <w:jc w:val="left"/>
        <w:rPr>
          <w:rStyle w:val="NL1"/>
          <w:bCs/>
        </w:rPr>
      </w:pPr>
      <w:r>
        <w:rPr>
          <w:rStyle w:val="NL1"/>
          <w:bCs/>
        </w:rPr>
        <w:t>The crosstabulation shows that eight animated movies rated G are in the Top 50 movies. This is more than any other combination of genre and rating for a movie. SciFi/Fantasy movies also appear frequently in the Top 50 movies with six SciFi/Fantasy movies rated PG appearing in the Top 50 list and six rated PG-13.</w:t>
      </w:r>
    </w:p>
    <w:p w:rsidR="00597121" w:rsidRDefault="00597121" w:rsidP="00597121">
      <w:pPr>
        <w:pStyle w:val="NL11"/>
        <w:tabs>
          <w:tab w:val="clear" w:pos="2640"/>
          <w:tab w:val="left" w:pos="900"/>
        </w:tabs>
        <w:spacing w:before="0" w:line="240" w:lineRule="auto"/>
        <w:ind w:left="900"/>
        <w:jc w:val="left"/>
        <w:rPr>
          <w:rStyle w:val="NL1"/>
          <w:bCs/>
        </w:rPr>
      </w:pPr>
    </w:p>
    <w:p w:rsidR="00597121" w:rsidRDefault="00597121" w:rsidP="00597121">
      <w:pPr>
        <w:pStyle w:val="NL11"/>
        <w:tabs>
          <w:tab w:val="clear" w:pos="2640"/>
          <w:tab w:val="left" w:pos="900"/>
        </w:tabs>
        <w:spacing w:before="0" w:line="240" w:lineRule="auto"/>
        <w:ind w:left="900"/>
        <w:jc w:val="left"/>
        <w:rPr>
          <w:rStyle w:val="NL1"/>
          <w:bCs/>
        </w:rPr>
      </w:pPr>
      <w:r>
        <w:rPr>
          <w:rStyle w:val="NL1"/>
          <w:bCs/>
        </w:rPr>
        <w:t>Filtering the data to show only movies released in 1980 and later produces the PivotTable below.</w:t>
      </w:r>
    </w:p>
    <w:p w:rsidR="00597121" w:rsidRDefault="00597121" w:rsidP="00597121">
      <w:pPr>
        <w:pStyle w:val="NL11"/>
        <w:tabs>
          <w:tab w:val="clear" w:pos="2640"/>
          <w:tab w:val="left" w:pos="900"/>
        </w:tabs>
        <w:spacing w:before="0" w:line="240" w:lineRule="auto"/>
        <w:ind w:left="900" w:hanging="900"/>
        <w:jc w:val="left"/>
        <w:rPr>
          <w:rStyle w:val="NL1"/>
          <w:bCs/>
        </w:rPr>
      </w:pPr>
    </w:p>
    <w:p w:rsidR="00597121" w:rsidRDefault="00597121" w:rsidP="00597121">
      <w:pPr>
        <w:pStyle w:val="NL11"/>
        <w:tabs>
          <w:tab w:val="clear" w:pos="2640"/>
          <w:tab w:val="left" w:pos="900"/>
        </w:tabs>
        <w:spacing w:before="0" w:line="240" w:lineRule="auto"/>
        <w:ind w:left="900" w:hanging="900"/>
        <w:rPr>
          <w:rStyle w:val="NL1"/>
          <w:bCs/>
        </w:rPr>
      </w:pPr>
      <w:r>
        <w:lastRenderedPageBreak/>
        <w:drawing>
          <wp:inline distT="0" distB="0" distL="0" distR="0">
            <wp:extent cx="5809655" cy="2476500"/>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811882" cy="2477449"/>
                    </a:xfrm>
                    <a:prstGeom prst="rect">
                      <a:avLst/>
                    </a:prstGeom>
                  </pic:spPr>
                </pic:pic>
              </a:graphicData>
            </a:graphic>
          </wp:inline>
        </w:drawing>
      </w:r>
    </w:p>
    <w:p w:rsidR="00597121" w:rsidRDefault="00597121" w:rsidP="00597121">
      <w:pPr>
        <w:pStyle w:val="NL11"/>
        <w:tabs>
          <w:tab w:val="clear" w:pos="2640"/>
        </w:tabs>
        <w:spacing w:before="0" w:line="240" w:lineRule="auto"/>
        <w:ind w:left="0"/>
        <w:jc w:val="center"/>
        <w:rPr>
          <w:rStyle w:val="NL1"/>
          <w:bCs/>
        </w:rPr>
      </w:pPr>
    </w:p>
    <w:p w:rsidR="00597121" w:rsidRDefault="00597121" w:rsidP="00597121">
      <w:pPr>
        <w:pStyle w:val="NL11"/>
        <w:tabs>
          <w:tab w:val="clear" w:pos="2640"/>
          <w:tab w:val="left" w:pos="810"/>
        </w:tabs>
        <w:spacing w:before="0" w:line="240" w:lineRule="auto"/>
        <w:ind w:left="810"/>
        <w:jc w:val="left"/>
        <w:rPr>
          <w:rStyle w:val="NL1"/>
          <w:bCs/>
        </w:rPr>
      </w:pPr>
      <w:r>
        <w:rPr>
          <w:rStyle w:val="NL1"/>
          <w:bCs/>
        </w:rPr>
        <w:t>The filtered PivotTable indicates that after 1980 the most common type of movie appearing in the Top 50 is PG-13 rated SciFi/Fantasy and only one G rated animated movie in the dataset was released after 1980. It appears that top box office receipt generating movies have changed from movies aimed at children to those aimed at older movie goers.</w:t>
      </w:r>
    </w:p>
    <w:p w:rsidR="001C68F0" w:rsidRDefault="001C68F0" w:rsidP="001C68F0">
      <w:pPr>
        <w:pStyle w:val="NL11"/>
        <w:numPr>
          <w:ilvl w:val="0"/>
          <w:numId w:val="2"/>
        </w:numPr>
        <w:tabs>
          <w:tab w:val="clear" w:pos="2640"/>
          <w:tab w:val="left" w:pos="810"/>
        </w:tabs>
        <w:spacing w:before="0" w:line="240" w:lineRule="auto"/>
        <w:jc w:val="left"/>
        <w:rPr>
          <w:rStyle w:val="NL1"/>
          <w:bCs/>
        </w:rPr>
      </w:pPr>
      <w:r>
        <w:rPr>
          <w:rStyle w:val="NL1"/>
          <w:bCs/>
        </w:rPr>
        <w:t>The PivotTable below displays the average of inflation-adjusted U.S. box office receipts for each movie rating-genre pair.</w:t>
      </w:r>
    </w:p>
    <w:p w:rsidR="001C68F0" w:rsidRDefault="001C68F0" w:rsidP="001C68F0">
      <w:pPr>
        <w:pStyle w:val="NL11"/>
        <w:tabs>
          <w:tab w:val="clear" w:pos="2640"/>
          <w:tab w:val="left" w:pos="810"/>
        </w:tabs>
        <w:spacing w:before="0" w:line="240" w:lineRule="auto"/>
        <w:ind w:left="900"/>
        <w:jc w:val="left"/>
        <w:rPr>
          <w:rStyle w:val="NL1"/>
          <w:bCs/>
        </w:rPr>
      </w:pPr>
    </w:p>
    <w:p w:rsidR="001C68F0" w:rsidRDefault="001C68F0" w:rsidP="001C68F0">
      <w:pPr>
        <w:pStyle w:val="NL11"/>
        <w:tabs>
          <w:tab w:val="clear" w:pos="2640"/>
          <w:tab w:val="left" w:pos="810"/>
        </w:tabs>
        <w:spacing w:before="0" w:line="240" w:lineRule="auto"/>
        <w:ind w:left="0"/>
        <w:jc w:val="center"/>
        <w:rPr>
          <w:rStyle w:val="NL1"/>
          <w:bCs/>
        </w:rPr>
      </w:pPr>
      <w:r>
        <w:drawing>
          <wp:inline distT="0" distB="0" distL="0" distR="0">
            <wp:extent cx="5874888" cy="23526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877731" cy="2353814"/>
                    </a:xfrm>
                    <a:prstGeom prst="rect">
                      <a:avLst/>
                    </a:prstGeom>
                  </pic:spPr>
                </pic:pic>
              </a:graphicData>
            </a:graphic>
          </wp:inline>
        </w:drawing>
      </w:r>
    </w:p>
    <w:p w:rsidR="001C68F0" w:rsidRDefault="001C68F0" w:rsidP="001C68F0">
      <w:pPr>
        <w:pStyle w:val="NL11"/>
        <w:tabs>
          <w:tab w:val="clear" w:pos="2640"/>
          <w:tab w:val="left" w:pos="810"/>
        </w:tabs>
        <w:spacing w:before="0" w:line="240" w:lineRule="auto"/>
        <w:ind w:left="0"/>
        <w:jc w:val="center"/>
        <w:rPr>
          <w:rStyle w:val="NL1"/>
          <w:bCs/>
        </w:rPr>
      </w:pPr>
    </w:p>
    <w:p w:rsidR="001C68F0" w:rsidRPr="00217278" w:rsidRDefault="001C68F0" w:rsidP="001C68F0">
      <w:pPr>
        <w:pStyle w:val="NL11"/>
        <w:tabs>
          <w:tab w:val="clear" w:pos="2640"/>
          <w:tab w:val="left" w:pos="810"/>
        </w:tabs>
        <w:spacing w:before="0" w:line="240" w:lineRule="auto"/>
        <w:ind w:left="810"/>
        <w:jc w:val="left"/>
        <w:rPr>
          <w:rStyle w:val="NL1"/>
          <w:bCs/>
        </w:rPr>
      </w:pPr>
      <w:r>
        <w:rPr>
          <w:rStyle w:val="NL1"/>
          <w:bCs/>
        </w:rPr>
        <w:t>This PivotTable shows that G-rated dramas generated the highest average inflation-adjusted box office receipts. Overall, musicals generated the highest average inflation-adjusted box office receipts, but this includes only a single data point. Comedies and westerns (also only a single data point) have the lowest average inflation-adjusted box office receipts. G and PG rated movies appear to have higher inflation-adjusted box office receipts in this data set than R rated and UR movies; this makes sense because G and PG movies can be seen by wider audiences.</w:t>
      </w:r>
    </w:p>
    <w:sectPr w:rsidR="001C68F0" w:rsidRPr="00217278" w:rsidSect="009D298B">
      <w:headerReference w:type="even" r:id="rId13"/>
      <w:headerReference w:type="default" r:id="rId14"/>
      <w:footerReference w:type="even" r:id="rId15"/>
      <w:footerReference w:type="default" r:id="rId16"/>
      <w:headerReference w:type="first" r:id="rId17"/>
      <w:footerReference w:type="first" r:id="rId18"/>
      <w:pgSz w:w="12240" w:h="15840" w:code="1"/>
      <w:pgMar w:top="1440" w:right="1800" w:bottom="1440" w:left="1800" w:header="720" w:footer="720" w:gutter="0"/>
      <w:pgNumType w:start="1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8B6" w:rsidRDefault="003358B6">
      <w:r>
        <w:separator/>
      </w:r>
    </w:p>
  </w:endnote>
  <w:endnote w:type="continuationSeparator" w:id="0">
    <w:p w:rsidR="003358B6" w:rsidRDefault="0033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RotisSerif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CE5" w:rsidRDefault="00A12C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CE5" w:rsidRDefault="00A12C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CE5" w:rsidRDefault="00A12C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8B6" w:rsidRDefault="003358B6">
      <w:r>
        <w:separator/>
      </w:r>
    </w:p>
  </w:footnote>
  <w:footnote w:type="continuationSeparator" w:id="0">
    <w:p w:rsidR="003358B6" w:rsidRDefault="003358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792" w:rsidRDefault="003D6792">
    <w:pPr>
      <w:pStyle w:val="Header"/>
    </w:pP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792" w:rsidRDefault="003D6792">
    <w:pPr>
      <w:pStyle w:val="Header"/>
      <w:jc w:val="right"/>
    </w:pPr>
    <w:r>
      <w:t>Solutions to Case Problems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2CE5" w:rsidRDefault="00A12C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72FBD"/>
    <w:multiLevelType w:val="hybridMultilevel"/>
    <w:tmpl w:val="C6C62410"/>
    <w:lvl w:ilvl="0" w:tplc="8DA0A836">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B703C4"/>
    <w:multiLevelType w:val="hybridMultilevel"/>
    <w:tmpl w:val="C4380B2C"/>
    <w:lvl w:ilvl="0" w:tplc="5652E042">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B7"/>
    <w:rsid w:val="000D248C"/>
    <w:rsid w:val="00190C19"/>
    <w:rsid w:val="001B4818"/>
    <w:rsid w:val="001C68F0"/>
    <w:rsid w:val="00217278"/>
    <w:rsid w:val="00226C98"/>
    <w:rsid w:val="00277D77"/>
    <w:rsid w:val="003044B6"/>
    <w:rsid w:val="003358B6"/>
    <w:rsid w:val="003D6792"/>
    <w:rsid w:val="00471677"/>
    <w:rsid w:val="005960F1"/>
    <w:rsid w:val="00597121"/>
    <w:rsid w:val="005B1E06"/>
    <w:rsid w:val="00682572"/>
    <w:rsid w:val="006C73BF"/>
    <w:rsid w:val="006E581C"/>
    <w:rsid w:val="007D7B8D"/>
    <w:rsid w:val="008107FC"/>
    <w:rsid w:val="009D298B"/>
    <w:rsid w:val="00A12CE5"/>
    <w:rsid w:val="00AE2CC9"/>
    <w:rsid w:val="00BA4D4F"/>
    <w:rsid w:val="00BB0429"/>
    <w:rsid w:val="00BF1D4E"/>
    <w:rsid w:val="00C172F3"/>
    <w:rsid w:val="00C36A67"/>
    <w:rsid w:val="00DE68B7"/>
    <w:rsid w:val="00E73E6A"/>
    <w:rsid w:val="00EE6EF0"/>
    <w:rsid w:val="00F054CE"/>
    <w:rsid w:val="00F43948"/>
    <w:rsid w:val="00F71A84"/>
    <w:rsid w:val="00FC1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6CADA3-3D41-41D2-AE7B-7745E18C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T1">
    <w:name w:val="T1"/>
    <w:rsid w:val="00F43948"/>
    <w:rPr>
      <w:rFonts w:ascii="Times" w:hAnsi="Times"/>
    </w:rPr>
  </w:style>
  <w:style w:type="character" w:customStyle="1" w:styleId="H1">
    <w:name w:val="H1"/>
    <w:rsid w:val="00F43948"/>
    <w:rPr>
      <w:rFonts w:ascii="RotisSerif Bold" w:hAnsi="RotisSerif Bold"/>
      <w:color w:val="auto"/>
      <w:sz w:val="36"/>
    </w:rPr>
  </w:style>
  <w:style w:type="character" w:customStyle="1" w:styleId="NL1">
    <w:name w:val="NL1"/>
    <w:rsid w:val="00F43948"/>
    <w:rPr>
      <w:rFonts w:ascii="Times" w:hAnsi="Times"/>
    </w:rPr>
  </w:style>
  <w:style w:type="paragraph" w:customStyle="1" w:styleId="NL11">
    <w:name w:val="NL11"/>
    <w:rsid w:val="00F43948"/>
    <w:pPr>
      <w:keepLines/>
      <w:tabs>
        <w:tab w:val="left" w:pos="2640"/>
      </w:tabs>
      <w:autoSpaceDE w:val="0"/>
      <w:autoSpaceDN w:val="0"/>
      <w:spacing w:before="120" w:line="240" w:lineRule="exact"/>
      <w:ind w:left="2360"/>
      <w:jc w:val="both"/>
    </w:pPr>
    <w:rPr>
      <w:rFonts w:ascii="Times" w:hAnsi="Times"/>
      <w:noProof/>
    </w:rPr>
  </w:style>
  <w:style w:type="paragraph" w:styleId="BalloonText">
    <w:name w:val="Balloon Text"/>
    <w:basedOn w:val="Normal"/>
    <w:link w:val="BalloonTextChar"/>
    <w:rsid w:val="00F43948"/>
    <w:rPr>
      <w:rFonts w:ascii="Tahoma" w:hAnsi="Tahoma" w:cs="Tahoma"/>
      <w:sz w:val="16"/>
      <w:szCs w:val="16"/>
    </w:rPr>
  </w:style>
  <w:style w:type="character" w:customStyle="1" w:styleId="BalloonTextChar">
    <w:name w:val="Balloon Text Char"/>
    <w:basedOn w:val="DefaultParagraphFont"/>
    <w:link w:val="BalloonText"/>
    <w:rsid w:val="00F439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09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Chapter 4</vt:lpstr>
    </vt:vector>
  </TitlesOfParts>
  <Company>Brown Dog</Company>
  <LinksUpToDate>false</LinksUpToDate>
  <CharactersWithSpaces>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dc:title>
  <dc:creator>Preferred Customer</dc:creator>
  <cp:lastModifiedBy>Michael J Fry</cp:lastModifiedBy>
  <cp:revision>9</cp:revision>
  <cp:lastPrinted>2005-08-21T21:23:00Z</cp:lastPrinted>
  <dcterms:created xsi:type="dcterms:W3CDTF">2012-11-30T21:35:00Z</dcterms:created>
  <dcterms:modified xsi:type="dcterms:W3CDTF">2013-03-06T20:27:00Z</dcterms:modified>
</cp:coreProperties>
</file>