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0B" w:rsidRDefault="00AB210B" w:rsidP="00DF0AE2">
      <w:pPr>
        <w:pStyle w:val="Header"/>
        <w:pBdr>
          <w:top w:val="single" w:sz="18" w:space="1" w:color="auto"/>
        </w:pBdr>
        <w:jc w:val="both"/>
        <w:rPr>
          <w:b/>
          <w:i/>
          <w:sz w:val="48"/>
        </w:rPr>
      </w:pPr>
      <w:bookmarkStart w:id="0" w:name="_GoBack"/>
      <w:bookmarkEnd w:id="0"/>
      <w:r>
        <w:rPr>
          <w:b/>
          <w:i/>
          <w:sz w:val="48"/>
        </w:rPr>
        <w:t>CHAPTER 1</w:t>
      </w:r>
    </w:p>
    <w:p w:rsidR="00AB210B" w:rsidRDefault="00AB210B" w:rsidP="00DF0AE2">
      <w:pPr>
        <w:pStyle w:val="Header"/>
        <w:pBdr>
          <w:top w:val="single" w:sz="18" w:space="1" w:color="auto"/>
        </w:pBdr>
        <w:jc w:val="both"/>
        <w:rPr>
          <w:b/>
          <w:i/>
          <w:sz w:val="48"/>
        </w:rPr>
      </w:pPr>
      <w:r>
        <w:rPr>
          <w:b/>
          <w:sz w:val="48"/>
        </w:rPr>
        <w:t>INTRODUCTION TO CORPORATE FINANCE</w:t>
      </w:r>
    </w:p>
    <w:p w:rsidR="00EE54BD" w:rsidRDefault="00EE54BD" w:rsidP="00DF0AE2">
      <w:pPr>
        <w:jc w:val="both"/>
      </w:pPr>
    </w:p>
    <w:p w:rsidR="00AB210B" w:rsidRDefault="00AB210B" w:rsidP="00DF0AE2">
      <w:pPr>
        <w:jc w:val="both"/>
      </w:pPr>
    </w:p>
    <w:p w:rsidR="00AB210B" w:rsidRDefault="00AB210B" w:rsidP="00DF0AE2">
      <w:pPr>
        <w:pStyle w:val="ListParagraph"/>
        <w:numPr>
          <w:ilvl w:val="0"/>
          <w:numId w:val="1"/>
        </w:numPr>
        <w:jc w:val="both"/>
      </w:pPr>
      <w:r>
        <w:t>Finance relates to the decision-making and strategies of corporations. It is composed of three main elements.</w:t>
      </w:r>
    </w:p>
    <w:p w:rsidR="00AB210B" w:rsidRDefault="00AB210B" w:rsidP="00DF0AE2">
      <w:pPr>
        <w:pStyle w:val="ListParagraph"/>
        <w:numPr>
          <w:ilvl w:val="1"/>
          <w:numId w:val="1"/>
        </w:numPr>
        <w:jc w:val="both"/>
      </w:pPr>
      <w:r>
        <w:t>The</w:t>
      </w:r>
      <w:r w:rsidR="00874E17">
        <w:t xml:space="preserve"> capital budgeting or</w:t>
      </w:r>
      <w:r>
        <w:t xml:space="preserve"> investment decision.</w:t>
      </w:r>
    </w:p>
    <w:p w:rsidR="00AB210B" w:rsidRDefault="00AB210B" w:rsidP="00DF0AE2">
      <w:pPr>
        <w:pStyle w:val="ListParagraph"/>
        <w:numPr>
          <w:ilvl w:val="1"/>
          <w:numId w:val="1"/>
        </w:numPr>
        <w:jc w:val="both"/>
      </w:pPr>
      <w:r>
        <w:t xml:space="preserve">The </w:t>
      </w:r>
      <w:r w:rsidR="00874E17">
        <w:t xml:space="preserve">capital structure or </w:t>
      </w:r>
      <w:r>
        <w:t>financing decision.</w:t>
      </w:r>
    </w:p>
    <w:p w:rsidR="00AB210B" w:rsidRDefault="00AB210B" w:rsidP="00DF0AE2">
      <w:pPr>
        <w:pStyle w:val="ListParagraph"/>
        <w:numPr>
          <w:ilvl w:val="1"/>
          <w:numId w:val="1"/>
        </w:numPr>
        <w:jc w:val="both"/>
      </w:pPr>
      <w:r>
        <w:t>Short-term capital management.</w:t>
      </w:r>
    </w:p>
    <w:p w:rsidR="0006799D" w:rsidRDefault="0006799D" w:rsidP="00DF0AE2">
      <w:pPr>
        <w:pStyle w:val="ListParagraph"/>
        <w:ind w:left="1080"/>
        <w:jc w:val="both"/>
      </w:pPr>
    </w:p>
    <w:p w:rsidR="00AB210B" w:rsidRDefault="00AB210B" w:rsidP="00DF0AE2">
      <w:pPr>
        <w:pStyle w:val="ListParagraph"/>
        <w:jc w:val="both"/>
      </w:pPr>
      <w:r>
        <w:t xml:space="preserve">Each decision is framed within the general objective of </w:t>
      </w:r>
      <w:r w:rsidR="002160DB" w:rsidRPr="002160DB">
        <w:rPr>
          <w:color w:val="000000"/>
        </w:rPr>
        <w:t>maximizing</w:t>
      </w:r>
      <w:r w:rsidR="002160DB">
        <w:t xml:space="preserve"> </w:t>
      </w:r>
      <w:r>
        <w:t>firm value while ensuring that risk is appropriately managed.</w:t>
      </w:r>
    </w:p>
    <w:p w:rsidR="00AB210B" w:rsidRDefault="00AB210B" w:rsidP="00DF0AE2">
      <w:pPr>
        <w:pStyle w:val="ListParagraph"/>
        <w:jc w:val="both"/>
      </w:pPr>
    </w:p>
    <w:p w:rsidR="00AB210B" w:rsidRDefault="00AB210B" w:rsidP="00DF0AE2">
      <w:pPr>
        <w:pStyle w:val="ListParagraph"/>
        <w:jc w:val="both"/>
      </w:pPr>
      <w:r>
        <w:t>Think a family, with one parent earning the monthly salary and the other looking after the children. Every month, money comes into the house and there will be times when the family needs to spend money on items like furniture. This will usually come from savings. However, sometimes, the family will want to buy a car or a house and will need to take out a loan for the investment. At all times, the family must have enough cash and this applies every single day. This example concerns a family, but if you change the object to a corporation, the same decisions need to be made. When we talk about financial decisions relating to families, this is known as personal finance, whereas when we talk about corporations, we call this corporate finance.</w:t>
      </w:r>
    </w:p>
    <w:p w:rsidR="002160DB" w:rsidRDefault="002160DB" w:rsidP="00DF0AE2">
      <w:pPr>
        <w:pStyle w:val="ListParagraph"/>
        <w:jc w:val="both"/>
      </w:pPr>
    </w:p>
    <w:p w:rsidR="002160DB" w:rsidRDefault="002160DB" w:rsidP="00DF0AE2">
      <w:pPr>
        <w:pStyle w:val="ListParagraph"/>
        <w:numPr>
          <w:ilvl w:val="0"/>
          <w:numId w:val="1"/>
        </w:numPr>
        <w:jc w:val="both"/>
      </w:pPr>
      <w:r w:rsidRPr="002160DB">
        <w:t>The investment decision refers to investments in projects that produce a higher rate of return than the firm’s minimum hurdle rate. The financing decision refers to the optimal mix of debt and equity. Short-term capital management refers to activities related to working capital management that help ensure the liquidity and profitability of a company. The equity decision is explicitly a sub-component of the financing decision.</w:t>
      </w:r>
    </w:p>
    <w:p w:rsidR="00AB210B" w:rsidRDefault="00AB210B" w:rsidP="00DF0AE2">
      <w:pPr>
        <w:pStyle w:val="ListParagraph"/>
        <w:jc w:val="both"/>
      </w:pPr>
    </w:p>
    <w:p w:rsidR="00AB210B" w:rsidRDefault="00AB210B" w:rsidP="00DF0AE2">
      <w:pPr>
        <w:pStyle w:val="ListParagraph"/>
        <w:numPr>
          <w:ilvl w:val="0"/>
          <w:numId w:val="1"/>
        </w:numPr>
        <w:jc w:val="both"/>
      </w:pPr>
      <w:r>
        <w:t>The statement assumes that the market is efficient and markets fully reflect the true value of the firm. In this context, t</w:t>
      </w:r>
      <w:r w:rsidRPr="00AA2479">
        <w:t>he goal will be the same, but the best course of action toward that goal may be different because of differing social, political, and economic institutions.</w:t>
      </w:r>
    </w:p>
    <w:p w:rsidR="00AB210B" w:rsidRPr="00AA2479" w:rsidRDefault="00AB210B" w:rsidP="00DF0AE2">
      <w:pPr>
        <w:pStyle w:val="ListParagraph"/>
        <w:ind w:left="360"/>
        <w:jc w:val="both"/>
      </w:pPr>
    </w:p>
    <w:p w:rsidR="00894448" w:rsidRDefault="00894448" w:rsidP="00DF0AE2">
      <w:pPr>
        <w:pStyle w:val="ListParagraph"/>
        <w:numPr>
          <w:ilvl w:val="0"/>
          <w:numId w:val="1"/>
        </w:numPr>
        <w:jc w:val="both"/>
      </w:pPr>
      <w:r w:rsidRPr="00894448">
        <w:t>Financial markets are market places where buyers and sellers trade assets, and they facilitate the raising of capital (e.g. IPOs, SEOs, bond issues), the transfer of risk (e.g. loans), the transfer of liquidity (e.g. the quick sale of assets such as stocks), and international trade (e.g. GDRs).</w:t>
      </w:r>
      <w:r>
        <w:t xml:space="preserve"> </w:t>
      </w:r>
    </w:p>
    <w:p w:rsidR="00894448" w:rsidRDefault="00894448" w:rsidP="00DF0AE2">
      <w:pPr>
        <w:pStyle w:val="ListParagraph"/>
        <w:jc w:val="both"/>
      </w:pPr>
    </w:p>
    <w:p w:rsidR="00AB210B" w:rsidRDefault="00373785" w:rsidP="005A6FDC">
      <w:pPr>
        <w:pStyle w:val="ListParagraph"/>
        <w:numPr>
          <w:ilvl w:val="0"/>
          <w:numId w:val="1"/>
        </w:numPr>
        <w:jc w:val="both"/>
      </w:pPr>
      <w:r>
        <w:t xml:space="preserve"> </w:t>
      </w:r>
      <w:r w:rsidR="005A6FDC">
        <w:t xml:space="preserve">A depository receipt is a security carrying a legal claim on the cash flows from the deposited shares, and offers an indirect form of listing on a stock exchange. Companies often use depository receipts to circumvent listing problems in foreign markets. With a depository receipt, a firm deposits a number of its own shares with a bank, which in turn </w:t>
      </w:r>
      <w:r w:rsidR="005A6FDC">
        <w:lastRenderedPageBreak/>
        <w:t xml:space="preserve">issues a depository receipt. If the issuing firm pays dividends, the bank transfers the cash flows to holders of the depository receipts, after deducting a small fee. Global depository receipts refer to depository receipts issued outside U.S. markets. </w:t>
      </w:r>
      <w:r>
        <w:t xml:space="preserve"> </w:t>
      </w:r>
    </w:p>
    <w:p w:rsidR="00AB210B" w:rsidRDefault="00AB210B" w:rsidP="00DF0AE2">
      <w:pPr>
        <w:pStyle w:val="ListParagraph"/>
        <w:jc w:val="both"/>
      </w:pPr>
    </w:p>
    <w:p w:rsidR="008D198A" w:rsidRDefault="008D198A" w:rsidP="00DF0AE2">
      <w:pPr>
        <w:pStyle w:val="ListParagraph"/>
        <w:numPr>
          <w:ilvl w:val="0"/>
          <w:numId w:val="1"/>
        </w:numPr>
        <w:jc w:val="both"/>
      </w:pPr>
      <w:r>
        <w:t>This is quite a difficult task for students but it is useful in getting them to read through news stories and to familiarise them with financial websites. The expectations of the instructor should not be too great and the question is very useful for a first lecture in a Corporate Finance class. This answer to this question is very much up to the student. Give them websites that they can visit to collect data including Google, Yahoo! Finance, Reuters, and FT.Com. As an introductory question, it is an excellent way to get students to practically engage with the material and do their own research. You can even get them to prepare a presentation or do the question in groups.</w:t>
      </w:r>
    </w:p>
    <w:p w:rsidR="00AB210B" w:rsidRDefault="00AB210B" w:rsidP="00DF0AE2">
      <w:pPr>
        <w:pStyle w:val="ListParagraph"/>
        <w:ind w:left="360"/>
        <w:jc w:val="both"/>
      </w:pPr>
    </w:p>
    <w:p w:rsidR="008D198A" w:rsidRDefault="008D198A" w:rsidP="00DF0AE2">
      <w:pPr>
        <w:pStyle w:val="ListParagraph"/>
        <w:numPr>
          <w:ilvl w:val="0"/>
          <w:numId w:val="1"/>
        </w:numPr>
        <w:jc w:val="both"/>
      </w:pPr>
      <w:r>
        <w:t>Equity = Total Assets – Total Liabilities = €1,403 – €1,253 = €150 million</w:t>
      </w:r>
    </w:p>
    <w:p w:rsidR="008D198A" w:rsidRDefault="008D198A" w:rsidP="00DF0AE2">
      <w:pPr>
        <w:pStyle w:val="ListParagraph"/>
        <w:jc w:val="both"/>
      </w:pPr>
      <w:r>
        <w:t>Non-Current Assets = Total Assets – Current Assets = €1,403 - €619 = €784 million</w:t>
      </w:r>
    </w:p>
    <w:p w:rsidR="008D198A" w:rsidRPr="00D06596" w:rsidRDefault="008D198A" w:rsidP="00DF0AE2">
      <w:pPr>
        <w:pStyle w:val="ListParagraph"/>
        <w:jc w:val="both"/>
      </w:pPr>
      <w:r>
        <w:t>Non-Current Liabilities = Total Liabilities – Current Liabilities = €1,253 - €338 = €915 million</w:t>
      </w:r>
    </w:p>
    <w:p w:rsidR="00AB210B" w:rsidRDefault="00AB210B" w:rsidP="00DF0AE2">
      <w:pPr>
        <w:pStyle w:val="ListParagraph"/>
        <w:ind w:left="360"/>
        <w:jc w:val="both"/>
      </w:pPr>
    </w:p>
    <w:p w:rsidR="008D198A" w:rsidRDefault="008D198A" w:rsidP="00DF0AE2">
      <w:pPr>
        <w:pStyle w:val="ListParagraph"/>
        <w:numPr>
          <w:ilvl w:val="0"/>
          <w:numId w:val="1"/>
        </w:numPr>
        <w:jc w:val="both"/>
      </w:pPr>
      <w:r>
        <w:t>Step 1: Determine liability/equity ratio:</w:t>
      </w:r>
    </w:p>
    <w:p w:rsidR="008D198A" w:rsidRDefault="00C06F69" w:rsidP="00C06F69">
      <w:pPr>
        <w:pStyle w:val="ListParagraph"/>
        <w:jc w:val="both"/>
      </w:pPr>
      <w:r w:rsidRPr="007B43DE">
        <w:rPr>
          <w:position w:val="-28"/>
        </w:rPr>
        <w:object w:dxaOrig="2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3pt" o:ole="">
            <v:imagedata r:id="rId6" o:title=""/>
          </v:shape>
          <o:OLEObject Type="Embed" ProgID="Equation.DSMT4" ShapeID="_x0000_i1025" DrawAspect="Content" ObjectID="_1519111352" r:id="rId7"/>
        </w:object>
      </w:r>
    </w:p>
    <w:p w:rsidR="008D198A" w:rsidRDefault="008D198A" w:rsidP="00DF0AE2">
      <w:pPr>
        <w:pStyle w:val="ListParagraph"/>
        <w:jc w:val="both"/>
      </w:pPr>
      <w:r>
        <w:t>Step 2: To find the current weightings of debt and equity in the new funding, you must actually calculate a new ratio, liability/assets.</w:t>
      </w:r>
    </w:p>
    <w:p w:rsidR="008D198A" w:rsidRDefault="00C06F69" w:rsidP="00C06F69">
      <w:pPr>
        <w:pStyle w:val="ListParagraph"/>
        <w:jc w:val="both"/>
      </w:pPr>
      <w:r w:rsidRPr="00C06F69">
        <w:rPr>
          <w:position w:val="-28"/>
        </w:rPr>
        <w:object w:dxaOrig="2680" w:dyaOrig="660">
          <v:shape id="_x0000_i1026" type="#_x0000_t75" style="width:132.75pt;height:33pt" o:ole="">
            <v:imagedata r:id="rId8" o:title=""/>
          </v:shape>
          <o:OLEObject Type="Embed" ProgID="Equation.DSMT4" ShapeID="_x0000_i1026" DrawAspect="Content" ObjectID="_1519111353" r:id="rId9"/>
        </w:object>
      </w:r>
    </w:p>
    <w:p w:rsidR="008D198A" w:rsidRDefault="008D198A" w:rsidP="00DF0AE2">
      <w:pPr>
        <w:pStyle w:val="ListParagraph"/>
        <w:spacing w:line="480" w:lineRule="auto"/>
        <w:jc w:val="both"/>
      </w:pPr>
      <w:r>
        <w:t>Step 3: The debt that is raised is thus €</w:t>
      </w:r>
      <w:r w:rsidR="001E17D5">
        <w:t>89.31</w:t>
      </w:r>
      <w:r>
        <w:t xml:space="preserve"> million and equity is €</w:t>
      </w:r>
      <w:r w:rsidR="001E17D5">
        <w:t>10.69</w:t>
      </w:r>
      <w:r>
        <w:t xml:space="preserve"> million.</w:t>
      </w:r>
    </w:p>
    <w:p w:rsidR="008D198A" w:rsidRDefault="008D198A" w:rsidP="00DF0AE2">
      <w:pPr>
        <w:pStyle w:val="ListParagraph"/>
        <w:jc w:val="both"/>
      </w:pPr>
      <w:r>
        <w:t>Step 4: Check the new liability/equity ratio. The new level of liabilities is €</w:t>
      </w:r>
      <w:r w:rsidR="001E17D5">
        <w:t>1,342.31</w:t>
      </w:r>
      <w:r w:rsidR="000E0A31">
        <w:t xml:space="preserve"> </w:t>
      </w:r>
      <w:r>
        <w:t>million and the new level of equity is €</w:t>
      </w:r>
      <w:r w:rsidR="001E17D5">
        <w:t>160.69</w:t>
      </w:r>
      <w:r>
        <w:t xml:space="preserve"> million. The new ratio is:</w:t>
      </w:r>
    </w:p>
    <w:p w:rsidR="008D198A" w:rsidRDefault="00C06F69" w:rsidP="00C06F69">
      <w:pPr>
        <w:pStyle w:val="ListParagraph"/>
        <w:jc w:val="both"/>
      </w:pPr>
      <w:r w:rsidRPr="007B43DE">
        <w:rPr>
          <w:position w:val="-28"/>
        </w:rPr>
        <w:object w:dxaOrig="2860" w:dyaOrig="660">
          <v:shape id="_x0000_i1027" type="#_x0000_t75" style="width:143.25pt;height:33pt" o:ole="">
            <v:imagedata r:id="rId10" o:title=""/>
          </v:shape>
          <o:OLEObject Type="Embed" ProgID="Equation.DSMT4" ShapeID="_x0000_i1027" DrawAspect="Content" ObjectID="_1519111354" r:id="rId11"/>
        </w:object>
      </w:r>
    </w:p>
    <w:p w:rsidR="008D198A" w:rsidRDefault="008D198A" w:rsidP="00DF0AE2">
      <w:pPr>
        <w:pStyle w:val="ListParagraph"/>
        <w:jc w:val="both"/>
      </w:pPr>
      <w:r>
        <w:t>This is the same as the original liability/equity ratio.</w:t>
      </w:r>
    </w:p>
    <w:p w:rsidR="00AB210B" w:rsidRDefault="00AB210B" w:rsidP="0096718F">
      <w:pPr>
        <w:pStyle w:val="ListParagraph"/>
        <w:jc w:val="both"/>
      </w:pPr>
    </w:p>
    <w:p w:rsidR="00AB210B" w:rsidRDefault="00AB210B" w:rsidP="0096718F">
      <w:pPr>
        <w:pStyle w:val="ListParagraph"/>
        <w:numPr>
          <w:ilvl w:val="0"/>
          <w:numId w:val="1"/>
        </w:numPr>
        <w:jc w:val="both"/>
      </w:pPr>
      <w:r>
        <w:t>There are three components to this transaction:</w:t>
      </w:r>
    </w:p>
    <w:p w:rsidR="00AB210B" w:rsidRDefault="00AB210B" w:rsidP="0096718F">
      <w:pPr>
        <w:pStyle w:val="ListParagraph"/>
        <w:numPr>
          <w:ilvl w:val="1"/>
          <w:numId w:val="1"/>
        </w:numPr>
        <w:jc w:val="both"/>
      </w:pPr>
      <w:r>
        <w:t>Cash outflow of £100 million will appear in cash flow statement. Current assets (cash) will fall by £100 million.</w:t>
      </w:r>
    </w:p>
    <w:p w:rsidR="00AB210B" w:rsidRDefault="00AB210B" w:rsidP="0096718F">
      <w:pPr>
        <w:pStyle w:val="ListParagraph"/>
        <w:numPr>
          <w:ilvl w:val="1"/>
          <w:numId w:val="1"/>
        </w:numPr>
        <w:jc w:val="both"/>
      </w:pPr>
      <w:r>
        <w:t>We now owe £3.4 billion. Given that it must be paid in 3 months, the amount will show up as an increase in current liabilities of £3.4 billion.</w:t>
      </w:r>
    </w:p>
    <w:p w:rsidR="00AB210B" w:rsidRDefault="00AB210B" w:rsidP="0096718F">
      <w:pPr>
        <w:pStyle w:val="ListParagraph"/>
        <w:numPr>
          <w:ilvl w:val="1"/>
          <w:numId w:val="1"/>
        </w:numPr>
        <w:jc w:val="both"/>
      </w:pPr>
      <w:r>
        <w:t>Non-current assets will increase by £3.5 billion.</w:t>
      </w:r>
    </w:p>
    <w:p w:rsidR="00AB210B" w:rsidRDefault="00AB210B" w:rsidP="0096718F">
      <w:pPr>
        <w:pStyle w:val="ListParagraph"/>
        <w:ind w:left="1080"/>
        <w:jc w:val="both"/>
      </w:pPr>
    </w:p>
    <w:p w:rsidR="008D198A" w:rsidRDefault="008D198A" w:rsidP="0096718F">
      <w:pPr>
        <w:pStyle w:val="ListParagraph"/>
        <w:numPr>
          <w:ilvl w:val="0"/>
          <w:numId w:val="1"/>
        </w:numPr>
        <w:jc w:val="both"/>
      </w:pPr>
      <w:r>
        <w:t>The payment of £1,200,000 in twelve months is less because the cash flow is after the majority of £100,000 monthly payments. An example can show the intuition behind this. Assume the monthly interest rate is 1 per</w:t>
      </w:r>
      <w:r w:rsidR="00211A15">
        <w:t xml:space="preserve"> </w:t>
      </w:r>
      <w:r>
        <w:t>cent (it can be anything as long as it is above 0 per</w:t>
      </w:r>
      <w:r w:rsidR="00211A15">
        <w:t xml:space="preserve"> </w:t>
      </w:r>
      <w:r>
        <w:t xml:space="preserve">cent). The present value of cash flows is thus: </w:t>
      </w:r>
    </w:p>
    <w:tbl>
      <w:tblPr>
        <w:tblW w:w="6345" w:type="dxa"/>
        <w:tblBorders>
          <w:top w:val="single" w:sz="8" w:space="0" w:color="000000"/>
          <w:bottom w:val="single" w:sz="8" w:space="0" w:color="000000"/>
        </w:tblBorders>
        <w:tblLook w:val="00A0" w:firstRow="1" w:lastRow="0" w:firstColumn="1" w:lastColumn="0" w:noHBand="0" w:noVBand="0"/>
      </w:tblPr>
      <w:tblGrid>
        <w:gridCol w:w="1420"/>
        <w:gridCol w:w="1118"/>
        <w:gridCol w:w="1298"/>
        <w:gridCol w:w="1537"/>
        <w:gridCol w:w="1598"/>
      </w:tblGrid>
      <w:tr w:rsidR="008D198A" w:rsidRPr="00205C7F" w:rsidTr="008D198A">
        <w:trPr>
          <w:trHeight w:val="300"/>
        </w:trPr>
        <w:tc>
          <w:tcPr>
            <w:tcW w:w="1420" w:type="dxa"/>
            <w:tcBorders>
              <w:top w:val="single" w:sz="8" w:space="0" w:color="000000"/>
              <w:left w:val="nil"/>
              <w:bottom w:val="single" w:sz="8" w:space="0" w:color="000000"/>
              <w:right w:val="nil"/>
            </w:tcBorders>
            <w:noWrap/>
          </w:tcPr>
          <w:p w:rsidR="008D198A" w:rsidRPr="00205C7F" w:rsidRDefault="008D198A" w:rsidP="00DF0AE2">
            <w:pPr>
              <w:jc w:val="both"/>
              <w:rPr>
                <w:b/>
                <w:bCs/>
                <w:color w:val="000000"/>
                <w:lang w:eastAsia="en-GB"/>
              </w:rPr>
            </w:pPr>
          </w:p>
        </w:tc>
        <w:tc>
          <w:tcPr>
            <w:tcW w:w="1060" w:type="dxa"/>
            <w:tcBorders>
              <w:top w:val="single" w:sz="8" w:space="0" w:color="000000"/>
              <w:left w:val="nil"/>
              <w:bottom w:val="single" w:sz="8" w:space="0" w:color="000000"/>
              <w:right w:val="nil"/>
            </w:tcBorders>
            <w:noWrap/>
          </w:tcPr>
          <w:p w:rsidR="008D198A" w:rsidRPr="00205C7F" w:rsidRDefault="008D198A" w:rsidP="00DF0AE2">
            <w:pPr>
              <w:jc w:val="both"/>
              <w:rPr>
                <w:b/>
                <w:bCs/>
                <w:color w:val="000000"/>
                <w:lang w:eastAsia="en-GB"/>
              </w:rPr>
            </w:pPr>
            <w:r w:rsidRPr="00205C7F">
              <w:rPr>
                <w:b/>
                <w:bCs/>
                <w:color w:val="000000"/>
                <w:lang w:eastAsia="en-GB"/>
              </w:rPr>
              <w:t>Annuity</w:t>
            </w:r>
          </w:p>
        </w:tc>
        <w:tc>
          <w:tcPr>
            <w:tcW w:w="1053" w:type="dxa"/>
            <w:tcBorders>
              <w:top w:val="single" w:sz="8" w:space="0" w:color="000000"/>
              <w:left w:val="nil"/>
              <w:bottom w:val="single" w:sz="8" w:space="0" w:color="000000"/>
              <w:right w:val="single" w:sz="4" w:space="0" w:color="auto"/>
            </w:tcBorders>
            <w:noWrap/>
          </w:tcPr>
          <w:p w:rsidR="008D198A" w:rsidRPr="00205C7F" w:rsidRDefault="008D198A" w:rsidP="00DF0AE2">
            <w:pPr>
              <w:jc w:val="both"/>
              <w:rPr>
                <w:b/>
                <w:bCs/>
                <w:color w:val="000000"/>
                <w:lang w:eastAsia="en-GB"/>
              </w:rPr>
            </w:pPr>
            <w:r w:rsidRPr="00205C7F">
              <w:rPr>
                <w:b/>
                <w:bCs/>
                <w:color w:val="000000"/>
                <w:lang w:eastAsia="en-GB"/>
              </w:rPr>
              <w:t>PV(CF)</w:t>
            </w:r>
          </w:p>
        </w:tc>
        <w:tc>
          <w:tcPr>
            <w:tcW w:w="1537" w:type="dxa"/>
            <w:tcBorders>
              <w:top w:val="single" w:sz="8" w:space="0" w:color="000000"/>
              <w:left w:val="single" w:sz="4" w:space="0" w:color="auto"/>
              <w:bottom w:val="single" w:sz="8" w:space="0" w:color="000000"/>
              <w:right w:val="nil"/>
            </w:tcBorders>
            <w:noWrap/>
          </w:tcPr>
          <w:p w:rsidR="008D198A" w:rsidRPr="00205C7F" w:rsidRDefault="008D198A" w:rsidP="00DF0AE2">
            <w:pPr>
              <w:jc w:val="both"/>
              <w:rPr>
                <w:b/>
                <w:bCs/>
                <w:color w:val="000000"/>
                <w:lang w:eastAsia="en-GB"/>
              </w:rPr>
            </w:pPr>
            <w:r w:rsidRPr="00205C7F">
              <w:rPr>
                <w:b/>
                <w:bCs/>
                <w:color w:val="000000"/>
                <w:lang w:eastAsia="en-GB"/>
              </w:rPr>
              <w:t xml:space="preserve">One </w:t>
            </w:r>
            <w:r w:rsidRPr="00205C7F">
              <w:rPr>
                <w:b/>
                <w:bCs/>
                <w:color w:val="000000"/>
                <w:lang w:eastAsia="en-GB"/>
              </w:rPr>
              <w:lastRenderedPageBreak/>
              <w:t>Payment</w:t>
            </w:r>
          </w:p>
        </w:tc>
        <w:tc>
          <w:tcPr>
            <w:tcW w:w="1275" w:type="dxa"/>
            <w:tcBorders>
              <w:top w:val="single" w:sz="8" w:space="0" w:color="000000"/>
              <w:left w:val="nil"/>
              <w:bottom w:val="single" w:sz="8" w:space="0" w:color="000000"/>
              <w:right w:val="nil"/>
            </w:tcBorders>
            <w:noWrap/>
          </w:tcPr>
          <w:p w:rsidR="008D198A" w:rsidRPr="00205C7F" w:rsidRDefault="008D198A" w:rsidP="00DF0AE2">
            <w:pPr>
              <w:jc w:val="both"/>
              <w:rPr>
                <w:b/>
                <w:bCs/>
                <w:color w:val="000000"/>
                <w:lang w:eastAsia="en-GB"/>
              </w:rPr>
            </w:pPr>
            <w:r w:rsidRPr="00205C7F">
              <w:rPr>
                <w:b/>
                <w:bCs/>
                <w:color w:val="000000"/>
                <w:lang w:eastAsia="en-GB"/>
              </w:rPr>
              <w:lastRenderedPageBreak/>
              <w:t>PV(CF)</w:t>
            </w:r>
          </w:p>
        </w:tc>
      </w:tr>
      <w:tr w:rsidR="008D198A" w:rsidRPr="00205C7F" w:rsidTr="008D198A">
        <w:trPr>
          <w:trHeight w:val="300"/>
        </w:trPr>
        <w:tc>
          <w:tcPr>
            <w:tcW w:w="1420" w:type="dxa"/>
            <w:tcBorders>
              <w:left w:val="nil"/>
              <w:right w:val="nil"/>
            </w:tcBorders>
            <w:shd w:val="clear" w:color="auto" w:fill="C0C0C0"/>
            <w:noWrap/>
          </w:tcPr>
          <w:p w:rsidR="008D198A" w:rsidRPr="00205C7F" w:rsidRDefault="008D198A" w:rsidP="00DF0AE2">
            <w:pPr>
              <w:jc w:val="both"/>
              <w:rPr>
                <w:b/>
                <w:bCs/>
                <w:color w:val="000000"/>
                <w:lang w:eastAsia="en-GB"/>
              </w:rPr>
            </w:pPr>
            <w:r w:rsidRPr="00205C7F">
              <w:rPr>
                <w:b/>
                <w:bCs/>
                <w:color w:val="000000"/>
                <w:lang w:eastAsia="en-GB"/>
              </w:rPr>
              <w:lastRenderedPageBreak/>
              <w:t>1</w:t>
            </w:r>
          </w:p>
        </w:tc>
        <w:tc>
          <w:tcPr>
            <w:tcW w:w="1060" w:type="dxa"/>
            <w:tcBorders>
              <w:left w:val="nil"/>
              <w:right w:val="nil"/>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left w:val="nil"/>
              <w:right w:val="single" w:sz="4" w:space="0" w:color="auto"/>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99</w:t>
            </w:r>
            <w:r w:rsidR="00EB0CAB">
              <w:rPr>
                <w:color w:val="000000"/>
                <w:lang w:eastAsia="en-GB"/>
              </w:rPr>
              <w:t>,</w:t>
            </w:r>
            <w:r w:rsidR="008D198A" w:rsidRPr="00205C7F">
              <w:rPr>
                <w:color w:val="000000"/>
                <w:lang w:eastAsia="en-GB"/>
              </w:rPr>
              <w:t>009.9</w:t>
            </w:r>
            <w:r>
              <w:rPr>
                <w:color w:val="000000"/>
                <w:lang w:eastAsia="en-GB"/>
              </w:rPr>
              <w:t>0</w:t>
            </w:r>
          </w:p>
        </w:tc>
        <w:tc>
          <w:tcPr>
            <w:tcW w:w="1537" w:type="dxa"/>
            <w:tcBorders>
              <w:left w:val="single" w:sz="4" w:space="0" w:color="auto"/>
              <w:right w:val="nil"/>
            </w:tcBorders>
            <w:shd w:val="clear" w:color="auto" w:fill="C0C0C0"/>
            <w:noWrap/>
          </w:tcPr>
          <w:p w:rsidR="008D198A" w:rsidRPr="00205C7F" w:rsidRDefault="008D198A" w:rsidP="00DF0AE2">
            <w:pPr>
              <w:jc w:val="both"/>
              <w:rPr>
                <w:color w:val="000000"/>
                <w:lang w:eastAsia="en-GB"/>
              </w:rPr>
            </w:pPr>
          </w:p>
        </w:tc>
        <w:tc>
          <w:tcPr>
            <w:tcW w:w="1275" w:type="dxa"/>
            <w:tcBorders>
              <w:left w:val="nil"/>
              <w:right w:val="nil"/>
            </w:tcBorders>
            <w:shd w:val="clear" w:color="auto" w:fill="C0C0C0"/>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noWrap/>
          </w:tcPr>
          <w:p w:rsidR="008D198A" w:rsidRPr="00205C7F" w:rsidRDefault="008D198A" w:rsidP="00DF0AE2">
            <w:pPr>
              <w:jc w:val="both"/>
              <w:rPr>
                <w:b/>
                <w:bCs/>
                <w:color w:val="000000"/>
                <w:lang w:eastAsia="en-GB"/>
              </w:rPr>
            </w:pPr>
            <w:r w:rsidRPr="00205C7F">
              <w:rPr>
                <w:b/>
                <w:bCs/>
                <w:color w:val="000000"/>
                <w:lang w:eastAsia="en-GB"/>
              </w:rPr>
              <w:t>2</w:t>
            </w:r>
          </w:p>
        </w:tc>
        <w:tc>
          <w:tcPr>
            <w:tcW w:w="1060" w:type="dxa"/>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right w:val="single" w:sz="4" w:space="0" w:color="auto"/>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98</w:t>
            </w:r>
            <w:r w:rsidR="00EB0CAB">
              <w:rPr>
                <w:color w:val="000000"/>
                <w:lang w:eastAsia="en-GB"/>
              </w:rPr>
              <w:t>,</w:t>
            </w:r>
            <w:r w:rsidR="008D198A" w:rsidRPr="00205C7F">
              <w:rPr>
                <w:color w:val="000000"/>
                <w:lang w:eastAsia="en-GB"/>
              </w:rPr>
              <w:t>029.6</w:t>
            </w:r>
            <w:r>
              <w:rPr>
                <w:color w:val="000000"/>
                <w:lang w:eastAsia="en-GB"/>
              </w:rPr>
              <w:t>0</w:t>
            </w:r>
          </w:p>
        </w:tc>
        <w:tc>
          <w:tcPr>
            <w:tcW w:w="1537" w:type="dxa"/>
            <w:tcBorders>
              <w:left w:val="single" w:sz="4" w:space="0" w:color="auto"/>
            </w:tcBorders>
            <w:noWrap/>
          </w:tcPr>
          <w:p w:rsidR="008D198A" w:rsidRPr="00205C7F" w:rsidRDefault="008D198A" w:rsidP="00DF0AE2">
            <w:pPr>
              <w:jc w:val="both"/>
              <w:rPr>
                <w:color w:val="000000"/>
                <w:lang w:eastAsia="en-GB"/>
              </w:rPr>
            </w:pPr>
          </w:p>
        </w:tc>
        <w:tc>
          <w:tcPr>
            <w:tcW w:w="1275" w:type="dxa"/>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tcBorders>
              <w:left w:val="nil"/>
              <w:right w:val="nil"/>
            </w:tcBorders>
            <w:shd w:val="clear" w:color="auto" w:fill="C0C0C0"/>
            <w:noWrap/>
          </w:tcPr>
          <w:p w:rsidR="008D198A" w:rsidRPr="00205C7F" w:rsidRDefault="008D198A" w:rsidP="00DF0AE2">
            <w:pPr>
              <w:jc w:val="both"/>
              <w:rPr>
                <w:b/>
                <w:bCs/>
                <w:color w:val="000000"/>
                <w:lang w:eastAsia="en-GB"/>
              </w:rPr>
            </w:pPr>
            <w:r w:rsidRPr="00205C7F">
              <w:rPr>
                <w:b/>
                <w:bCs/>
                <w:color w:val="000000"/>
                <w:lang w:eastAsia="en-GB"/>
              </w:rPr>
              <w:t>3</w:t>
            </w:r>
          </w:p>
        </w:tc>
        <w:tc>
          <w:tcPr>
            <w:tcW w:w="1060" w:type="dxa"/>
            <w:tcBorders>
              <w:left w:val="nil"/>
              <w:right w:val="nil"/>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left w:val="nil"/>
              <w:right w:val="single" w:sz="4" w:space="0" w:color="auto"/>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97</w:t>
            </w:r>
            <w:r w:rsidR="00EB0CAB">
              <w:rPr>
                <w:color w:val="000000"/>
                <w:lang w:eastAsia="en-GB"/>
              </w:rPr>
              <w:t>,</w:t>
            </w:r>
            <w:r w:rsidR="008D198A" w:rsidRPr="00205C7F">
              <w:rPr>
                <w:color w:val="000000"/>
                <w:lang w:eastAsia="en-GB"/>
              </w:rPr>
              <w:t>059.01</w:t>
            </w:r>
          </w:p>
        </w:tc>
        <w:tc>
          <w:tcPr>
            <w:tcW w:w="1537" w:type="dxa"/>
            <w:tcBorders>
              <w:left w:val="single" w:sz="4" w:space="0" w:color="auto"/>
              <w:right w:val="nil"/>
            </w:tcBorders>
            <w:shd w:val="clear" w:color="auto" w:fill="C0C0C0"/>
            <w:noWrap/>
          </w:tcPr>
          <w:p w:rsidR="008D198A" w:rsidRPr="00205C7F" w:rsidRDefault="008D198A" w:rsidP="00DF0AE2">
            <w:pPr>
              <w:jc w:val="both"/>
              <w:rPr>
                <w:color w:val="000000"/>
                <w:lang w:eastAsia="en-GB"/>
              </w:rPr>
            </w:pPr>
          </w:p>
        </w:tc>
        <w:tc>
          <w:tcPr>
            <w:tcW w:w="1275" w:type="dxa"/>
            <w:tcBorders>
              <w:left w:val="nil"/>
              <w:right w:val="nil"/>
            </w:tcBorders>
            <w:shd w:val="clear" w:color="auto" w:fill="C0C0C0"/>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noWrap/>
          </w:tcPr>
          <w:p w:rsidR="008D198A" w:rsidRPr="00205C7F" w:rsidRDefault="008D198A" w:rsidP="00DF0AE2">
            <w:pPr>
              <w:jc w:val="both"/>
              <w:rPr>
                <w:b/>
                <w:bCs/>
                <w:color w:val="000000"/>
                <w:lang w:eastAsia="en-GB"/>
              </w:rPr>
            </w:pPr>
            <w:r w:rsidRPr="00205C7F">
              <w:rPr>
                <w:b/>
                <w:bCs/>
                <w:color w:val="000000"/>
                <w:lang w:eastAsia="en-GB"/>
              </w:rPr>
              <w:t>4</w:t>
            </w:r>
          </w:p>
        </w:tc>
        <w:tc>
          <w:tcPr>
            <w:tcW w:w="1060" w:type="dxa"/>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right w:val="single" w:sz="4" w:space="0" w:color="auto"/>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96</w:t>
            </w:r>
            <w:r w:rsidR="00EB0CAB">
              <w:rPr>
                <w:color w:val="000000"/>
                <w:lang w:eastAsia="en-GB"/>
              </w:rPr>
              <w:t>,</w:t>
            </w:r>
            <w:r w:rsidR="008D198A" w:rsidRPr="00205C7F">
              <w:rPr>
                <w:color w:val="000000"/>
                <w:lang w:eastAsia="en-GB"/>
              </w:rPr>
              <w:t>098.03</w:t>
            </w:r>
          </w:p>
        </w:tc>
        <w:tc>
          <w:tcPr>
            <w:tcW w:w="1537" w:type="dxa"/>
            <w:tcBorders>
              <w:left w:val="single" w:sz="4" w:space="0" w:color="auto"/>
            </w:tcBorders>
            <w:noWrap/>
          </w:tcPr>
          <w:p w:rsidR="008D198A" w:rsidRPr="00205C7F" w:rsidRDefault="008D198A" w:rsidP="00DF0AE2">
            <w:pPr>
              <w:jc w:val="both"/>
              <w:rPr>
                <w:color w:val="000000"/>
                <w:lang w:eastAsia="en-GB"/>
              </w:rPr>
            </w:pPr>
          </w:p>
        </w:tc>
        <w:tc>
          <w:tcPr>
            <w:tcW w:w="1275" w:type="dxa"/>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tcBorders>
              <w:left w:val="nil"/>
              <w:right w:val="nil"/>
            </w:tcBorders>
            <w:shd w:val="clear" w:color="auto" w:fill="C0C0C0"/>
            <w:noWrap/>
          </w:tcPr>
          <w:p w:rsidR="008D198A" w:rsidRPr="00205C7F" w:rsidRDefault="008D198A" w:rsidP="00DF0AE2">
            <w:pPr>
              <w:jc w:val="both"/>
              <w:rPr>
                <w:b/>
                <w:bCs/>
                <w:color w:val="000000"/>
                <w:lang w:eastAsia="en-GB"/>
              </w:rPr>
            </w:pPr>
            <w:r w:rsidRPr="00205C7F">
              <w:rPr>
                <w:b/>
                <w:bCs/>
                <w:color w:val="000000"/>
                <w:lang w:eastAsia="en-GB"/>
              </w:rPr>
              <w:t>5</w:t>
            </w:r>
          </w:p>
        </w:tc>
        <w:tc>
          <w:tcPr>
            <w:tcW w:w="1060" w:type="dxa"/>
            <w:tcBorders>
              <w:left w:val="nil"/>
              <w:right w:val="nil"/>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left w:val="nil"/>
              <w:right w:val="single" w:sz="4" w:space="0" w:color="auto"/>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95</w:t>
            </w:r>
            <w:r w:rsidR="00EB0CAB">
              <w:rPr>
                <w:color w:val="000000"/>
                <w:lang w:eastAsia="en-GB"/>
              </w:rPr>
              <w:t>,</w:t>
            </w:r>
            <w:r w:rsidR="008D198A" w:rsidRPr="00205C7F">
              <w:rPr>
                <w:color w:val="000000"/>
                <w:lang w:eastAsia="en-GB"/>
              </w:rPr>
              <w:t>146.57</w:t>
            </w:r>
          </w:p>
        </w:tc>
        <w:tc>
          <w:tcPr>
            <w:tcW w:w="1537" w:type="dxa"/>
            <w:tcBorders>
              <w:left w:val="single" w:sz="4" w:space="0" w:color="auto"/>
              <w:right w:val="nil"/>
            </w:tcBorders>
            <w:shd w:val="clear" w:color="auto" w:fill="C0C0C0"/>
            <w:noWrap/>
          </w:tcPr>
          <w:p w:rsidR="008D198A" w:rsidRPr="00205C7F" w:rsidRDefault="008D198A" w:rsidP="00DF0AE2">
            <w:pPr>
              <w:jc w:val="both"/>
              <w:rPr>
                <w:color w:val="000000"/>
                <w:lang w:eastAsia="en-GB"/>
              </w:rPr>
            </w:pPr>
          </w:p>
        </w:tc>
        <w:tc>
          <w:tcPr>
            <w:tcW w:w="1275" w:type="dxa"/>
            <w:tcBorders>
              <w:left w:val="nil"/>
              <w:right w:val="nil"/>
            </w:tcBorders>
            <w:shd w:val="clear" w:color="auto" w:fill="C0C0C0"/>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noWrap/>
          </w:tcPr>
          <w:p w:rsidR="008D198A" w:rsidRPr="00205C7F" w:rsidRDefault="008D198A" w:rsidP="00DF0AE2">
            <w:pPr>
              <w:jc w:val="both"/>
              <w:rPr>
                <w:b/>
                <w:bCs/>
                <w:color w:val="000000"/>
                <w:lang w:eastAsia="en-GB"/>
              </w:rPr>
            </w:pPr>
            <w:r w:rsidRPr="00205C7F">
              <w:rPr>
                <w:b/>
                <w:bCs/>
                <w:color w:val="000000"/>
                <w:lang w:eastAsia="en-GB"/>
              </w:rPr>
              <w:t>6</w:t>
            </w:r>
          </w:p>
        </w:tc>
        <w:tc>
          <w:tcPr>
            <w:tcW w:w="1060" w:type="dxa"/>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right w:val="single" w:sz="4" w:space="0" w:color="auto"/>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94</w:t>
            </w:r>
            <w:r w:rsidR="00EB0CAB">
              <w:rPr>
                <w:color w:val="000000"/>
                <w:lang w:eastAsia="en-GB"/>
              </w:rPr>
              <w:t>,</w:t>
            </w:r>
            <w:r w:rsidR="008D198A" w:rsidRPr="00205C7F">
              <w:rPr>
                <w:color w:val="000000"/>
                <w:lang w:eastAsia="en-GB"/>
              </w:rPr>
              <w:t>204.52</w:t>
            </w:r>
          </w:p>
        </w:tc>
        <w:tc>
          <w:tcPr>
            <w:tcW w:w="1537" w:type="dxa"/>
            <w:tcBorders>
              <w:left w:val="single" w:sz="4" w:space="0" w:color="auto"/>
            </w:tcBorders>
            <w:noWrap/>
          </w:tcPr>
          <w:p w:rsidR="008D198A" w:rsidRPr="00205C7F" w:rsidRDefault="008D198A" w:rsidP="00DF0AE2">
            <w:pPr>
              <w:jc w:val="both"/>
              <w:rPr>
                <w:color w:val="000000"/>
                <w:lang w:eastAsia="en-GB"/>
              </w:rPr>
            </w:pPr>
          </w:p>
        </w:tc>
        <w:tc>
          <w:tcPr>
            <w:tcW w:w="1275" w:type="dxa"/>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tcBorders>
              <w:left w:val="nil"/>
              <w:right w:val="nil"/>
            </w:tcBorders>
            <w:shd w:val="clear" w:color="auto" w:fill="C0C0C0"/>
            <w:noWrap/>
          </w:tcPr>
          <w:p w:rsidR="008D198A" w:rsidRPr="00205C7F" w:rsidRDefault="008D198A" w:rsidP="00DF0AE2">
            <w:pPr>
              <w:jc w:val="both"/>
              <w:rPr>
                <w:b/>
                <w:bCs/>
                <w:color w:val="000000"/>
                <w:lang w:eastAsia="en-GB"/>
              </w:rPr>
            </w:pPr>
            <w:r w:rsidRPr="00205C7F">
              <w:rPr>
                <w:b/>
                <w:bCs/>
                <w:color w:val="000000"/>
                <w:lang w:eastAsia="en-GB"/>
              </w:rPr>
              <w:t>7</w:t>
            </w:r>
          </w:p>
        </w:tc>
        <w:tc>
          <w:tcPr>
            <w:tcW w:w="1060" w:type="dxa"/>
            <w:tcBorders>
              <w:left w:val="nil"/>
              <w:right w:val="nil"/>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left w:val="nil"/>
              <w:right w:val="single" w:sz="4" w:space="0" w:color="auto"/>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93</w:t>
            </w:r>
            <w:r w:rsidR="00EB0CAB">
              <w:rPr>
                <w:color w:val="000000"/>
                <w:lang w:eastAsia="en-GB"/>
              </w:rPr>
              <w:t>,</w:t>
            </w:r>
            <w:r w:rsidR="008D198A" w:rsidRPr="00205C7F">
              <w:rPr>
                <w:color w:val="000000"/>
                <w:lang w:eastAsia="en-GB"/>
              </w:rPr>
              <w:t>271.81</w:t>
            </w:r>
          </w:p>
        </w:tc>
        <w:tc>
          <w:tcPr>
            <w:tcW w:w="1537" w:type="dxa"/>
            <w:tcBorders>
              <w:left w:val="single" w:sz="4" w:space="0" w:color="auto"/>
              <w:right w:val="nil"/>
            </w:tcBorders>
            <w:shd w:val="clear" w:color="auto" w:fill="C0C0C0"/>
            <w:noWrap/>
          </w:tcPr>
          <w:p w:rsidR="008D198A" w:rsidRPr="00205C7F" w:rsidRDefault="008D198A" w:rsidP="00DF0AE2">
            <w:pPr>
              <w:jc w:val="both"/>
              <w:rPr>
                <w:color w:val="000000"/>
                <w:lang w:eastAsia="en-GB"/>
              </w:rPr>
            </w:pPr>
          </w:p>
        </w:tc>
        <w:tc>
          <w:tcPr>
            <w:tcW w:w="1275" w:type="dxa"/>
            <w:tcBorders>
              <w:left w:val="nil"/>
              <w:right w:val="nil"/>
            </w:tcBorders>
            <w:shd w:val="clear" w:color="auto" w:fill="C0C0C0"/>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noWrap/>
          </w:tcPr>
          <w:p w:rsidR="008D198A" w:rsidRPr="00205C7F" w:rsidRDefault="008D198A" w:rsidP="00DF0AE2">
            <w:pPr>
              <w:jc w:val="both"/>
              <w:rPr>
                <w:b/>
                <w:bCs/>
                <w:color w:val="000000"/>
                <w:lang w:eastAsia="en-GB"/>
              </w:rPr>
            </w:pPr>
            <w:r w:rsidRPr="00205C7F">
              <w:rPr>
                <w:b/>
                <w:bCs/>
                <w:color w:val="000000"/>
                <w:lang w:eastAsia="en-GB"/>
              </w:rPr>
              <w:t>8</w:t>
            </w:r>
          </w:p>
        </w:tc>
        <w:tc>
          <w:tcPr>
            <w:tcW w:w="1060" w:type="dxa"/>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right w:val="single" w:sz="4" w:space="0" w:color="auto"/>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92</w:t>
            </w:r>
            <w:r w:rsidR="00EB0CAB">
              <w:rPr>
                <w:color w:val="000000"/>
                <w:lang w:eastAsia="en-GB"/>
              </w:rPr>
              <w:t>,</w:t>
            </w:r>
            <w:r w:rsidR="008D198A" w:rsidRPr="00205C7F">
              <w:rPr>
                <w:color w:val="000000"/>
                <w:lang w:eastAsia="en-GB"/>
              </w:rPr>
              <w:t>348.32</w:t>
            </w:r>
          </w:p>
        </w:tc>
        <w:tc>
          <w:tcPr>
            <w:tcW w:w="1537" w:type="dxa"/>
            <w:tcBorders>
              <w:left w:val="single" w:sz="4" w:space="0" w:color="auto"/>
            </w:tcBorders>
            <w:noWrap/>
          </w:tcPr>
          <w:p w:rsidR="008D198A" w:rsidRPr="00205C7F" w:rsidRDefault="008D198A" w:rsidP="00DF0AE2">
            <w:pPr>
              <w:jc w:val="both"/>
              <w:rPr>
                <w:color w:val="000000"/>
                <w:lang w:eastAsia="en-GB"/>
              </w:rPr>
            </w:pPr>
          </w:p>
        </w:tc>
        <w:tc>
          <w:tcPr>
            <w:tcW w:w="1275" w:type="dxa"/>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tcBorders>
              <w:left w:val="nil"/>
              <w:right w:val="nil"/>
            </w:tcBorders>
            <w:shd w:val="clear" w:color="auto" w:fill="C0C0C0"/>
            <w:noWrap/>
          </w:tcPr>
          <w:p w:rsidR="008D198A" w:rsidRPr="00205C7F" w:rsidRDefault="008D198A" w:rsidP="00DF0AE2">
            <w:pPr>
              <w:jc w:val="both"/>
              <w:rPr>
                <w:b/>
                <w:bCs/>
                <w:color w:val="000000"/>
                <w:lang w:eastAsia="en-GB"/>
              </w:rPr>
            </w:pPr>
            <w:r w:rsidRPr="00205C7F">
              <w:rPr>
                <w:b/>
                <w:bCs/>
                <w:color w:val="000000"/>
                <w:lang w:eastAsia="en-GB"/>
              </w:rPr>
              <w:t>9</w:t>
            </w:r>
          </w:p>
        </w:tc>
        <w:tc>
          <w:tcPr>
            <w:tcW w:w="1060" w:type="dxa"/>
            <w:tcBorders>
              <w:left w:val="nil"/>
              <w:right w:val="nil"/>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left w:val="nil"/>
              <w:right w:val="single" w:sz="4" w:space="0" w:color="auto"/>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91</w:t>
            </w:r>
            <w:r w:rsidR="00EB0CAB">
              <w:rPr>
                <w:color w:val="000000"/>
                <w:lang w:eastAsia="en-GB"/>
              </w:rPr>
              <w:t>,</w:t>
            </w:r>
            <w:r w:rsidR="008D198A" w:rsidRPr="00205C7F">
              <w:rPr>
                <w:color w:val="000000"/>
                <w:lang w:eastAsia="en-GB"/>
              </w:rPr>
              <w:t>433.98</w:t>
            </w:r>
          </w:p>
        </w:tc>
        <w:tc>
          <w:tcPr>
            <w:tcW w:w="1537" w:type="dxa"/>
            <w:tcBorders>
              <w:left w:val="single" w:sz="4" w:space="0" w:color="auto"/>
              <w:right w:val="nil"/>
            </w:tcBorders>
            <w:shd w:val="clear" w:color="auto" w:fill="C0C0C0"/>
            <w:noWrap/>
          </w:tcPr>
          <w:p w:rsidR="008D198A" w:rsidRPr="00205C7F" w:rsidRDefault="008D198A" w:rsidP="00DF0AE2">
            <w:pPr>
              <w:jc w:val="both"/>
              <w:rPr>
                <w:color w:val="000000"/>
                <w:lang w:eastAsia="en-GB"/>
              </w:rPr>
            </w:pPr>
          </w:p>
        </w:tc>
        <w:tc>
          <w:tcPr>
            <w:tcW w:w="1275" w:type="dxa"/>
            <w:tcBorders>
              <w:left w:val="nil"/>
              <w:right w:val="nil"/>
            </w:tcBorders>
            <w:shd w:val="clear" w:color="auto" w:fill="C0C0C0"/>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noWrap/>
          </w:tcPr>
          <w:p w:rsidR="008D198A" w:rsidRPr="00205C7F" w:rsidRDefault="008D198A" w:rsidP="00DF0AE2">
            <w:pPr>
              <w:jc w:val="both"/>
              <w:rPr>
                <w:b/>
                <w:bCs/>
                <w:color w:val="000000"/>
                <w:lang w:eastAsia="en-GB"/>
              </w:rPr>
            </w:pPr>
            <w:r w:rsidRPr="00205C7F">
              <w:rPr>
                <w:b/>
                <w:bCs/>
                <w:color w:val="000000"/>
                <w:lang w:eastAsia="en-GB"/>
              </w:rPr>
              <w:t>10</w:t>
            </w:r>
          </w:p>
        </w:tc>
        <w:tc>
          <w:tcPr>
            <w:tcW w:w="1060" w:type="dxa"/>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right w:val="single" w:sz="4" w:space="0" w:color="auto"/>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90</w:t>
            </w:r>
            <w:r w:rsidR="00EB0CAB">
              <w:rPr>
                <w:color w:val="000000"/>
                <w:lang w:eastAsia="en-GB"/>
              </w:rPr>
              <w:t>,</w:t>
            </w:r>
            <w:r w:rsidR="008D198A" w:rsidRPr="00205C7F">
              <w:rPr>
                <w:color w:val="000000"/>
                <w:lang w:eastAsia="en-GB"/>
              </w:rPr>
              <w:t>528.7</w:t>
            </w:r>
            <w:r>
              <w:rPr>
                <w:color w:val="000000"/>
                <w:lang w:eastAsia="en-GB"/>
              </w:rPr>
              <w:t>0</w:t>
            </w:r>
          </w:p>
        </w:tc>
        <w:tc>
          <w:tcPr>
            <w:tcW w:w="1537" w:type="dxa"/>
            <w:tcBorders>
              <w:left w:val="single" w:sz="4" w:space="0" w:color="auto"/>
            </w:tcBorders>
            <w:noWrap/>
          </w:tcPr>
          <w:p w:rsidR="008D198A" w:rsidRPr="00205C7F" w:rsidRDefault="008D198A" w:rsidP="00DF0AE2">
            <w:pPr>
              <w:jc w:val="both"/>
              <w:rPr>
                <w:color w:val="000000"/>
                <w:lang w:eastAsia="en-GB"/>
              </w:rPr>
            </w:pPr>
          </w:p>
        </w:tc>
        <w:tc>
          <w:tcPr>
            <w:tcW w:w="1275" w:type="dxa"/>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tcBorders>
              <w:left w:val="nil"/>
              <w:right w:val="nil"/>
            </w:tcBorders>
            <w:shd w:val="clear" w:color="auto" w:fill="C0C0C0"/>
            <w:noWrap/>
          </w:tcPr>
          <w:p w:rsidR="008D198A" w:rsidRPr="00205C7F" w:rsidRDefault="008D198A" w:rsidP="00DF0AE2">
            <w:pPr>
              <w:jc w:val="both"/>
              <w:rPr>
                <w:b/>
                <w:bCs/>
                <w:color w:val="000000"/>
                <w:lang w:eastAsia="en-GB"/>
              </w:rPr>
            </w:pPr>
            <w:r w:rsidRPr="00205C7F">
              <w:rPr>
                <w:b/>
                <w:bCs/>
                <w:color w:val="000000"/>
                <w:lang w:eastAsia="en-GB"/>
              </w:rPr>
              <w:t>11</w:t>
            </w:r>
          </w:p>
        </w:tc>
        <w:tc>
          <w:tcPr>
            <w:tcW w:w="1060" w:type="dxa"/>
            <w:tcBorders>
              <w:left w:val="nil"/>
              <w:right w:val="nil"/>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left w:val="nil"/>
              <w:right w:val="single" w:sz="4" w:space="0" w:color="auto"/>
            </w:tcBorders>
            <w:shd w:val="clear" w:color="auto" w:fill="C0C0C0"/>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89</w:t>
            </w:r>
            <w:r w:rsidR="00EB0CAB">
              <w:rPr>
                <w:color w:val="000000"/>
                <w:lang w:eastAsia="en-GB"/>
              </w:rPr>
              <w:t>,</w:t>
            </w:r>
            <w:r w:rsidR="008D198A" w:rsidRPr="00205C7F">
              <w:rPr>
                <w:color w:val="000000"/>
                <w:lang w:eastAsia="en-GB"/>
              </w:rPr>
              <w:t>632.37</w:t>
            </w:r>
          </w:p>
        </w:tc>
        <w:tc>
          <w:tcPr>
            <w:tcW w:w="1537" w:type="dxa"/>
            <w:tcBorders>
              <w:left w:val="single" w:sz="4" w:space="0" w:color="auto"/>
              <w:right w:val="nil"/>
            </w:tcBorders>
            <w:shd w:val="clear" w:color="auto" w:fill="C0C0C0"/>
            <w:noWrap/>
          </w:tcPr>
          <w:p w:rsidR="008D198A" w:rsidRPr="00205C7F" w:rsidRDefault="008D198A" w:rsidP="00DF0AE2">
            <w:pPr>
              <w:jc w:val="both"/>
              <w:rPr>
                <w:color w:val="000000"/>
                <w:lang w:eastAsia="en-GB"/>
              </w:rPr>
            </w:pPr>
          </w:p>
        </w:tc>
        <w:tc>
          <w:tcPr>
            <w:tcW w:w="1275" w:type="dxa"/>
            <w:tcBorders>
              <w:left w:val="nil"/>
              <w:right w:val="nil"/>
            </w:tcBorders>
            <w:shd w:val="clear" w:color="auto" w:fill="C0C0C0"/>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tcBorders>
              <w:bottom w:val="nil"/>
            </w:tcBorders>
            <w:noWrap/>
          </w:tcPr>
          <w:p w:rsidR="008D198A" w:rsidRPr="00205C7F" w:rsidRDefault="008D198A" w:rsidP="00DF0AE2">
            <w:pPr>
              <w:jc w:val="both"/>
              <w:rPr>
                <w:b/>
                <w:bCs/>
                <w:color w:val="000000"/>
                <w:lang w:eastAsia="en-GB"/>
              </w:rPr>
            </w:pPr>
            <w:r w:rsidRPr="00205C7F">
              <w:rPr>
                <w:b/>
                <w:bCs/>
                <w:color w:val="000000"/>
                <w:lang w:eastAsia="en-GB"/>
              </w:rPr>
              <w:t>12</w:t>
            </w:r>
          </w:p>
        </w:tc>
        <w:tc>
          <w:tcPr>
            <w:tcW w:w="1060" w:type="dxa"/>
            <w:tcBorders>
              <w:bottom w:val="nil"/>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100</w:t>
            </w:r>
            <w:r w:rsidR="00EB0CAB">
              <w:rPr>
                <w:color w:val="000000"/>
                <w:lang w:eastAsia="en-GB"/>
              </w:rPr>
              <w:t>,</w:t>
            </w:r>
            <w:r w:rsidR="008D198A" w:rsidRPr="00205C7F">
              <w:rPr>
                <w:color w:val="000000"/>
                <w:lang w:eastAsia="en-GB"/>
              </w:rPr>
              <w:t>000</w:t>
            </w:r>
          </w:p>
        </w:tc>
        <w:tc>
          <w:tcPr>
            <w:tcW w:w="1053" w:type="dxa"/>
            <w:tcBorders>
              <w:bottom w:val="nil"/>
              <w:right w:val="single" w:sz="4" w:space="0" w:color="auto"/>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88</w:t>
            </w:r>
            <w:r w:rsidR="00EB0CAB">
              <w:rPr>
                <w:color w:val="000000"/>
                <w:lang w:eastAsia="en-GB"/>
              </w:rPr>
              <w:t>,</w:t>
            </w:r>
            <w:r w:rsidR="008D198A" w:rsidRPr="00205C7F">
              <w:rPr>
                <w:color w:val="000000"/>
                <w:lang w:eastAsia="en-GB"/>
              </w:rPr>
              <w:t>744.92</w:t>
            </w:r>
          </w:p>
        </w:tc>
        <w:tc>
          <w:tcPr>
            <w:tcW w:w="1537" w:type="dxa"/>
            <w:tcBorders>
              <w:left w:val="single" w:sz="4" w:space="0" w:color="auto"/>
              <w:bottom w:val="nil"/>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w:t>
            </w:r>
            <w:r w:rsidR="00EB0CAB">
              <w:rPr>
                <w:color w:val="000000"/>
                <w:lang w:eastAsia="en-GB"/>
              </w:rPr>
              <w:t>,</w:t>
            </w:r>
            <w:r w:rsidR="008D198A" w:rsidRPr="00205C7F">
              <w:rPr>
                <w:color w:val="000000"/>
                <w:lang w:eastAsia="en-GB"/>
              </w:rPr>
              <w:t>200</w:t>
            </w:r>
            <w:r w:rsidR="00EB0CAB">
              <w:rPr>
                <w:color w:val="000000"/>
                <w:lang w:eastAsia="en-GB"/>
              </w:rPr>
              <w:t>,</w:t>
            </w:r>
            <w:r w:rsidR="008D198A" w:rsidRPr="00205C7F">
              <w:rPr>
                <w:color w:val="000000"/>
                <w:lang w:eastAsia="en-GB"/>
              </w:rPr>
              <w:t>000</w:t>
            </w:r>
          </w:p>
        </w:tc>
        <w:tc>
          <w:tcPr>
            <w:tcW w:w="1275" w:type="dxa"/>
            <w:tcBorders>
              <w:bottom w:val="nil"/>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w:t>
            </w:r>
            <w:r w:rsidR="00EB0CAB">
              <w:rPr>
                <w:color w:val="000000"/>
                <w:lang w:eastAsia="en-GB"/>
              </w:rPr>
              <w:t>,</w:t>
            </w:r>
            <w:r w:rsidR="008D198A" w:rsidRPr="00205C7F">
              <w:rPr>
                <w:color w:val="000000"/>
                <w:lang w:eastAsia="en-GB"/>
              </w:rPr>
              <w:t>064</w:t>
            </w:r>
            <w:r w:rsidR="00EB0CAB">
              <w:rPr>
                <w:color w:val="000000"/>
                <w:lang w:eastAsia="en-GB"/>
              </w:rPr>
              <w:t>,</w:t>
            </w:r>
            <w:r w:rsidR="008D198A" w:rsidRPr="00205C7F">
              <w:rPr>
                <w:color w:val="000000"/>
                <w:lang w:eastAsia="en-GB"/>
              </w:rPr>
              <w:t>939.07</w:t>
            </w:r>
          </w:p>
        </w:tc>
      </w:tr>
      <w:tr w:rsidR="008D198A" w:rsidRPr="00205C7F" w:rsidTr="008D198A">
        <w:trPr>
          <w:trHeight w:val="300"/>
        </w:trPr>
        <w:tc>
          <w:tcPr>
            <w:tcW w:w="1420" w:type="dxa"/>
            <w:tcBorders>
              <w:top w:val="nil"/>
              <w:left w:val="nil"/>
              <w:bottom w:val="single" w:sz="4" w:space="0" w:color="auto"/>
              <w:right w:val="nil"/>
            </w:tcBorders>
            <w:shd w:val="clear" w:color="auto" w:fill="C0C0C0"/>
            <w:noWrap/>
          </w:tcPr>
          <w:p w:rsidR="008D198A" w:rsidRPr="00205C7F" w:rsidRDefault="008D198A" w:rsidP="00DF0AE2">
            <w:pPr>
              <w:jc w:val="both"/>
              <w:rPr>
                <w:b/>
                <w:bCs/>
                <w:color w:val="000000"/>
                <w:lang w:eastAsia="en-GB"/>
              </w:rPr>
            </w:pPr>
          </w:p>
        </w:tc>
        <w:tc>
          <w:tcPr>
            <w:tcW w:w="1060" w:type="dxa"/>
            <w:tcBorders>
              <w:top w:val="nil"/>
              <w:left w:val="nil"/>
              <w:bottom w:val="single" w:sz="4" w:space="0" w:color="auto"/>
              <w:right w:val="nil"/>
            </w:tcBorders>
            <w:shd w:val="clear" w:color="auto" w:fill="C0C0C0"/>
            <w:noWrap/>
          </w:tcPr>
          <w:p w:rsidR="008D198A" w:rsidRPr="00205C7F" w:rsidRDefault="008D198A" w:rsidP="00DF0AE2">
            <w:pPr>
              <w:jc w:val="both"/>
              <w:rPr>
                <w:color w:val="000000"/>
                <w:lang w:eastAsia="en-GB"/>
              </w:rPr>
            </w:pPr>
          </w:p>
        </w:tc>
        <w:tc>
          <w:tcPr>
            <w:tcW w:w="1053" w:type="dxa"/>
            <w:tcBorders>
              <w:top w:val="nil"/>
              <w:left w:val="nil"/>
              <w:bottom w:val="single" w:sz="4" w:space="0" w:color="auto"/>
              <w:right w:val="single" w:sz="4" w:space="0" w:color="auto"/>
            </w:tcBorders>
            <w:shd w:val="clear" w:color="auto" w:fill="C0C0C0"/>
            <w:noWrap/>
          </w:tcPr>
          <w:p w:rsidR="008D198A" w:rsidRPr="00205C7F" w:rsidRDefault="008D198A" w:rsidP="00DF0AE2">
            <w:pPr>
              <w:jc w:val="both"/>
              <w:rPr>
                <w:color w:val="000000"/>
                <w:lang w:eastAsia="en-GB"/>
              </w:rPr>
            </w:pPr>
          </w:p>
        </w:tc>
        <w:tc>
          <w:tcPr>
            <w:tcW w:w="1537" w:type="dxa"/>
            <w:tcBorders>
              <w:top w:val="nil"/>
              <w:left w:val="single" w:sz="4" w:space="0" w:color="auto"/>
              <w:bottom w:val="single" w:sz="4" w:space="0" w:color="auto"/>
              <w:right w:val="nil"/>
            </w:tcBorders>
            <w:shd w:val="clear" w:color="auto" w:fill="C0C0C0"/>
            <w:noWrap/>
          </w:tcPr>
          <w:p w:rsidR="008D198A" w:rsidRPr="00205C7F" w:rsidRDefault="008D198A" w:rsidP="00DF0AE2">
            <w:pPr>
              <w:jc w:val="both"/>
              <w:rPr>
                <w:color w:val="000000"/>
                <w:lang w:eastAsia="en-GB"/>
              </w:rPr>
            </w:pPr>
          </w:p>
        </w:tc>
        <w:tc>
          <w:tcPr>
            <w:tcW w:w="1275" w:type="dxa"/>
            <w:tcBorders>
              <w:top w:val="nil"/>
              <w:left w:val="nil"/>
              <w:bottom w:val="single" w:sz="4" w:space="0" w:color="auto"/>
              <w:right w:val="nil"/>
            </w:tcBorders>
            <w:shd w:val="clear" w:color="auto" w:fill="C0C0C0"/>
            <w:noWrap/>
          </w:tcPr>
          <w:p w:rsidR="008D198A" w:rsidRPr="00205C7F" w:rsidRDefault="008D198A" w:rsidP="00DF0AE2">
            <w:pPr>
              <w:jc w:val="both"/>
              <w:rPr>
                <w:color w:val="000000"/>
                <w:lang w:eastAsia="en-GB"/>
              </w:rPr>
            </w:pPr>
          </w:p>
        </w:tc>
      </w:tr>
      <w:tr w:rsidR="008D198A" w:rsidRPr="00205C7F" w:rsidTr="008D198A">
        <w:trPr>
          <w:trHeight w:val="300"/>
        </w:trPr>
        <w:tc>
          <w:tcPr>
            <w:tcW w:w="1420" w:type="dxa"/>
            <w:tcBorders>
              <w:top w:val="single" w:sz="4" w:space="0" w:color="auto"/>
              <w:bottom w:val="single" w:sz="8" w:space="0" w:color="000000"/>
            </w:tcBorders>
            <w:noWrap/>
          </w:tcPr>
          <w:p w:rsidR="008D198A" w:rsidRPr="00205C7F" w:rsidRDefault="008D198A" w:rsidP="00DF0AE2">
            <w:pPr>
              <w:jc w:val="both"/>
              <w:rPr>
                <w:b/>
                <w:bCs/>
                <w:color w:val="000000"/>
                <w:lang w:eastAsia="en-GB"/>
              </w:rPr>
            </w:pPr>
            <w:r w:rsidRPr="00205C7F">
              <w:rPr>
                <w:b/>
                <w:bCs/>
                <w:color w:val="000000"/>
                <w:lang w:eastAsia="en-GB"/>
              </w:rPr>
              <w:t xml:space="preserve">PV </w:t>
            </w:r>
          </w:p>
        </w:tc>
        <w:tc>
          <w:tcPr>
            <w:tcW w:w="1060" w:type="dxa"/>
            <w:tcBorders>
              <w:top w:val="single" w:sz="4" w:space="0" w:color="auto"/>
              <w:bottom w:val="single" w:sz="8" w:space="0" w:color="000000"/>
            </w:tcBorders>
            <w:noWrap/>
          </w:tcPr>
          <w:p w:rsidR="008D198A" w:rsidRPr="00205C7F" w:rsidRDefault="008D198A" w:rsidP="00DF0AE2">
            <w:pPr>
              <w:jc w:val="both"/>
              <w:rPr>
                <w:color w:val="000000"/>
                <w:lang w:eastAsia="en-GB"/>
              </w:rPr>
            </w:pPr>
          </w:p>
        </w:tc>
        <w:tc>
          <w:tcPr>
            <w:tcW w:w="1053" w:type="dxa"/>
            <w:tcBorders>
              <w:top w:val="single" w:sz="4" w:space="0" w:color="auto"/>
              <w:bottom w:val="single" w:sz="8" w:space="0" w:color="000000"/>
              <w:right w:val="single" w:sz="4" w:space="0" w:color="auto"/>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w:t>
            </w:r>
            <w:r w:rsidR="00EB0CAB">
              <w:rPr>
                <w:color w:val="000000"/>
                <w:lang w:eastAsia="en-GB"/>
              </w:rPr>
              <w:t>,</w:t>
            </w:r>
            <w:r w:rsidR="008D198A" w:rsidRPr="00205C7F">
              <w:rPr>
                <w:color w:val="000000"/>
                <w:lang w:eastAsia="en-GB"/>
              </w:rPr>
              <w:t>125</w:t>
            </w:r>
            <w:r w:rsidR="00EB0CAB">
              <w:rPr>
                <w:color w:val="000000"/>
                <w:lang w:eastAsia="en-GB"/>
              </w:rPr>
              <w:t>,</w:t>
            </w:r>
            <w:r w:rsidR="008D198A" w:rsidRPr="00205C7F">
              <w:rPr>
                <w:color w:val="000000"/>
                <w:lang w:eastAsia="en-GB"/>
              </w:rPr>
              <w:t>508</w:t>
            </w:r>
          </w:p>
        </w:tc>
        <w:tc>
          <w:tcPr>
            <w:tcW w:w="1537" w:type="dxa"/>
            <w:tcBorders>
              <w:top w:val="single" w:sz="4" w:space="0" w:color="auto"/>
              <w:left w:val="single" w:sz="4" w:space="0" w:color="auto"/>
              <w:bottom w:val="single" w:sz="8" w:space="0" w:color="000000"/>
            </w:tcBorders>
            <w:noWrap/>
          </w:tcPr>
          <w:p w:rsidR="008D198A" w:rsidRPr="00205C7F" w:rsidRDefault="008D198A" w:rsidP="00DF0AE2">
            <w:pPr>
              <w:jc w:val="both"/>
              <w:rPr>
                <w:color w:val="000000"/>
                <w:lang w:eastAsia="en-GB"/>
              </w:rPr>
            </w:pPr>
            <w:r w:rsidRPr="00205C7F">
              <w:rPr>
                <w:color w:val="000000"/>
                <w:lang w:eastAsia="en-GB"/>
              </w:rPr>
              <w:t>PV</w:t>
            </w:r>
          </w:p>
        </w:tc>
        <w:tc>
          <w:tcPr>
            <w:tcW w:w="1275" w:type="dxa"/>
            <w:tcBorders>
              <w:top w:val="single" w:sz="4" w:space="0" w:color="auto"/>
              <w:bottom w:val="single" w:sz="8" w:space="0" w:color="000000"/>
            </w:tcBorders>
            <w:noWrap/>
          </w:tcPr>
          <w:p w:rsidR="008D198A" w:rsidRPr="00205C7F" w:rsidRDefault="00211A15" w:rsidP="00DF0AE2">
            <w:pPr>
              <w:jc w:val="both"/>
              <w:rPr>
                <w:color w:val="000000"/>
                <w:lang w:eastAsia="en-GB"/>
              </w:rPr>
            </w:pPr>
            <w:r w:rsidRPr="00211A15">
              <w:rPr>
                <w:rFonts w:ascii="Calibri" w:hAnsi="Calibri" w:cs="Arial"/>
                <w:color w:val="000000"/>
                <w:szCs w:val="22"/>
              </w:rPr>
              <w:t>£</w:t>
            </w:r>
            <w:r w:rsidR="008D198A" w:rsidRPr="00205C7F">
              <w:rPr>
                <w:color w:val="000000"/>
                <w:lang w:eastAsia="en-GB"/>
              </w:rPr>
              <w:t>1</w:t>
            </w:r>
            <w:r w:rsidR="00EB0CAB">
              <w:rPr>
                <w:color w:val="000000"/>
                <w:lang w:eastAsia="en-GB"/>
              </w:rPr>
              <w:t>,</w:t>
            </w:r>
            <w:r w:rsidR="008D198A" w:rsidRPr="00205C7F">
              <w:rPr>
                <w:color w:val="000000"/>
                <w:lang w:eastAsia="en-GB"/>
              </w:rPr>
              <w:t>064</w:t>
            </w:r>
            <w:r w:rsidR="00EB0CAB">
              <w:rPr>
                <w:color w:val="000000"/>
                <w:lang w:eastAsia="en-GB"/>
              </w:rPr>
              <w:t>,</w:t>
            </w:r>
            <w:r w:rsidR="008D198A" w:rsidRPr="00205C7F">
              <w:rPr>
                <w:color w:val="000000"/>
                <w:lang w:eastAsia="en-GB"/>
              </w:rPr>
              <w:t>939.07</w:t>
            </w:r>
          </w:p>
        </w:tc>
      </w:tr>
    </w:tbl>
    <w:p w:rsidR="008D198A" w:rsidRDefault="008D198A" w:rsidP="00DF0AE2">
      <w:pPr>
        <w:pStyle w:val="ListParagraph"/>
        <w:jc w:val="both"/>
      </w:pPr>
    </w:p>
    <w:p w:rsidR="00AB210B" w:rsidRDefault="008D198A" w:rsidP="0096718F">
      <w:pPr>
        <w:pStyle w:val="ListParagraph"/>
        <w:numPr>
          <w:ilvl w:val="0"/>
          <w:numId w:val="1"/>
        </w:numPr>
        <w:jc w:val="both"/>
      </w:pPr>
      <w:r>
        <w:t>You would choose the less risky project because both have the same expected value. In this case you would choose Project B, because the risk of losing and gaining money is less than in Project A.</w:t>
      </w:r>
    </w:p>
    <w:p w:rsidR="008B64B7" w:rsidRPr="008D198A" w:rsidRDefault="008B64B7" w:rsidP="0096718F">
      <w:pPr>
        <w:pStyle w:val="ListParagraph"/>
        <w:ind w:left="360"/>
        <w:jc w:val="both"/>
      </w:pPr>
    </w:p>
    <w:p w:rsidR="00FD74DA" w:rsidRDefault="00270A03" w:rsidP="0096718F">
      <w:pPr>
        <w:pStyle w:val="ListParagraph"/>
        <w:numPr>
          <w:ilvl w:val="0"/>
          <w:numId w:val="1"/>
        </w:numPr>
        <w:jc w:val="both"/>
      </w:pPr>
      <w:r w:rsidRPr="00270A03">
        <w:t>Corporate social responsibility (CSR) is concerned with companies acting in a socially responsible manner with respect to the products they sell, the method of production, the firm’s relationship with local communities, and the firm’s relationship with its staff. Although some argue CSR is a waste of managerial time and investment in CSR should only occur if it generates a return greater than an alternative project, others believe CSR can become part of a company’s overall competitive advantage since it can strengthen its relationshi</w:t>
      </w:r>
      <w:r>
        <w:t>ps with important stakeholders.</w:t>
      </w:r>
    </w:p>
    <w:p w:rsidR="00FD74DA" w:rsidRDefault="00FD74DA" w:rsidP="00DF0AE2">
      <w:pPr>
        <w:pStyle w:val="ListParagraph"/>
        <w:jc w:val="both"/>
      </w:pPr>
    </w:p>
    <w:p w:rsidR="00AB210B" w:rsidRDefault="0096718F" w:rsidP="00FD5983">
      <w:pPr>
        <w:pStyle w:val="ListParagraph"/>
        <w:numPr>
          <w:ilvl w:val="0"/>
          <w:numId w:val="1"/>
        </w:numPr>
        <w:jc w:val="both"/>
      </w:pPr>
      <w:r>
        <w:t xml:space="preserve"> </w:t>
      </w:r>
      <w:r w:rsidR="00FD5983">
        <w:t xml:space="preserve">There is no right or wrong answer to this question. However, the student is expected to discuss the pros &amp; cons to a company of investing in CSR, and may back-up their answers with reference to empirical evidence. Pros could include a competitive edge gained by good PR, while cons could include the use of management time and company resources to non-core projects with very uncertain and subjective cash flow returns. </w:t>
      </w:r>
      <w:r>
        <w:t xml:space="preserve"> </w:t>
      </w:r>
    </w:p>
    <w:p w:rsidR="008B64B7" w:rsidRDefault="008B64B7" w:rsidP="0096718F">
      <w:pPr>
        <w:pStyle w:val="ListParagraph"/>
        <w:ind w:left="360"/>
        <w:jc w:val="both"/>
      </w:pPr>
    </w:p>
    <w:p w:rsidR="00AB210B" w:rsidRDefault="00AB210B" w:rsidP="0096718F">
      <w:pPr>
        <w:pStyle w:val="ListParagraph"/>
        <w:numPr>
          <w:ilvl w:val="0"/>
          <w:numId w:val="1"/>
        </w:numPr>
        <w:jc w:val="both"/>
      </w:pPr>
      <w:r>
        <w:t>As the answer to question 6 suggests, the main reason firms choose different forms of financing relates to their cost. The financial manager should choose the funding flow that is cheapest and less risky. When firms are small, they are not able to list on stock exchanges and therefore they will only have access to private investment, be it a bank or a private investor.</w:t>
      </w:r>
      <w:r w:rsidR="00FD74DA">
        <w:t xml:space="preserve"> </w:t>
      </w:r>
      <w:r>
        <w:t>As they get bigger, stock exchanges become a viable option for funding and hence it can also be used.</w:t>
      </w:r>
    </w:p>
    <w:p w:rsidR="008B64B7" w:rsidRDefault="008B64B7" w:rsidP="0096718F">
      <w:pPr>
        <w:pStyle w:val="ListParagraph"/>
        <w:ind w:left="360"/>
        <w:jc w:val="both"/>
      </w:pPr>
    </w:p>
    <w:p w:rsidR="008D35A6" w:rsidRDefault="008D198A" w:rsidP="0096718F">
      <w:pPr>
        <w:pStyle w:val="ListParagraph"/>
        <w:numPr>
          <w:ilvl w:val="0"/>
          <w:numId w:val="1"/>
        </w:numPr>
        <w:jc w:val="both"/>
      </w:pPr>
      <w:r>
        <w:t>Cash is a double-edged sword. Whereas a firm needs a minimum level cash to pay for bills, expenses, creditors, etc., having too much cash could tell investors that the firm is not investing in profitable new projects.</w:t>
      </w:r>
      <w:r w:rsidR="00CD3AF1">
        <w:t xml:space="preserve"> </w:t>
      </w:r>
      <w:r>
        <w:t xml:space="preserve">Some questions will be asked </w:t>
      </w:r>
      <w:r w:rsidR="008D35A6">
        <w:t xml:space="preserve">to </w:t>
      </w:r>
      <w:r>
        <w:t xml:space="preserve">the management: a) </w:t>
      </w:r>
      <w:r w:rsidR="008D35A6">
        <w:t xml:space="preserve">Why </w:t>
      </w:r>
      <w:r>
        <w:t>are you not investing the money? B) Why are you not giv</w:t>
      </w:r>
      <w:r w:rsidR="008D35A6">
        <w:t>ing</w:t>
      </w:r>
      <w:r>
        <w:t xml:space="preserve"> the </w:t>
      </w:r>
      <w:r>
        <w:lastRenderedPageBreak/>
        <w:t xml:space="preserve">cash back to shareholders? C) </w:t>
      </w:r>
      <w:r w:rsidR="00FD74DA">
        <w:t xml:space="preserve">Are </w:t>
      </w:r>
      <w:r>
        <w:t>you wasting the cash in activities that are not value-</w:t>
      </w:r>
      <w:r w:rsidR="008D35A6">
        <w:t>maximizing</w:t>
      </w:r>
      <w:r>
        <w:t>?</w:t>
      </w:r>
    </w:p>
    <w:p w:rsidR="008D198A" w:rsidRDefault="008D198A" w:rsidP="00DF0AE2">
      <w:pPr>
        <w:pStyle w:val="ListParagraph"/>
        <w:ind w:left="0"/>
        <w:jc w:val="both"/>
      </w:pPr>
    </w:p>
    <w:p w:rsidR="00AB210B" w:rsidRDefault="008D198A" w:rsidP="00DF0AE2">
      <w:pPr>
        <w:pStyle w:val="ListParagraph"/>
        <w:jc w:val="both"/>
      </w:pPr>
      <w:r>
        <w:t>Many companies that have lots of cash are targeted by other firms because there is a concern that the management of the cash-rich firm is not creating value. As a financial manager, you must have a very strong plan for why you are keeping cash and for what it is going to be used.</w:t>
      </w:r>
    </w:p>
    <w:p w:rsidR="008B64B7" w:rsidRPr="008D198A" w:rsidRDefault="008B64B7" w:rsidP="0096718F">
      <w:pPr>
        <w:pStyle w:val="ListParagraph"/>
        <w:ind w:left="0"/>
        <w:jc w:val="both"/>
      </w:pPr>
    </w:p>
    <w:p w:rsidR="00AB210B" w:rsidRDefault="00AB210B" w:rsidP="0096718F">
      <w:pPr>
        <w:pStyle w:val="ListParagraph"/>
        <w:numPr>
          <w:ilvl w:val="0"/>
          <w:numId w:val="1"/>
        </w:numPr>
        <w:jc w:val="both"/>
      </w:pPr>
      <w:r>
        <w:t xml:space="preserve">As a financial manager, the need to balance between the short and long term objectives of the firm is important. When the company is in trouble, the financial manager should manage financial planning to enhance short term liquidity to meet the firm’s obligations. Therefore, in this case the objective of the firm will change from </w:t>
      </w:r>
      <w:r w:rsidR="008D35A6">
        <w:t xml:space="preserve">maximizing </w:t>
      </w:r>
      <w:r>
        <w:t xml:space="preserve">shareholders’ wealth to firm survival and bankruptcy avoidance. However, other options such as asset sell-off can also be undertaken in order to pay creditors. This is consistent with </w:t>
      </w:r>
      <w:r w:rsidR="008D35A6">
        <w:t xml:space="preserve">maximizing </w:t>
      </w:r>
      <w:r>
        <w:t>firm value over the longer term if the manager can ensure that the firm survives.</w:t>
      </w:r>
    </w:p>
    <w:p w:rsidR="00AB210B" w:rsidRPr="00AF34AF" w:rsidRDefault="00AB210B" w:rsidP="0096718F">
      <w:pPr>
        <w:pStyle w:val="ListParagraph"/>
        <w:ind w:left="360"/>
        <w:jc w:val="both"/>
      </w:pPr>
    </w:p>
    <w:p w:rsidR="00D8063D" w:rsidRDefault="008D35A6" w:rsidP="0096718F">
      <w:pPr>
        <w:pStyle w:val="ListParagraph"/>
        <w:numPr>
          <w:ilvl w:val="0"/>
          <w:numId w:val="1"/>
        </w:numPr>
        <w:jc w:val="both"/>
      </w:pPr>
      <w:r w:rsidRPr="008D35A6">
        <w:t xml:space="preserve">Socially responsible investment (SRI) involves the consideration of ethical, social, and environmental factors in investment selection. While some believe that investments inspired by ethical or moral belief lack focus on profit </w:t>
      </w:r>
      <w:r>
        <w:t>maximizing</w:t>
      </w:r>
      <w:r w:rsidRPr="008D35A6">
        <w:t xml:space="preserve">, others argue that at the margin the addition of non-financial benefits may persuade an investor or fund manager to </w:t>
      </w:r>
      <w:r w:rsidRPr="009E5CA4">
        <w:t>opt</w:t>
      </w:r>
      <w:r w:rsidRPr="008D35A6">
        <w:t xml:space="preserve"> for the ethical fund. Empirically, ethical funds do not significantly outperform non-ethical funds. Nevertheless, the SRI market is continuing to grow at a rapid rate.</w:t>
      </w:r>
    </w:p>
    <w:p w:rsidR="00D8063D" w:rsidRDefault="00D8063D" w:rsidP="00DF0AE2">
      <w:pPr>
        <w:pStyle w:val="ListParagraph"/>
        <w:jc w:val="both"/>
      </w:pPr>
    </w:p>
    <w:p w:rsidR="008D198A" w:rsidRDefault="00D8063D" w:rsidP="00DF0AE2">
      <w:pPr>
        <w:pStyle w:val="ListParagraph"/>
        <w:numPr>
          <w:ilvl w:val="0"/>
          <w:numId w:val="1"/>
        </w:numPr>
        <w:jc w:val="both"/>
      </w:pPr>
      <w:r w:rsidRPr="00D8063D">
        <w:t>It is true. The benefit of this question is that the student learns an important empirical observation without having to delve too much into detail. Similarly, the more advanced student may be encouraged to do their own reading to find out more.</w:t>
      </w:r>
    </w:p>
    <w:p w:rsidR="00AB210B" w:rsidRDefault="00AB210B" w:rsidP="00DF0AE2">
      <w:pPr>
        <w:pStyle w:val="ListParagraph"/>
        <w:ind w:left="360"/>
        <w:jc w:val="both"/>
        <w:rPr>
          <w:highlight w:val="yellow"/>
        </w:rPr>
      </w:pPr>
    </w:p>
    <w:p w:rsidR="008D198A" w:rsidRDefault="008D198A" w:rsidP="00DF0AE2">
      <w:pPr>
        <w:pStyle w:val="ListParagraph"/>
        <w:numPr>
          <w:ilvl w:val="0"/>
          <w:numId w:val="1"/>
        </w:numPr>
        <w:jc w:val="both"/>
      </w:pPr>
      <w:r>
        <w:t xml:space="preserve">The main financial goal of any company must be to increase shareholder value, not profit. Profit is an accounting measure that reflects a notional level of business performance in the past. It includes non-cash allowances to account for depreciation in value of many large assets such as property, machinery, automobiles, </w:t>
      </w:r>
      <w:r w:rsidR="00E25EA2">
        <w:t>etc.</w:t>
      </w:r>
      <w:r>
        <w:t xml:space="preserve"> It also includes allowances for bills that have been received but not paid yet. Finally, it records sales as at the point of sale even though no cash has changed hands.</w:t>
      </w:r>
      <w:r w:rsidR="000B70FD">
        <w:t xml:space="preserve"> </w:t>
      </w:r>
      <w:r>
        <w:t>Although accounting data is exceptionally important, for making financial decisions it should be secondary to cash flow information.</w:t>
      </w:r>
    </w:p>
    <w:p w:rsidR="00AB210B" w:rsidRDefault="00AB210B" w:rsidP="00DF0AE2">
      <w:pPr>
        <w:pStyle w:val="ListParagraph"/>
        <w:ind w:left="360"/>
        <w:jc w:val="both"/>
        <w:rPr>
          <w:highlight w:val="yellow"/>
        </w:rPr>
      </w:pPr>
    </w:p>
    <w:p w:rsidR="00AB210B" w:rsidRDefault="00AB210B" w:rsidP="00DF0AE2">
      <w:pPr>
        <w:pStyle w:val="ListParagraph"/>
        <w:numPr>
          <w:ilvl w:val="0"/>
          <w:numId w:val="1"/>
        </w:numPr>
        <w:jc w:val="both"/>
      </w:pPr>
      <w:r>
        <w:t xml:space="preserve">The objective of the firm will remain the same, which is to </w:t>
      </w:r>
      <w:r w:rsidR="000B70FD">
        <w:t xml:space="preserve">maximize </w:t>
      </w:r>
      <w:r>
        <w:t xml:space="preserve">the market value of existing owners’ equity. </w:t>
      </w:r>
      <w:r w:rsidRPr="00AF34AF">
        <w:t>Principally</w:t>
      </w:r>
      <w:r>
        <w:t>,</w:t>
      </w:r>
      <w:r w:rsidRPr="00AF34AF">
        <w:t xml:space="preserve"> the goal does not change whether the company is private or public since good financial decisions increase the mar</w:t>
      </w:r>
      <w:r>
        <w:t>ket value of the owners’ equity</w:t>
      </w:r>
      <w:r w:rsidRPr="00AF34AF">
        <w:t xml:space="preserve"> and poor financial decisions decrease it</w:t>
      </w:r>
      <w:r>
        <w:t xml:space="preserve">. </w:t>
      </w:r>
    </w:p>
    <w:p w:rsidR="00AB210B" w:rsidRPr="00AF34AF" w:rsidRDefault="00AB210B" w:rsidP="00DF0AE2">
      <w:pPr>
        <w:pStyle w:val="ListParagraph"/>
        <w:ind w:left="360"/>
        <w:jc w:val="both"/>
      </w:pPr>
    </w:p>
    <w:p w:rsidR="00AB210B" w:rsidRDefault="00AB210B" w:rsidP="0096718F">
      <w:pPr>
        <w:pStyle w:val="ListParagraph"/>
        <w:numPr>
          <w:ilvl w:val="0"/>
          <w:numId w:val="1"/>
        </w:numPr>
        <w:jc w:val="both"/>
      </w:pPr>
      <w:r w:rsidRPr="00D92915">
        <w:t xml:space="preserve">The </w:t>
      </w:r>
      <w:r w:rsidRPr="00866A33">
        <w:t>manager</w:t>
      </w:r>
      <w:r w:rsidRPr="00D92915">
        <w:t xml:space="preserve"> can argue on the basis of cost implication</w:t>
      </w:r>
      <w:r>
        <w:t>s, since redundancy packages may be expensive. In addition, there could also be lawsuits, union activity all having a negative effect on firm image.</w:t>
      </w:r>
      <w:r w:rsidRPr="00D92915">
        <w:t xml:space="preserve"> Furthermore, redundancies may adversely affect the production process which will not only affect the firm’s sales but also its loyal </w:t>
      </w:r>
      <w:r w:rsidRPr="00D92915">
        <w:lastRenderedPageBreak/>
        <w:t>customers. Instead the new owners can identify other cost centres where cost savings can be made.</w:t>
      </w:r>
    </w:p>
    <w:p w:rsidR="00AB210B" w:rsidRPr="00D92915" w:rsidRDefault="00AB210B" w:rsidP="0096718F">
      <w:pPr>
        <w:pStyle w:val="ListParagraph"/>
        <w:ind w:left="360"/>
        <w:jc w:val="both"/>
      </w:pPr>
    </w:p>
    <w:p w:rsidR="00AB210B" w:rsidRDefault="00AB210B" w:rsidP="0096718F">
      <w:pPr>
        <w:pStyle w:val="ListParagraph"/>
        <w:numPr>
          <w:ilvl w:val="0"/>
          <w:numId w:val="1"/>
        </w:numPr>
        <w:jc w:val="both"/>
      </w:pPr>
      <w:r w:rsidRPr="00EE19E5">
        <w:t xml:space="preserve">a. </w:t>
      </w:r>
      <w:r>
        <w:t>Adding cost of living to retired employees will increase the cost to the company of the pension liability. This would reduce profitability and earnings per share. However, the cost of living adjustment may ensure that the workers value the company more and in turn become more productive.</w:t>
      </w:r>
    </w:p>
    <w:p w:rsidR="00AB210B" w:rsidRDefault="00AB210B" w:rsidP="0096718F">
      <w:pPr>
        <w:pStyle w:val="ListParagraph"/>
        <w:jc w:val="both"/>
      </w:pPr>
      <w:r>
        <w:t xml:space="preserve">b. As long as the return on the additional investment is greater than the return that the company currently makes on its operations, the decision is a good one. </w:t>
      </w:r>
    </w:p>
    <w:p w:rsidR="00AB210B" w:rsidRDefault="00AB210B" w:rsidP="0096718F">
      <w:pPr>
        <w:pStyle w:val="ListParagraph"/>
        <w:jc w:val="both"/>
      </w:pPr>
      <w:r>
        <w:t xml:space="preserve">c. Research and development investment is important in any new project. However, these expenditures tend to be high at the beginning and it is not certain whether the firm will reap any benefits from the investment. Research has shown that countries with high levels of technological innovation are likely to experience higher economic growth and so in general the benefits from R&amp;D will be positive. The specificity of the R&amp;D investment is also important. </w:t>
      </w:r>
    </w:p>
    <w:p w:rsidR="00AB210B" w:rsidRDefault="00AB210B" w:rsidP="0096718F">
      <w:pPr>
        <w:pStyle w:val="ListParagraph"/>
        <w:jc w:val="both"/>
      </w:pPr>
      <w:r>
        <w:t>d. Redundancies will reduce costs although their negative impact can be many-fold. For example, the company may have to deal with unions, strikes, and exceptionally poor publicity.</w:t>
      </w:r>
    </w:p>
    <w:p w:rsidR="00AB210B" w:rsidRDefault="00AB210B" w:rsidP="0096718F">
      <w:pPr>
        <w:pStyle w:val="ListParagraph"/>
        <w:jc w:val="both"/>
      </w:pPr>
    </w:p>
    <w:p w:rsidR="00AB210B" w:rsidRDefault="00AB210B" w:rsidP="0096718F">
      <w:pPr>
        <w:pStyle w:val="ListParagraph"/>
        <w:numPr>
          <w:ilvl w:val="0"/>
          <w:numId w:val="1"/>
        </w:numPr>
        <w:autoSpaceDE w:val="0"/>
        <w:autoSpaceDN w:val="0"/>
        <w:adjustRightInd w:val="0"/>
        <w:jc w:val="both"/>
      </w:pPr>
      <w:r w:rsidRPr="009E588E">
        <w:t>Dealer</w:t>
      </w:r>
      <w:r>
        <w:t xml:space="preserve">s market </w:t>
      </w:r>
      <w:r w:rsidRPr="009E588E">
        <w:t xml:space="preserve">are </w:t>
      </w:r>
      <w:r>
        <w:t xml:space="preserve">those markets where </w:t>
      </w:r>
      <w:r w:rsidRPr="009E588E">
        <w:t>firms make continuous quotations of prices for which they stand ready to buy and sell</w:t>
      </w:r>
      <w:r>
        <w:t xml:space="preserve"> </w:t>
      </w:r>
      <w:r w:rsidRPr="009E588E">
        <w:t xml:space="preserve">money market instruments </w:t>
      </w:r>
      <w:r>
        <w:t>on</w:t>
      </w:r>
      <w:r w:rsidRPr="009E588E">
        <w:t xml:space="preserve"> their own inventory and at their own risk</w:t>
      </w:r>
      <w:r>
        <w:t xml:space="preserve">. Agency markets are those in which stockbrokers act as </w:t>
      </w:r>
      <w:r w:rsidRPr="00876DFA">
        <w:t>agents</w:t>
      </w:r>
      <w:r>
        <w:t xml:space="preserve"> for</w:t>
      </w:r>
      <w:r w:rsidRPr="00876DFA">
        <w:t xml:space="preserve"> customer</w:t>
      </w:r>
      <w:r>
        <w:t>s</w:t>
      </w:r>
      <w:r w:rsidRPr="00876DFA">
        <w:t xml:space="preserve"> in buying or selling</w:t>
      </w:r>
      <w:r>
        <w:t xml:space="preserve"> </w:t>
      </w:r>
      <w:r w:rsidRPr="00876DFA">
        <w:t>shares on most stock exchanges; an agent does not actually acquire the securities.</w:t>
      </w:r>
      <w:r>
        <w:t xml:space="preserve"> A well-functioning financial system will </w:t>
      </w:r>
      <w:r w:rsidR="00A54DB8">
        <w:t xml:space="preserve">utilize </w:t>
      </w:r>
      <w:r>
        <w:t xml:space="preserve">both systems. </w:t>
      </w:r>
    </w:p>
    <w:p w:rsidR="00AB210B" w:rsidRDefault="00AB210B" w:rsidP="0096718F">
      <w:pPr>
        <w:pStyle w:val="ListParagraph"/>
        <w:autoSpaceDE w:val="0"/>
        <w:autoSpaceDN w:val="0"/>
        <w:adjustRightInd w:val="0"/>
        <w:ind w:left="360"/>
        <w:jc w:val="both"/>
      </w:pPr>
    </w:p>
    <w:p w:rsidR="008D198A" w:rsidRPr="0034398D" w:rsidRDefault="008D198A" w:rsidP="0096718F">
      <w:pPr>
        <w:pStyle w:val="ListParagraph"/>
        <w:numPr>
          <w:ilvl w:val="0"/>
          <w:numId w:val="1"/>
        </w:numPr>
        <w:autoSpaceDE w:val="0"/>
        <w:autoSpaceDN w:val="0"/>
        <w:adjustRightInd w:val="0"/>
        <w:jc w:val="both"/>
      </w:pPr>
      <w:r>
        <w:t>A cut in costs will increase profit in the statement of earnings/income. This is because expenses will decrease. The additional profit would appear in the statement of financial position or balance sheet as an increase in equity or retained earnings.</w:t>
      </w:r>
    </w:p>
    <w:p w:rsidR="00AB210B" w:rsidRDefault="00AB210B" w:rsidP="00DF0AE2">
      <w:pPr>
        <w:pStyle w:val="ListParagraph"/>
        <w:ind w:left="360"/>
        <w:jc w:val="both"/>
        <w:rPr>
          <w:highlight w:val="yellow"/>
        </w:rPr>
      </w:pPr>
    </w:p>
    <w:p w:rsidR="00AB210B" w:rsidRDefault="00A54DB8" w:rsidP="00DF0AE2">
      <w:pPr>
        <w:pStyle w:val="ListParagraph"/>
        <w:numPr>
          <w:ilvl w:val="0"/>
          <w:numId w:val="1"/>
        </w:numPr>
        <w:autoSpaceDE w:val="0"/>
        <w:autoSpaceDN w:val="0"/>
        <w:adjustRightInd w:val="0"/>
        <w:jc w:val="both"/>
        <w:rPr>
          <w:rFonts w:cs="Times-Roman"/>
          <w:color w:val="000000"/>
        </w:rPr>
      </w:pPr>
      <w:r w:rsidRPr="00A54DB8">
        <w:rPr>
          <w:rFonts w:cs="Times-Roman"/>
          <w:color w:val="000000"/>
        </w:rPr>
        <w:t>The founders assigned to themselves the shares that gave them more rights so that they effectively control the company. A drawback is that dual class shares create an inferior class of shareholders.</w:t>
      </w:r>
    </w:p>
    <w:p w:rsidR="00AB210B" w:rsidRDefault="00AB210B" w:rsidP="0096718F">
      <w:pPr>
        <w:pStyle w:val="ListParagraph"/>
        <w:autoSpaceDE w:val="0"/>
        <w:autoSpaceDN w:val="0"/>
        <w:adjustRightInd w:val="0"/>
        <w:ind w:left="360"/>
        <w:jc w:val="both"/>
        <w:rPr>
          <w:rFonts w:cs="Times-Roman"/>
          <w:color w:val="000000"/>
        </w:rPr>
      </w:pPr>
    </w:p>
    <w:p w:rsidR="008D198A" w:rsidRDefault="008D198A" w:rsidP="0096718F">
      <w:pPr>
        <w:pStyle w:val="ListParagraph"/>
        <w:numPr>
          <w:ilvl w:val="0"/>
          <w:numId w:val="1"/>
        </w:numPr>
        <w:autoSpaceDE w:val="0"/>
        <w:autoSpaceDN w:val="0"/>
        <w:adjustRightInd w:val="0"/>
        <w:jc w:val="both"/>
        <w:rPr>
          <w:rFonts w:cs="Times-Roman"/>
          <w:color w:val="000000"/>
        </w:rPr>
      </w:pPr>
      <w:r>
        <w:rPr>
          <w:rFonts w:cs="Times-Roman"/>
          <w:color w:val="000000"/>
        </w:rPr>
        <w:t>We go into Financial Statement Analysis in a lot more detail in Chapter 3. In this question, we will look at the statements of ABB Ltd in a very basic way. The main insight is that the firm has accumulated a lot of assets in relation to its liabilities. There is also a significant increase in current liabilities in relation to long-term liabilities. However, the level of current assets has increased at the same level. Investigation would be required to determine what is actually driving the increase in current liabilities.</w:t>
      </w:r>
    </w:p>
    <w:tbl>
      <w:tblPr>
        <w:tblW w:w="10322" w:type="dxa"/>
        <w:tblInd w:w="-248" w:type="dxa"/>
        <w:tblLook w:val="04A0" w:firstRow="1" w:lastRow="0" w:firstColumn="1" w:lastColumn="0" w:noHBand="0" w:noVBand="1"/>
      </w:tblPr>
      <w:tblGrid>
        <w:gridCol w:w="2818"/>
        <w:gridCol w:w="1431"/>
        <w:gridCol w:w="2045"/>
        <w:gridCol w:w="1166"/>
        <w:gridCol w:w="1431"/>
        <w:gridCol w:w="1431"/>
      </w:tblGrid>
      <w:tr w:rsidR="000A2B47" w:rsidRPr="008B64B7" w:rsidTr="00D44320">
        <w:trPr>
          <w:trHeight w:val="392"/>
        </w:trPr>
        <w:tc>
          <w:tcPr>
            <w:tcW w:w="2818"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p>
        </w:tc>
        <w:tc>
          <w:tcPr>
            <w:tcW w:w="1431" w:type="dxa"/>
            <w:tcBorders>
              <w:top w:val="nil"/>
              <w:left w:val="nil"/>
              <w:bottom w:val="nil"/>
              <w:right w:val="nil"/>
            </w:tcBorders>
            <w:shd w:val="clear" w:color="auto" w:fill="auto"/>
            <w:noWrap/>
            <w:vAlign w:val="center"/>
          </w:tcPr>
          <w:p w:rsidR="008D198A" w:rsidRDefault="008D198A" w:rsidP="00575147">
            <w:pPr>
              <w:ind w:firstLineChars="200" w:firstLine="361"/>
              <w:jc w:val="both"/>
              <w:rPr>
                <w:rFonts w:ascii="Cambria" w:hAnsi="Cambria" w:cs="Calibri"/>
                <w:b/>
                <w:color w:val="000000"/>
                <w:sz w:val="18"/>
                <w:szCs w:val="18"/>
                <w:lang w:eastAsia="en-GB"/>
              </w:rPr>
            </w:pPr>
            <w:r w:rsidRPr="008B64B7">
              <w:rPr>
                <w:rFonts w:ascii="Cambria" w:hAnsi="Cambria" w:cs="Calibri"/>
                <w:b/>
                <w:color w:val="000000"/>
                <w:sz w:val="18"/>
                <w:szCs w:val="18"/>
                <w:lang w:eastAsia="en-GB"/>
              </w:rPr>
              <w:t>2010</w:t>
            </w:r>
          </w:p>
          <w:p w:rsidR="00EB600A" w:rsidRPr="008B64B7" w:rsidRDefault="00EB600A" w:rsidP="00575147">
            <w:pPr>
              <w:ind w:firstLineChars="200" w:firstLine="361"/>
              <w:jc w:val="both"/>
              <w:rPr>
                <w:rFonts w:ascii="Cambria" w:hAnsi="Cambria" w:cs="Calibri"/>
                <w:b/>
                <w:color w:val="000000"/>
                <w:sz w:val="18"/>
                <w:szCs w:val="18"/>
                <w:lang w:eastAsia="en-GB"/>
              </w:rPr>
            </w:pPr>
            <w:r w:rsidRPr="00DD1A36">
              <w:rPr>
                <w:rFonts w:ascii="Cambria" w:hAnsi="Cambria" w:cs="Calibri"/>
                <w:b/>
                <w:color w:val="000000"/>
                <w:sz w:val="18"/>
                <w:szCs w:val="18"/>
                <w:lang w:eastAsia="en-GB"/>
              </w:rPr>
              <w:t>(SFr millions)</w:t>
            </w:r>
          </w:p>
        </w:tc>
        <w:tc>
          <w:tcPr>
            <w:tcW w:w="2045" w:type="dxa"/>
            <w:tcBorders>
              <w:top w:val="nil"/>
              <w:left w:val="nil"/>
              <w:bottom w:val="nil"/>
              <w:right w:val="nil"/>
            </w:tcBorders>
            <w:shd w:val="clear" w:color="auto" w:fill="auto"/>
            <w:noWrap/>
            <w:vAlign w:val="center"/>
          </w:tcPr>
          <w:p w:rsidR="008D198A" w:rsidRDefault="008D198A" w:rsidP="00575147">
            <w:pPr>
              <w:ind w:firstLineChars="200" w:firstLine="361"/>
              <w:jc w:val="both"/>
              <w:rPr>
                <w:rFonts w:ascii="Cambria" w:hAnsi="Cambria" w:cs="Calibri"/>
                <w:b/>
                <w:color w:val="000000"/>
                <w:sz w:val="18"/>
                <w:szCs w:val="18"/>
                <w:lang w:eastAsia="en-GB"/>
              </w:rPr>
            </w:pPr>
            <w:r w:rsidRPr="008B64B7">
              <w:rPr>
                <w:rFonts w:ascii="Cambria" w:hAnsi="Cambria" w:cs="Calibri"/>
                <w:b/>
                <w:color w:val="000000"/>
                <w:sz w:val="18"/>
                <w:szCs w:val="18"/>
                <w:lang w:eastAsia="en-GB"/>
              </w:rPr>
              <w:t>2009</w:t>
            </w:r>
          </w:p>
          <w:p w:rsidR="00EB600A" w:rsidRPr="008B64B7" w:rsidRDefault="00EB600A" w:rsidP="00575147">
            <w:pPr>
              <w:ind w:firstLineChars="200" w:firstLine="361"/>
              <w:jc w:val="both"/>
              <w:rPr>
                <w:rFonts w:ascii="Cambria" w:hAnsi="Cambria" w:cs="Calibri"/>
                <w:b/>
                <w:color w:val="000000"/>
                <w:sz w:val="18"/>
                <w:szCs w:val="18"/>
                <w:lang w:eastAsia="en-GB"/>
              </w:rPr>
            </w:pPr>
            <w:r w:rsidRPr="00DD1A36">
              <w:rPr>
                <w:rFonts w:ascii="Cambria" w:hAnsi="Cambria" w:cs="Calibri"/>
                <w:b/>
                <w:color w:val="000000"/>
                <w:sz w:val="18"/>
                <w:szCs w:val="18"/>
                <w:lang w:eastAsia="en-GB"/>
              </w:rPr>
              <w:t>(SFr millions)</w:t>
            </w:r>
          </w:p>
        </w:tc>
        <w:tc>
          <w:tcPr>
            <w:tcW w:w="1166" w:type="dxa"/>
            <w:tcBorders>
              <w:top w:val="nil"/>
              <w:left w:val="nil"/>
              <w:bottom w:val="nil"/>
              <w:right w:val="nil"/>
            </w:tcBorders>
            <w:shd w:val="clear" w:color="auto" w:fill="auto"/>
            <w:noWrap/>
            <w:vAlign w:val="center"/>
          </w:tcPr>
          <w:p w:rsidR="008D198A" w:rsidRDefault="008D198A" w:rsidP="00575147">
            <w:pPr>
              <w:ind w:firstLineChars="200" w:firstLine="361"/>
              <w:jc w:val="both"/>
              <w:rPr>
                <w:rFonts w:ascii="Cambria" w:hAnsi="Cambria" w:cs="Calibri"/>
                <w:b/>
                <w:color w:val="000000"/>
                <w:sz w:val="18"/>
                <w:szCs w:val="18"/>
                <w:lang w:eastAsia="en-GB"/>
              </w:rPr>
            </w:pPr>
            <w:r w:rsidRPr="008B64B7">
              <w:rPr>
                <w:rFonts w:ascii="Cambria" w:hAnsi="Cambria" w:cs="Calibri"/>
                <w:b/>
                <w:color w:val="000000"/>
                <w:sz w:val="18"/>
                <w:szCs w:val="18"/>
                <w:lang w:eastAsia="en-GB"/>
              </w:rPr>
              <w:t>2008</w:t>
            </w:r>
          </w:p>
          <w:p w:rsidR="00EB600A" w:rsidRPr="008B64B7" w:rsidRDefault="00EB600A" w:rsidP="00575147">
            <w:pPr>
              <w:ind w:firstLineChars="200" w:firstLine="361"/>
              <w:jc w:val="both"/>
              <w:rPr>
                <w:rFonts w:ascii="Cambria" w:hAnsi="Cambria" w:cs="Calibri"/>
                <w:b/>
                <w:color w:val="000000"/>
                <w:sz w:val="18"/>
                <w:szCs w:val="18"/>
                <w:lang w:eastAsia="en-GB"/>
              </w:rPr>
            </w:pPr>
            <w:r w:rsidRPr="00DD1A36">
              <w:rPr>
                <w:rFonts w:ascii="Cambria" w:hAnsi="Cambria" w:cs="Calibri"/>
                <w:b/>
                <w:color w:val="000000"/>
                <w:sz w:val="18"/>
                <w:szCs w:val="18"/>
                <w:lang w:eastAsia="en-GB"/>
              </w:rPr>
              <w:t>(SFr millions)</w:t>
            </w:r>
          </w:p>
        </w:tc>
        <w:tc>
          <w:tcPr>
            <w:tcW w:w="1431" w:type="dxa"/>
            <w:tcBorders>
              <w:top w:val="nil"/>
              <w:left w:val="nil"/>
              <w:bottom w:val="nil"/>
              <w:right w:val="nil"/>
            </w:tcBorders>
            <w:shd w:val="clear" w:color="auto" w:fill="auto"/>
            <w:noWrap/>
            <w:vAlign w:val="center"/>
          </w:tcPr>
          <w:p w:rsidR="008D198A" w:rsidRDefault="008D198A" w:rsidP="00575147">
            <w:pPr>
              <w:ind w:firstLineChars="200" w:firstLine="361"/>
              <w:jc w:val="both"/>
              <w:rPr>
                <w:rFonts w:ascii="Cambria" w:hAnsi="Cambria" w:cs="Calibri"/>
                <w:b/>
                <w:color w:val="000000"/>
                <w:sz w:val="18"/>
                <w:szCs w:val="18"/>
                <w:lang w:eastAsia="en-GB"/>
              </w:rPr>
            </w:pPr>
            <w:r w:rsidRPr="008B64B7">
              <w:rPr>
                <w:rFonts w:ascii="Cambria" w:hAnsi="Cambria" w:cs="Calibri"/>
                <w:b/>
                <w:color w:val="000000"/>
                <w:sz w:val="18"/>
                <w:szCs w:val="18"/>
                <w:lang w:eastAsia="en-GB"/>
              </w:rPr>
              <w:t>2007</w:t>
            </w:r>
          </w:p>
          <w:p w:rsidR="00EB600A" w:rsidRPr="008B64B7" w:rsidRDefault="00EB600A" w:rsidP="00575147">
            <w:pPr>
              <w:ind w:firstLineChars="200" w:firstLine="361"/>
              <w:jc w:val="both"/>
              <w:rPr>
                <w:rFonts w:ascii="Cambria" w:hAnsi="Cambria" w:cs="Calibri"/>
                <w:b/>
                <w:color w:val="000000"/>
                <w:sz w:val="18"/>
                <w:szCs w:val="18"/>
                <w:lang w:eastAsia="en-GB"/>
              </w:rPr>
            </w:pPr>
            <w:r w:rsidRPr="00DD1A36">
              <w:rPr>
                <w:rFonts w:ascii="Cambria" w:hAnsi="Cambria" w:cs="Calibri"/>
                <w:b/>
                <w:color w:val="000000"/>
                <w:sz w:val="18"/>
                <w:szCs w:val="18"/>
                <w:lang w:eastAsia="en-GB"/>
              </w:rPr>
              <w:t>(SFr millions)</w:t>
            </w:r>
          </w:p>
        </w:tc>
        <w:tc>
          <w:tcPr>
            <w:tcW w:w="1431" w:type="dxa"/>
            <w:tcBorders>
              <w:top w:val="nil"/>
              <w:left w:val="nil"/>
              <w:bottom w:val="nil"/>
              <w:right w:val="nil"/>
            </w:tcBorders>
            <w:shd w:val="clear" w:color="auto" w:fill="auto"/>
            <w:noWrap/>
            <w:vAlign w:val="center"/>
          </w:tcPr>
          <w:p w:rsidR="008D198A" w:rsidRDefault="008D198A" w:rsidP="00575147">
            <w:pPr>
              <w:ind w:firstLineChars="200" w:firstLine="361"/>
              <w:jc w:val="both"/>
              <w:rPr>
                <w:rFonts w:ascii="Cambria" w:hAnsi="Cambria" w:cs="Calibri"/>
                <w:b/>
                <w:color w:val="000000"/>
                <w:sz w:val="18"/>
                <w:szCs w:val="18"/>
                <w:lang w:eastAsia="en-GB"/>
              </w:rPr>
            </w:pPr>
            <w:r w:rsidRPr="008B64B7">
              <w:rPr>
                <w:rFonts w:ascii="Cambria" w:hAnsi="Cambria" w:cs="Calibri"/>
                <w:b/>
                <w:color w:val="000000"/>
                <w:sz w:val="18"/>
                <w:szCs w:val="18"/>
                <w:lang w:eastAsia="en-GB"/>
              </w:rPr>
              <w:t>2006</w:t>
            </w:r>
          </w:p>
          <w:p w:rsidR="00EB600A" w:rsidRPr="008B64B7" w:rsidRDefault="00EB600A" w:rsidP="00575147">
            <w:pPr>
              <w:ind w:firstLineChars="200" w:firstLine="361"/>
              <w:jc w:val="both"/>
              <w:rPr>
                <w:rFonts w:ascii="Cambria" w:hAnsi="Cambria" w:cs="Calibri"/>
                <w:b/>
                <w:color w:val="000000"/>
                <w:sz w:val="18"/>
                <w:szCs w:val="18"/>
                <w:lang w:eastAsia="en-GB"/>
              </w:rPr>
            </w:pPr>
            <w:r w:rsidRPr="00DD1A36">
              <w:rPr>
                <w:rFonts w:ascii="Cambria" w:hAnsi="Cambria" w:cs="Calibri"/>
                <w:b/>
                <w:color w:val="000000"/>
                <w:sz w:val="18"/>
                <w:szCs w:val="18"/>
                <w:lang w:eastAsia="en-GB"/>
              </w:rPr>
              <w:t>(SFr millions)</w:t>
            </w:r>
          </w:p>
        </w:tc>
      </w:tr>
      <w:tr w:rsidR="000A2B47" w:rsidRPr="008B64B7" w:rsidTr="00D44320">
        <w:trPr>
          <w:trHeight w:val="548"/>
        </w:trPr>
        <w:tc>
          <w:tcPr>
            <w:tcW w:w="2818"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Current Assets</w:t>
            </w:r>
          </w:p>
        </w:tc>
        <w:tc>
          <w:tcPr>
            <w:tcW w:w="1431"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18,327</w:t>
            </w:r>
          </w:p>
        </w:tc>
        <w:tc>
          <w:tcPr>
            <w:tcW w:w="2045"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18,241</w:t>
            </w:r>
          </w:p>
        </w:tc>
        <w:tc>
          <w:tcPr>
            <w:tcW w:w="1166"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17,523</w:t>
            </w:r>
          </w:p>
        </w:tc>
        <w:tc>
          <w:tcPr>
            <w:tcW w:w="1431"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16,734</w:t>
            </w:r>
          </w:p>
        </w:tc>
        <w:tc>
          <w:tcPr>
            <w:tcW w:w="1431"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12,692</w:t>
            </w:r>
          </w:p>
        </w:tc>
      </w:tr>
      <w:tr w:rsidR="000A2B47" w:rsidRPr="008B64B7" w:rsidTr="00D44320">
        <w:trPr>
          <w:trHeight w:val="842"/>
        </w:trPr>
        <w:tc>
          <w:tcPr>
            <w:tcW w:w="2818"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lastRenderedPageBreak/>
              <w:t>Non-Current Assets</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7,915</w:t>
            </w:r>
          </w:p>
        </w:tc>
        <w:tc>
          <w:tcPr>
            <w:tcW w:w="2045" w:type="dxa"/>
            <w:tcBorders>
              <w:top w:val="nil"/>
              <w:left w:val="nil"/>
              <w:bottom w:val="single" w:sz="8" w:space="0" w:color="auto"/>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6,868</w:t>
            </w:r>
          </w:p>
        </w:tc>
        <w:tc>
          <w:tcPr>
            <w:tcW w:w="1166" w:type="dxa"/>
            <w:tcBorders>
              <w:top w:val="nil"/>
              <w:left w:val="nil"/>
              <w:bottom w:val="single" w:sz="8" w:space="0" w:color="auto"/>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6,344</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5,680</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5,485</w:t>
            </w:r>
          </w:p>
        </w:tc>
      </w:tr>
      <w:tr w:rsidR="000A2B47" w:rsidRPr="008B64B7" w:rsidTr="00D44320">
        <w:trPr>
          <w:trHeight w:val="566"/>
        </w:trPr>
        <w:tc>
          <w:tcPr>
            <w:tcW w:w="2818"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Total Assets</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26,24</w:t>
            </w:r>
            <w:r w:rsidR="00DD4835">
              <w:rPr>
                <w:rFonts w:ascii="Cambria" w:hAnsi="Cambria" w:cs="Calibri"/>
                <w:b/>
                <w:bCs/>
                <w:color w:val="000000"/>
                <w:sz w:val="18"/>
                <w:szCs w:val="18"/>
                <w:lang w:eastAsia="en-GB"/>
              </w:rPr>
              <w:t>2</w:t>
            </w:r>
          </w:p>
        </w:tc>
        <w:tc>
          <w:tcPr>
            <w:tcW w:w="2045"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25,10</w:t>
            </w:r>
            <w:r w:rsidR="00DD4835">
              <w:rPr>
                <w:rFonts w:ascii="Cambria" w:hAnsi="Cambria" w:cs="Calibri"/>
                <w:b/>
                <w:bCs/>
                <w:color w:val="000000"/>
                <w:sz w:val="18"/>
                <w:szCs w:val="18"/>
                <w:lang w:eastAsia="en-GB"/>
              </w:rPr>
              <w:t>9</w:t>
            </w:r>
          </w:p>
        </w:tc>
        <w:tc>
          <w:tcPr>
            <w:tcW w:w="1166"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23,867</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22,414</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18,17</w:t>
            </w:r>
            <w:r w:rsidR="00DD4835">
              <w:rPr>
                <w:rFonts w:ascii="Cambria" w:hAnsi="Cambria" w:cs="Calibri"/>
                <w:b/>
                <w:bCs/>
                <w:color w:val="000000"/>
                <w:sz w:val="18"/>
                <w:szCs w:val="18"/>
                <w:lang w:eastAsia="en-GB"/>
              </w:rPr>
              <w:t>7</w:t>
            </w:r>
          </w:p>
        </w:tc>
      </w:tr>
      <w:tr w:rsidR="000A2B47" w:rsidRPr="008B64B7" w:rsidTr="00D44320">
        <w:trPr>
          <w:trHeight w:val="548"/>
        </w:trPr>
        <w:tc>
          <w:tcPr>
            <w:tcW w:w="2818"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Current Liabilities</w:t>
            </w:r>
          </w:p>
        </w:tc>
        <w:tc>
          <w:tcPr>
            <w:tcW w:w="1431"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12,102</w:t>
            </w:r>
          </w:p>
        </w:tc>
        <w:tc>
          <w:tcPr>
            <w:tcW w:w="2045"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10,541</w:t>
            </w:r>
          </w:p>
        </w:tc>
        <w:tc>
          <w:tcPr>
            <w:tcW w:w="1166"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11,499</w:t>
            </w:r>
          </w:p>
        </w:tc>
        <w:tc>
          <w:tcPr>
            <w:tcW w:w="1431"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10,468</w:t>
            </w:r>
          </w:p>
        </w:tc>
        <w:tc>
          <w:tcPr>
            <w:tcW w:w="1431"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9,027</w:t>
            </w:r>
          </w:p>
        </w:tc>
      </w:tr>
      <w:tr w:rsidR="000A2B47" w:rsidRPr="008B64B7" w:rsidTr="00D44320">
        <w:trPr>
          <w:trHeight w:val="824"/>
        </w:trPr>
        <w:tc>
          <w:tcPr>
            <w:tcW w:w="2818"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Non-Current Liabilities</w:t>
            </w:r>
          </w:p>
        </w:tc>
        <w:tc>
          <w:tcPr>
            <w:tcW w:w="1431"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3,378</w:t>
            </w:r>
          </w:p>
        </w:tc>
        <w:tc>
          <w:tcPr>
            <w:tcW w:w="2045"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4,598</w:t>
            </w:r>
          </w:p>
        </w:tc>
        <w:tc>
          <w:tcPr>
            <w:tcW w:w="1166"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4,301</w:t>
            </w:r>
          </w:p>
        </w:tc>
        <w:tc>
          <w:tcPr>
            <w:tcW w:w="1431"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4,02</w:t>
            </w:r>
            <w:r w:rsidR="00DD4835">
              <w:rPr>
                <w:rFonts w:ascii="Cambria" w:hAnsi="Cambria" w:cs="Calibri"/>
                <w:color w:val="000000"/>
                <w:sz w:val="18"/>
                <w:szCs w:val="18"/>
                <w:lang w:eastAsia="en-GB"/>
              </w:rPr>
              <w:t>4</w:t>
            </w:r>
          </w:p>
        </w:tc>
        <w:tc>
          <w:tcPr>
            <w:tcW w:w="1431"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4,78</w:t>
            </w:r>
            <w:r w:rsidR="00892EC7">
              <w:rPr>
                <w:rFonts w:ascii="Cambria" w:hAnsi="Cambria" w:cs="Calibri"/>
                <w:color w:val="000000"/>
                <w:sz w:val="18"/>
                <w:szCs w:val="18"/>
                <w:lang w:eastAsia="en-GB"/>
              </w:rPr>
              <w:t>5</w:t>
            </w:r>
          </w:p>
        </w:tc>
      </w:tr>
      <w:tr w:rsidR="000A2B47" w:rsidRPr="008B64B7" w:rsidTr="00D44320">
        <w:trPr>
          <w:trHeight w:val="548"/>
        </w:trPr>
        <w:tc>
          <w:tcPr>
            <w:tcW w:w="2818"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Total Liabilities</w:t>
            </w:r>
          </w:p>
        </w:tc>
        <w:tc>
          <w:tcPr>
            <w:tcW w:w="1431" w:type="dxa"/>
            <w:tcBorders>
              <w:top w:val="nil"/>
              <w:left w:val="nil"/>
              <w:bottom w:val="nil"/>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15,</w:t>
            </w:r>
            <w:r w:rsidR="00DD4835" w:rsidRPr="008B64B7">
              <w:rPr>
                <w:rFonts w:ascii="Cambria" w:hAnsi="Cambria" w:cs="Calibri"/>
                <w:b/>
                <w:bCs/>
                <w:color w:val="000000"/>
                <w:sz w:val="18"/>
                <w:szCs w:val="18"/>
                <w:lang w:eastAsia="en-GB"/>
              </w:rPr>
              <w:t>4</w:t>
            </w:r>
            <w:r w:rsidR="00DD4835">
              <w:rPr>
                <w:rFonts w:ascii="Cambria" w:hAnsi="Cambria" w:cs="Calibri"/>
                <w:b/>
                <w:bCs/>
                <w:color w:val="000000"/>
                <w:sz w:val="18"/>
                <w:szCs w:val="18"/>
                <w:lang w:eastAsia="en-GB"/>
              </w:rPr>
              <w:t>80</w:t>
            </w:r>
          </w:p>
        </w:tc>
        <w:tc>
          <w:tcPr>
            <w:tcW w:w="2045" w:type="dxa"/>
            <w:tcBorders>
              <w:top w:val="nil"/>
              <w:left w:val="nil"/>
              <w:bottom w:val="nil"/>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15,</w:t>
            </w:r>
            <w:r w:rsidR="00DD4835" w:rsidRPr="008B64B7">
              <w:rPr>
                <w:rFonts w:ascii="Cambria" w:hAnsi="Cambria" w:cs="Calibri"/>
                <w:b/>
                <w:bCs/>
                <w:color w:val="000000"/>
                <w:sz w:val="18"/>
                <w:szCs w:val="18"/>
                <w:lang w:eastAsia="en-GB"/>
              </w:rPr>
              <w:t>13</w:t>
            </w:r>
            <w:r w:rsidR="00DD4835">
              <w:rPr>
                <w:rFonts w:ascii="Cambria" w:hAnsi="Cambria" w:cs="Calibri"/>
                <w:b/>
                <w:bCs/>
                <w:color w:val="000000"/>
                <w:sz w:val="18"/>
                <w:szCs w:val="18"/>
                <w:lang w:eastAsia="en-GB"/>
              </w:rPr>
              <w:t>9</w:t>
            </w:r>
          </w:p>
        </w:tc>
        <w:tc>
          <w:tcPr>
            <w:tcW w:w="1166" w:type="dxa"/>
            <w:tcBorders>
              <w:top w:val="nil"/>
              <w:left w:val="nil"/>
              <w:bottom w:val="nil"/>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15,800</w:t>
            </w:r>
          </w:p>
        </w:tc>
        <w:tc>
          <w:tcPr>
            <w:tcW w:w="1431" w:type="dxa"/>
            <w:tcBorders>
              <w:top w:val="nil"/>
              <w:left w:val="nil"/>
              <w:bottom w:val="nil"/>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14,492</w:t>
            </w:r>
          </w:p>
        </w:tc>
        <w:tc>
          <w:tcPr>
            <w:tcW w:w="1431" w:type="dxa"/>
            <w:tcBorders>
              <w:top w:val="nil"/>
              <w:left w:val="nil"/>
              <w:bottom w:val="nil"/>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13,</w:t>
            </w:r>
            <w:r w:rsidR="00DD4835" w:rsidRPr="008B64B7">
              <w:rPr>
                <w:rFonts w:ascii="Cambria" w:hAnsi="Cambria" w:cs="Calibri"/>
                <w:b/>
                <w:bCs/>
                <w:color w:val="000000"/>
                <w:sz w:val="18"/>
                <w:szCs w:val="18"/>
                <w:lang w:eastAsia="en-GB"/>
              </w:rPr>
              <w:t>81</w:t>
            </w:r>
            <w:r w:rsidR="00892EC7">
              <w:rPr>
                <w:rFonts w:ascii="Cambria" w:hAnsi="Cambria" w:cs="Calibri"/>
                <w:b/>
                <w:bCs/>
                <w:color w:val="000000"/>
                <w:sz w:val="18"/>
                <w:szCs w:val="18"/>
                <w:lang w:eastAsia="en-GB"/>
              </w:rPr>
              <w:t>2</w:t>
            </w:r>
          </w:p>
        </w:tc>
      </w:tr>
      <w:tr w:rsidR="000A2B47" w:rsidRPr="008B64B7" w:rsidTr="00D44320">
        <w:trPr>
          <w:trHeight w:val="566"/>
        </w:trPr>
        <w:tc>
          <w:tcPr>
            <w:tcW w:w="2818"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Total Equity</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10,762</w:t>
            </w:r>
          </w:p>
        </w:tc>
        <w:tc>
          <w:tcPr>
            <w:tcW w:w="2045"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9,970</w:t>
            </w:r>
          </w:p>
        </w:tc>
        <w:tc>
          <w:tcPr>
            <w:tcW w:w="1166"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8,067</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7,922</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4,365</w:t>
            </w:r>
          </w:p>
        </w:tc>
      </w:tr>
      <w:tr w:rsidR="000A2B47" w:rsidRPr="008B64B7" w:rsidTr="00D44320">
        <w:trPr>
          <w:trHeight w:val="842"/>
        </w:trPr>
        <w:tc>
          <w:tcPr>
            <w:tcW w:w="2818"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Total Liabilities plus Equity</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26,</w:t>
            </w:r>
            <w:r w:rsidR="00DD4835" w:rsidRPr="008B64B7">
              <w:rPr>
                <w:rFonts w:ascii="Cambria" w:hAnsi="Cambria" w:cs="Calibri"/>
                <w:b/>
                <w:bCs/>
                <w:color w:val="000000"/>
                <w:sz w:val="18"/>
                <w:szCs w:val="18"/>
                <w:lang w:eastAsia="en-GB"/>
              </w:rPr>
              <w:t>24</w:t>
            </w:r>
            <w:r w:rsidR="00DD4835">
              <w:rPr>
                <w:rFonts w:ascii="Cambria" w:hAnsi="Cambria" w:cs="Calibri"/>
                <w:b/>
                <w:bCs/>
                <w:color w:val="000000"/>
                <w:sz w:val="18"/>
                <w:szCs w:val="18"/>
                <w:lang w:eastAsia="en-GB"/>
              </w:rPr>
              <w:t>2</w:t>
            </w:r>
          </w:p>
        </w:tc>
        <w:tc>
          <w:tcPr>
            <w:tcW w:w="2045"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25,</w:t>
            </w:r>
            <w:r w:rsidR="00DD4835" w:rsidRPr="008B64B7">
              <w:rPr>
                <w:rFonts w:ascii="Cambria" w:hAnsi="Cambria" w:cs="Calibri"/>
                <w:b/>
                <w:bCs/>
                <w:color w:val="000000"/>
                <w:sz w:val="18"/>
                <w:szCs w:val="18"/>
                <w:lang w:eastAsia="en-GB"/>
              </w:rPr>
              <w:t>10</w:t>
            </w:r>
            <w:r w:rsidR="00DD4835">
              <w:rPr>
                <w:rFonts w:ascii="Cambria" w:hAnsi="Cambria" w:cs="Calibri"/>
                <w:b/>
                <w:bCs/>
                <w:color w:val="000000"/>
                <w:sz w:val="18"/>
                <w:szCs w:val="18"/>
                <w:lang w:eastAsia="en-GB"/>
              </w:rPr>
              <w:t>9</w:t>
            </w:r>
          </w:p>
        </w:tc>
        <w:tc>
          <w:tcPr>
            <w:tcW w:w="1166"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23,867</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22,414</w:t>
            </w:r>
          </w:p>
        </w:tc>
        <w:tc>
          <w:tcPr>
            <w:tcW w:w="1431"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18,</w:t>
            </w:r>
            <w:r w:rsidR="00DD4835" w:rsidRPr="008B64B7">
              <w:rPr>
                <w:rFonts w:ascii="Cambria" w:hAnsi="Cambria" w:cs="Calibri"/>
                <w:b/>
                <w:bCs/>
                <w:color w:val="000000"/>
                <w:sz w:val="18"/>
                <w:szCs w:val="18"/>
                <w:lang w:eastAsia="en-GB"/>
              </w:rPr>
              <w:t>17</w:t>
            </w:r>
            <w:r w:rsidR="00DD4835">
              <w:rPr>
                <w:rFonts w:ascii="Cambria" w:hAnsi="Cambria" w:cs="Calibri"/>
                <w:b/>
                <w:bCs/>
                <w:color w:val="000000"/>
                <w:sz w:val="18"/>
                <w:szCs w:val="18"/>
                <w:lang w:eastAsia="en-GB"/>
              </w:rPr>
              <w:t>7</w:t>
            </w:r>
          </w:p>
        </w:tc>
      </w:tr>
      <w:tr w:rsidR="000A2B47" w:rsidRPr="008B64B7" w:rsidTr="00D44320">
        <w:trPr>
          <w:trHeight w:val="392"/>
        </w:trPr>
        <w:tc>
          <w:tcPr>
            <w:tcW w:w="2818"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p>
        </w:tc>
        <w:tc>
          <w:tcPr>
            <w:tcW w:w="2045"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p>
        </w:tc>
        <w:tc>
          <w:tcPr>
            <w:tcW w:w="1166"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p>
        </w:tc>
      </w:tr>
      <w:tr w:rsidR="000A2B47" w:rsidRPr="008B64B7" w:rsidTr="00D44320">
        <w:trPr>
          <w:trHeight w:val="392"/>
        </w:trPr>
        <w:tc>
          <w:tcPr>
            <w:tcW w:w="2818" w:type="dxa"/>
            <w:tcBorders>
              <w:top w:val="nil"/>
              <w:left w:val="nil"/>
              <w:bottom w:val="nil"/>
              <w:right w:val="nil"/>
            </w:tcBorders>
            <w:shd w:val="clear" w:color="auto" w:fill="auto"/>
            <w:noWrap/>
            <w:vAlign w:val="bottom"/>
          </w:tcPr>
          <w:p w:rsidR="008D198A" w:rsidRPr="008B64B7" w:rsidRDefault="008D198A" w:rsidP="00DF0AE2">
            <w:pPr>
              <w:jc w:val="both"/>
              <w:rPr>
                <w:color w:val="000000"/>
                <w:sz w:val="18"/>
                <w:szCs w:val="18"/>
                <w:lang w:eastAsia="en-GB"/>
              </w:rPr>
            </w:pPr>
            <w:r w:rsidRPr="008B64B7">
              <w:rPr>
                <w:color w:val="000000"/>
                <w:sz w:val="18"/>
                <w:szCs w:val="18"/>
                <w:lang w:eastAsia="en-GB"/>
              </w:rPr>
              <w:t>Total Assets/Total Liabilities</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w:t>
            </w:r>
            <w:r w:rsidR="00892EC7" w:rsidRPr="008B64B7">
              <w:rPr>
                <w:rFonts w:cs="Calibri"/>
                <w:color w:val="000000"/>
                <w:sz w:val="18"/>
                <w:szCs w:val="18"/>
                <w:lang w:eastAsia="en-GB"/>
              </w:rPr>
              <w:t>6952</w:t>
            </w:r>
            <w:r w:rsidR="00892EC7">
              <w:rPr>
                <w:rFonts w:cs="Calibri"/>
                <w:color w:val="000000"/>
                <w:sz w:val="18"/>
                <w:szCs w:val="18"/>
                <w:lang w:eastAsia="en-GB"/>
              </w:rPr>
              <w:t>20</w:t>
            </w:r>
          </w:p>
        </w:tc>
        <w:tc>
          <w:tcPr>
            <w:tcW w:w="2045"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w:t>
            </w:r>
            <w:r w:rsidR="00892EC7" w:rsidRPr="008B64B7">
              <w:rPr>
                <w:rFonts w:cs="Calibri"/>
                <w:color w:val="000000"/>
                <w:sz w:val="18"/>
                <w:szCs w:val="18"/>
                <w:lang w:eastAsia="en-GB"/>
              </w:rPr>
              <w:t>658</w:t>
            </w:r>
            <w:r w:rsidR="00892EC7">
              <w:rPr>
                <w:rFonts w:cs="Calibri"/>
                <w:color w:val="000000"/>
                <w:sz w:val="18"/>
                <w:szCs w:val="18"/>
                <w:lang w:eastAsia="en-GB"/>
              </w:rPr>
              <w:t>564</w:t>
            </w:r>
          </w:p>
        </w:tc>
        <w:tc>
          <w:tcPr>
            <w:tcW w:w="1166"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1.51057</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1.546646</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w:t>
            </w:r>
            <w:r w:rsidR="00F71380">
              <w:rPr>
                <w:rFonts w:cs="Calibri"/>
                <w:color w:val="000000"/>
                <w:sz w:val="18"/>
                <w:szCs w:val="18"/>
                <w:lang w:eastAsia="en-GB"/>
              </w:rPr>
              <w:t>316</w:t>
            </w:r>
            <w:r w:rsidR="00892EC7" w:rsidRPr="008B64B7">
              <w:rPr>
                <w:rFonts w:cs="Calibri"/>
                <w:color w:val="000000"/>
                <w:sz w:val="18"/>
                <w:szCs w:val="18"/>
                <w:lang w:eastAsia="en-GB"/>
              </w:rPr>
              <w:t>0</w:t>
            </w:r>
            <w:r w:rsidR="00892EC7">
              <w:rPr>
                <w:rFonts w:cs="Calibri"/>
                <w:color w:val="000000"/>
                <w:sz w:val="18"/>
                <w:szCs w:val="18"/>
                <w:lang w:eastAsia="en-GB"/>
              </w:rPr>
              <w:t>3</w:t>
            </w:r>
          </w:p>
        </w:tc>
      </w:tr>
      <w:tr w:rsidR="000A2B47" w:rsidRPr="008B64B7" w:rsidTr="00D44320">
        <w:trPr>
          <w:trHeight w:val="392"/>
        </w:trPr>
        <w:tc>
          <w:tcPr>
            <w:tcW w:w="2818" w:type="dxa"/>
            <w:tcBorders>
              <w:top w:val="nil"/>
              <w:left w:val="nil"/>
              <w:bottom w:val="nil"/>
              <w:right w:val="nil"/>
            </w:tcBorders>
            <w:shd w:val="clear" w:color="auto" w:fill="auto"/>
            <w:noWrap/>
            <w:vAlign w:val="bottom"/>
          </w:tcPr>
          <w:p w:rsidR="008D198A" w:rsidRPr="008B64B7" w:rsidRDefault="008D198A" w:rsidP="00DF0AE2">
            <w:pPr>
              <w:jc w:val="both"/>
              <w:rPr>
                <w:color w:val="000000"/>
                <w:sz w:val="18"/>
                <w:szCs w:val="18"/>
                <w:lang w:eastAsia="en-GB"/>
              </w:rPr>
            </w:pPr>
            <w:r w:rsidRPr="008B64B7">
              <w:rPr>
                <w:color w:val="000000"/>
                <w:sz w:val="18"/>
                <w:szCs w:val="18"/>
                <w:lang w:eastAsia="en-GB"/>
              </w:rPr>
              <w:t>Total Current Assets/Total Non-Current Assets</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2.315477</w:t>
            </w:r>
          </w:p>
        </w:tc>
        <w:tc>
          <w:tcPr>
            <w:tcW w:w="2045"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2.655941</w:t>
            </w:r>
          </w:p>
        </w:tc>
        <w:tc>
          <w:tcPr>
            <w:tcW w:w="1166"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2.762137</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2.946127</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2.313947</w:t>
            </w:r>
          </w:p>
        </w:tc>
      </w:tr>
      <w:tr w:rsidR="000A2B47" w:rsidRPr="008B64B7" w:rsidTr="00D44320">
        <w:trPr>
          <w:trHeight w:val="392"/>
        </w:trPr>
        <w:tc>
          <w:tcPr>
            <w:tcW w:w="2818" w:type="dxa"/>
            <w:tcBorders>
              <w:top w:val="nil"/>
              <w:left w:val="nil"/>
              <w:bottom w:val="nil"/>
              <w:right w:val="nil"/>
            </w:tcBorders>
            <w:shd w:val="clear" w:color="auto" w:fill="auto"/>
            <w:noWrap/>
            <w:vAlign w:val="bottom"/>
          </w:tcPr>
          <w:p w:rsidR="008D198A" w:rsidRPr="008B64B7" w:rsidRDefault="008D198A" w:rsidP="00DF0AE2">
            <w:pPr>
              <w:jc w:val="both"/>
              <w:rPr>
                <w:color w:val="000000"/>
                <w:sz w:val="18"/>
                <w:szCs w:val="18"/>
                <w:lang w:eastAsia="en-GB"/>
              </w:rPr>
            </w:pPr>
            <w:r w:rsidRPr="008B64B7">
              <w:rPr>
                <w:color w:val="000000"/>
                <w:sz w:val="18"/>
                <w:szCs w:val="18"/>
                <w:lang w:eastAsia="en-GB"/>
              </w:rPr>
              <w:t>Total Current Liabilities/Total Non-Current Liabilities</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3.582593</w:t>
            </w:r>
          </w:p>
        </w:tc>
        <w:tc>
          <w:tcPr>
            <w:tcW w:w="2045"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2.292518</w:t>
            </w:r>
          </w:p>
        </w:tc>
        <w:tc>
          <w:tcPr>
            <w:tcW w:w="1166"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2.673564</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2.</w:t>
            </w:r>
            <w:r w:rsidR="00892EC7" w:rsidRPr="008B64B7">
              <w:rPr>
                <w:rFonts w:cs="Calibri"/>
                <w:color w:val="000000"/>
                <w:sz w:val="18"/>
                <w:szCs w:val="18"/>
                <w:lang w:eastAsia="en-GB"/>
              </w:rPr>
              <w:t>60</w:t>
            </w:r>
            <w:r w:rsidR="00892EC7">
              <w:rPr>
                <w:rFonts w:cs="Calibri"/>
                <w:color w:val="000000"/>
                <w:sz w:val="18"/>
                <w:szCs w:val="18"/>
                <w:lang w:eastAsia="en-GB"/>
              </w:rPr>
              <w:t>1392</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w:t>
            </w:r>
            <w:r w:rsidR="002170E7">
              <w:rPr>
                <w:rFonts w:cs="Calibri"/>
                <w:color w:val="000000"/>
                <w:sz w:val="18"/>
                <w:szCs w:val="18"/>
                <w:lang w:eastAsia="en-GB"/>
              </w:rPr>
              <w:t>886520</w:t>
            </w:r>
          </w:p>
        </w:tc>
      </w:tr>
      <w:tr w:rsidR="000A2B47" w:rsidRPr="008B64B7" w:rsidTr="00D44320">
        <w:trPr>
          <w:trHeight w:val="566"/>
        </w:trPr>
        <w:tc>
          <w:tcPr>
            <w:tcW w:w="2818" w:type="dxa"/>
            <w:tcBorders>
              <w:top w:val="nil"/>
              <w:left w:val="nil"/>
              <w:bottom w:val="nil"/>
              <w:right w:val="nil"/>
            </w:tcBorders>
            <w:shd w:val="clear" w:color="auto" w:fill="auto"/>
            <w:noWrap/>
            <w:vAlign w:val="bottom"/>
          </w:tcPr>
          <w:p w:rsidR="008D198A" w:rsidRPr="008B64B7" w:rsidRDefault="008D198A" w:rsidP="00DF0AE2">
            <w:pPr>
              <w:jc w:val="both"/>
              <w:rPr>
                <w:color w:val="000000"/>
                <w:sz w:val="18"/>
                <w:szCs w:val="18"/>
                <w:lang w:eastAsia="en-GB"/>
              </w:rPr>
            </w:pPr>
            <w:r w:rsidRPr="008B64B7">
              <w:rPr>
                <w:color w:val="000000"/>
                <w:sz w:val="18"/>
                <w:szCs w:val="18"/>
                <w:lang w:eastAsia="en-GB"/>
              </w:rPr>
              <w:t>Total Current Assets/Total Current Liabilities</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1.514378</w:t>
            </w:r>
          </w:p>
        </w:tc>
        <w:tc>
          <w:tcPr>
            <w:tcW w:w="2045"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1.730481</w:t>
            </w:r>
          </w:p>
        </w:tc>
        <w:tc>
          <w:tcPr>
            <w:tcW w:w="1166"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1.523872</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1.598586</w:t>
            </w:r>
          </w:p>
        </w:tc>
        <w:tc>
          <w:tcPr>
            <w:tcW w:w="1431"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r w:rsidRPr="008B64B7">
              <w:rPr>
                <w:rFonts w:cs="Calibri"/>
                <w:color w:val="000000"/>
                <w:sz w:val="18"/>
                <w:szCs w:val="18"/>
                <w:lang w:eastAsia="en-GB"/>
              </w:rPr>
              <w:t>1.406004</w:t>
            </w:r>
          </w:p>
        </w:tc>
      </w:tr>
    </w:tbl>
    <w:p w:rsidR="008D198A" w:rsidRPr="005A028E" w:rsidRDefault="008D198A" w:rsidP="00DF0AE2">
      <w:pPr>
        <w:autoSpaceDE w:val="0"/>
        <w:autoSpaceDN w:val="0"/>
        <w:adjustRightInd w:val="0"/>
        <w:jc w:val="both"/>
        <w:rPr>
          <w:rFonts w:cs="Times-Roman"/>
          <w:color w:val="000000"/>
        </w:rPr>
      </w:pPr>
      <w:r w:rsidRPr="005A028E">
        <w:rPr>
          <w:rFonts w:cs="Times-Roman"/>
          <w:color w:val="000000"/>
        </w:rPr>
        <w:t xml:space="preserve"> </w:t>
      </w:r>
    </w:p>
    <w:p w:rsidR="008D198A" w:rsidRPr="008B64B7" w:rsidRDefault="008D198A" w:rsidP="0096718F">
      <w:pPr>
        <w:pStyle w:val="ListParagraph"/>
        <w:numPr>
          <w:ilvl w:val="0"/>
          <w:numId w:val="1"/>
        </w:numPr>
        <w:autoSpaceDE w:val="0"/>
        <w:autoSpaceDN w:val="0"/>
        <w:adjustRightInd w:val="0"/>
        <w:jc w:val="both"/>
        <w:rPr>
          <w:rFonts w:cs="Times-Roman"/>
          <w:color w:val="000000"/>
        </w:rPr>
      </w:pPr>
      <w:r>
        <w:t>The net investment is Sfr500 million and this could be funded by an issue of equity or debt.</w:t>
      </w:r>
    </w:p>
    <w:p w:rsidR="008B64B7" w:rsidRPr="002061C0" w:rsidRDefault="008B64B7" w:rsidP="0096718F">
      <w:pPr>
        <w:pStyle w:val="ListParagraph"/>
        <w:autoSpaceDE w:val="0"/>
        <w:autoSpaceDN w:val="0"/>
        <w:adjustRightInd w:val="0"/>
        <w:ind w:left="360"/>
        <w:jc w:val="both"/>
        <w:rPr>
          <w:rFonts w:cs="Times-Roman"/>
          <w:color w:val="000000"/>
        </w:rPr>
      </w:pPr>
    </w:p>
    <w:p w:rsidR="008D198A" w:rsidRPr="00820AB3" w:rsidRDefault="008D198A" w:rsidP="0096718F">
      <w:pPr>
        <w:pStyle w:val="ListParagraph"/>
        <w:numPr>
          <w:ilvl w:val="0"/>
          <w:numId w:val="1"/>
        </w:numPr>
        <w:autoSpaceDE w:val="0"/>
        <w:autoSpaceDN w:val="0"/>
        <w:adjustRightInd w:val="0"/>
        <w:jc w:val="both"/>
        <w:rPr>
          <w:rFonts w:cs="Times-Roman"/>
          <w:color w:val="000000"/>
        </w:rPr>
      </w:pPr>
      <w:r>
        <w:rPr>
          <w:rFonts w:cs="Times-Roman"/>
          <w:color w:val="000000"/>
        </w:rPr>
        <w:t>Several things could happen to ABB’s statement of financial position and is determined by how we treat the Sfr500 million payment. In the first instance (2011), total non-current assets and non-current liabilities will increase by Sfr500 million. In 2013, the Sfr500 million will be paid off meaning that non-current liabilities will decrease by Sfr500 million as will current assets. The statement of financial position looks like this for 20</w:t>
      </w:r>
      <w:r w:rsidR="004721CF">
        <w:rPr>
          <w:rFonts w:cs="Times-Roman"/>
          <w:color w:val="000000"/>
        </w:rPr>
        <w:t>11</w:t>
      </w:r>
      <w:r>
        <w:rPr>
          <w:rFonts w:cs="Times-Roman"/>
          <w:color w:val="000000"/>
        </w:rPr>
        <w:t xml:space="preserve"> and 20</w:t>
      </w:r>
      <w:r w:rsidR="004721CF">
        <w:rPr>
          <w:rFonts w:cs="Times-Roman"/>
          <w:color w:val="000000"/>
        </w:rPr>
        <w:t>13</w:t>
      </w:r>
      <w:r>
        <w:rPr>
          <w:rFonts w:cs="Times-Roman"/>
          <w:color w:val="000000"/>
        </w:rPr>
        <w:t>:</w:t>
      </w:r>
    </w:p>
    <w:p w:rsidR="008D198A" w:rsidRDefault="008D198A" w:rsidP="00DF0AE2">
      <w:pPr>
        <w:jc w:val="both"/>
      </w:pPr>
      <w:r>
        <w:br w:type="page"/>
      </w:r>
    </w:p>
    <w:p w:rsidR="008D198A" w:rsidRDefault="008D198A" w:rsidP="00DF0AE2">
      <w:pPr>
        <w:pStyle w:val="ListParagraph"/>
        <w:jc w:val="both"/>
      </w:pPr>
    </w:p>
    <w:tbl>
      <w:tblPr>
        <w:tblW w:w="7339" w:type="dxa"/>
        <w:tblInd w:w="540" w:type="dxa"/>
        <w:tblLook w:val="04A0" w:firstRow="1" w:lastRow="0" w:firstColumn="1" w:lastColumn="0" w:noHBand="0" w:noVBand="1"/>
      </w:tblPr>
      <w:tblGrid>
        <w:gridCol w:w="3643"/>
        <w:gridCol w:w="1785"/>
        <w:gridCol w:w="1785"/>
        <w:gridCol w:w="126"/>
      </w:tblGrid>
      <w:tr w:rsidR="008D198A" w:rsidRPr="008B64B7" w:rsidTr="00BD5D2F">
        <w:trPr>
          <w:gridAfter w:val="1"/>
          <w:wAfter w:w="126" w:type="dxa"/>
          <w:trHeight w:val="216"/>
        </w:trPr>
        <w:tc>
          <w:tcPr>
            <w:tcW w:w="3643" w:type="dxa"/>
            <w:tcBorders>
              <w:top w:val="nil"/>
              <w:left w:val="nil"/>
              <w:bottom w:val="nil"/>
              <w:right w:val="nil"/>
            </w:tcBorders>
            <w:shd w:val="clear" w:color="auto" w:fill="auto"/>
            <w:noWrap/>
            <w:vAlign w:val="bottom"/>
          </w:tcPr>
          <w:p w:rsidR="008D198A" w:rsidRPr="008B64B7" w:rsidRDefault="008D198A" w:rsidP="00DF0AE2">
            <w:pPr>
              <w:jc w:val="both"/>
              <w:rPr>
                <w:rFonts w:cs="Calibri"/>
                <w:color w:val="000000"/>
                <w:sz w:val="18"/>
                <w:szCs w:val="18"/>
                <w:lang w:eastAsia="en-GB"/>
              </w:rPr>
            </w:pPr>
            <w:bookmarkStart w:id="1" w:name="OLE_LINK1"/>
            <w:bookmarkStart w:id="2" w:name="OLE_LINK2"/>
          </w:p>
        </w:tc>
        <w:tc>
          <w:tcPr>
            <w:tcW w:w="1785" w:type="dxa"/>
            <w:tcBorders>
              <w:top w:val="nil"/>
              <w:left w:val="nil"/>
              <w:bottom w:val="nil"/>
              <w:right w:val="nil"/>
            </w:tcBorders>
            <w:shd w:val="clear" w:color="auto" w:fill="auto"/>
            <w:noWrap/>
            <w:vAlign w:val="center"/>
          </w:tcPr>
          <w:p w:rsidR="008D198A" w:rsidRDefault="008D198A" w:rsidP="00575147">
            <w:pPr>
              <w:ind w:firstLineChars="200" w:firstLine="361"/>
              <w:jc w:val="both"/>
              <w:rPr>
                <w:rFonts w:ascii="Cambria" w:hAnsi="Cambria" w:cs="Calibri"/>
                <w:b/>
                <w:color w:val="000000"/>
                <w:sz w:val="18"/>
                <w:szCs w:val="18"/>
                <w:lang w:eastAsia="en-GB"/>
              </w:rPr>
            </w:pPr>
            <w:r w:rsidRPr="00F43CBD">
              <w:rPr>
                <w:rFonts w:ascii="Cambria" w:hAnsi="Cambria" w:cs="Calibri"/>
                <w:b/>
                <w:color w:val="000000"/>
                <w:sz w:val="18"/>
                <w:szCs w:val="18"/>
                <w:lang w:eastAsia="en-GB"/>
              </w:rPr>
              <w:t>2011</w:t>
            </w:r>
          </w:p>
          <w:p w:rsidR="00EB600A" w:rsidRPr="00F43CBD" w:rsidRDefault="00EB600A" w:rsidP="00575147">
            <w:pPr>
              <w:ind w:firstLineChars="200" w:firstLine="361"/>
              <w:jc w:val="both"/>
              <w:rPr>
                <w:rFonts w:ascii="Cambria" w:hAnsi="Cambria" w:cs="Calibri"/>
                <w:b/>
                <w:color w:val="000000"/>
                <w:sz w:val="18"/>
                <w:szCs w:val="18"/>
                <w:lang w:eastAsia="en-GB"/>
              </w:rPr>
            </w:pPr>
            <w:r w:rsidRPr="00EB600A">
              <w:rPr>
                <w:rFonts w:ascii="Cambria" w:hAnsi="Cambria" w:cs="Calibri"/>
                <w:b/>
                <w:color w:val="000000"/>
                <w:sz w:val="18"/>
                <w:szCs w:val="18"/>
                <w:lang w:eastAsia="en-GB"/>
              </w:rPr>
              <w:t>(SFr millions)</w:t>
            </w:r>
          </w:p>
        </w:tc>
        <w:tc>
          <w:tcPr>
            <w:tcW w:w="1785" w:type="dxa"/>
            <w:tcBorders>
              <w:top w:val="nil"/>
              <w:left w:val="nil"/>
              <w:bottom w:val="nil"/>
              <w:right w:val="nil"/>
            </w:tcBorders>
            <w:shd w:val="clear" w:color="auto" w:fill="auto"/>
            <w:noWrap/>
            <w:vAlign w:val="center"/>
          </w:tcPr>
          <w:p w:rsidR="008D198A" w:rsidRDefault="008D198A" w:rsidP="00575147">
            <w:pPr>
              <w:ind w:firstLineChars="200" w:firstLine="361"/>
              <w:jc w:val="both"/>
              <w:rPr>
                <w:rFonts w:ascii="Cambria" w:hAnsi="Cambria" w:cs="Calibri"/>
                <w:b/>
                <w:color w:val="000000"/>
                <w:sz w:val="18"/>
                <w:szCs w:val="18"/>
                <w:lang w:eastAsia="en-GB"/>
              </w:rPr>
            </w:pPr>
            <w:r w:rsidRPr="00F43CBD">
              <w:rPr>
                <w:rFonts w:ascii="Cambria" w:hAnsi="Cambria" w:cs="Calibri"/>
                <w:b/>
                <w:color w:val="000000"/>
                <w:sz w:val="18"/>
                <w:szCs w:val="18"/>
                <w:lang w:eastAsia="en-GB"/>
              </w:rPr>
              <w:t>2013</w:t>
            </w:r>
          </w:p>
          <w:p w:rsidR="00EB600A" w:rsidRPr="00F43CBD" w:rsidRDefault="00EB600A" w:rsidP="00575147">
            <w:pPr>
              <w:ind w:firstLineChars="200" w:firstLine="361"/>
              <w:jc w:val="both"/>
              <w:rPr>
                <w:rFonts w:ascii="Cambria" w:hAnsi="Cambria" w:cs="Calibri"/>
                <w:b/>
                <w:color w:val="000000"/>
                <w:sz w:val="18"/>
                <w:szCs w:val="18"/>
                <w:lang w:eastAsia="en-GB"/>
              </w:rPr>
            </w:pPr>
            <w:r w:rsidRPr="00EB600A">
              <w:rPr>
                <w:rFonts w:ascii="Cambria" w:hAnsi="Cambria" w:cs="Calibri"/>
                <w:b/>
                <w:color w:val="000000"/>
                <w:sz w:val="18"/>
                <w:szCs w:val="18"/>
                <w:lang w:eastAsia="en-GB"/>
              </w:rPr>
              <w:t>(SFr millions)</w:t>
            </w:r>
          </w:p>
        </w:tc>
      </w:tr>
      <w:tr w:rsidR="008D198A" w:rsidRPr="008B64B7" w:rsidTr="00BD5D2F">
        <w:trPr>
          <w:trHeight w:val="303"/>
        </w:trPr>
        <w:tc>
          <w:tcPr>
            <w:tcW w:w="3643"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Current Assets</w:t>
            </w:r>
          </w:p>
        </w:tc>
        <w:tc>
          <w:tcPr>
            <w:tcW w:w="1785"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18,327</w:t>
            </w:r>
          </w:p>
        </w:tc>
        <w:tc>
          <w:tcPr>
            <w:tcW w:w="1911" w:type="dxa"/>
            <w:gridSpan w:val="2"/>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17,827</w:t>
            </w:r>
          </w:p>
        </w:tc>
      </w:tr>
      <w:tr w:rsidR="008D198A" w:rsidRPr="008B64B7" w:rsidTr="00BD5D2F">
        <w:trPr>
          <w:gridAfter w:val="1"/>
          <w:wAfter w:w="126" w:type="dxa"/>
          <w:trHeight w:val="466"/>
        </w:trPr>
        <w:tc>
          <w:tcPr>
            <w:tcW w:w="3643"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Non-Current Assets</w:t>
            </w:r>
          </w:p>
        </w:tc>
        <w:tc>
          <w:tcPr>
            <w:tcW w:w="1785" w:type="dxa"/>
            <w:tcBorders>
              <w:top w:val="nil"/>
              <w:left w:val="nil"/>
              <w:bottom w:val="single" w:sz="8" w:space="0" w:color="auto"/>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8,415</w:t>
            </w:r>
          </w:p>
        </w:tc>
        <w:tc>
          <w:tcPr>
            <w:tcW w:w="1785" w:type="dxa"/>
            <w:tcBorders>
              <w:top w:val="nil"/>
              <w:left w:val="nil"/>
              <w:bottom w:val="single" w:sz="8" w:space="0" w:color="auto"/>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8,415</w:t>
            </w:r>
          </w:p>
        </w:tc>
      </w:tr>
      <w:tr w:rsidR="008D198A" w:rsidRPr="008B64B7" w:rsidTr="00BD5D2F">
        <w:trPr>
          <w:gridAfter w:val="1"/>
          <w:wAfter w:w="126" w:type="dxa"/>
          <w:trHeight w:val="313"/>
        </w:trPr>
        <w:tc>
          <w:tcPr>
            <w:tcW w:w="3643"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Total Assets</w:t>
            </w:r>
          </w:p>
        </w:tc>
        <w:tc>
          <w:tcPr>
            <w:tcW w:w="1785"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26,742</w:t>
            </w:r>
          </w:p>
        </w:tc>
        <w:tc>
          <w:tcPr>
            <w:tcW w:w="1785"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26,242</w:t>
            </w:r>
          </w:p>
        </w:tc>
      </w:tr>
      <w:tr w:rsidR="008D198A" w:rsidRPr="008B64B7" w:rsidTr="00BD5D2F">
        <w:trPr>
          <w:gridAfter w:val="1"/>
          <w:wAfter w:w="126" w:type="dxa"/>
          <w:trHeight w:val="303"/>
        </w:trPr>
        <w:tc>
          <w:tcPr>
            <w:tcW w:w="3643"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Current Liabilities</w:t>
            </w:r>
          </w:p>
        </w:tc>
        <w:tc>
          <w:tcPr>
            <w:tcW w:w="1785"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12,</w:t>
            </w:r>
            <w:r w:rsidR="006F38F3">
              <w:rPr>
                <w:rFonts w:ascii="Cambria" w:hAnsi="Cambria" w:cs="Calibri"/>
                <w:color w:val="000000"/>
                <w:sz w:val="18"/>
                <w:szCs w:val="18"/>
                <w:lang w:eastAsia="en-GB"/>
              </w:rPr>
              <w:t>1</w:t>
            </w:r>
            <w:r w:rsidR="006F38F3" w:rsidRPr="008B64B7">
              <w:rPr>
                <w:rFonts w:ascii="Cambria" w:hAnsi="Cambria" w:cs="Calibri"/>
                <w:color w:val="000000"/>
                <w:sz w:val="18"/>
                <w:szCs w:val="18"/>
                <w:lang w:eastAsia="en-GB"/>
              </w:rPr>
              <w:t>02</w:t>
            </w:r>
          </w:p>
        </w:tc>
        <w:tc>
          <w:tcPr>
            <w:tcW w:w="1785"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12,</w:t>
            </w:r>
            <w:r w:rsidR="006F38F3">
              <w:rPr>
                <w:rFonts w:ascii="Cambria" w:hAnsi="Cambria" w:cs="Calibri"/>
                <w:color w:val="000000"/>
                <w:sz w:val="18"/>
                <w:szCs w:val="18"/>
                <w:lang w:eastAsia="en-GB"/>
              </w:rPr>
              <w:t>1</w:t>
            </w:r>
            <w:r w:rsidR="006F38F3" w:rsidRPr="008B64B7">
              <w:rPr>
                <w:rFonts w:ascii="Cambria" w:hAnsi="Cambria" w:cs="Calibri"/>
                <w:color w:val="000000"/>
                <w:sz w:val="18"/>
                <w:szCs w:val="18"/>
                <w:lang w:eastAsia="en-GB"/>
              </w:rPr>
              <w:t>02</w:t>
            </w:r>
          </w:p>
        </w:tc>
      </w:tr>
      <w:tr w:rsidR="008D198A" w:rsidRPr="008B64B7" w:rsidTr="00BD5D2F">
        <w:trPr>
          <w:gridAfter w:val="1"/>
          <w:wAfter w:w="126" w:type="dxa"/>
          <w:trHeight w:val="454"/>
        </w:trPr>
        <w:tc>
          <w:tcPr>
            <w:tcW w:w="3643"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Non-Current Liabilities</w:t>
            </w:r>
          </w:p>
        </w:tc>
        <w:tc>
          <w:tcPr>
            <w:tcW w:w="1785"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color w:val="000000"/>
                <w:sz w:val="18"/>
                <w:szCs w:val="18"/>
                <w:lang w:eastAsia="en-GB"/>
              </w:rPr>
            </w:pPr>
            <w:r w:rsidRPr="008B64B7">
              <w:rPr>
                <w:rFonts w:ascii="Cambria" w:hAnsi="Cambria" w:cs="Calibri"/>
                <w:color w:val="000000"/>
                <w:sz w:val="18"/>
                <w:szCs w:val="18"/>
                <w:lang w:eastAsia="en-GB"/>
              </w:rPr>
              <w:t>3,</w:t>
            </w:r>
            <w:r w:rsidR="006F38F3">
              <w:rPr>
                <w:rFonts w:ascii="Cambria" w:hAnsi="Cambria" w:cs="Calibri"/>
                <w:color w:val="000000"/>
                <w:sz w:val="18"/>
                <w:szCs w:val="18"/>
                <w:lang w:eastAsia="en-GB"/>
              </w:rPr>
              <w:t>8</w:t>
            </w:r>
            <w:r w:rsidR="006F38F3" w:rsidRPr="008B64B7">
              <w:rPr>
                <w:rFonts w:ascii="Cambria" w:hAnsi="Cambria" w:cs="Calibri"/>
                <w:color w:val="000000"/>
                <w:sz w:val="18"/>
                <w:szCs w:val="18"/>
                <w:lang w:eastAsia="en-GB"/>
              </w:rPr>
              <w:t>78</w:t>
            </w:r>
          </w:p>
        </w:tc>
        <w:tc>
          <w:tcPr>
            <w:tcW w:w="1785" w:type="dxa"/>
            <w:tcBorders>
              <w:top w:val="nil"/>
              <w:left w:val="nil"/>
              <w:bottom w:val="nil"/>
              <w:right w:val="nil"/>
            </w:tcBorders>
            <w:shd w:val="clear" w:color="auto" w:fill="auto"/>
            <w:noWrap/>
            <w:vAlign w:val="center"/>
          </w:tcPr>
          <w:p w:rsidR="008D198A" w:rsidRPr="008B64B7" w:rsidRDefault="0027226E" w:rsidP="00DF0AE2">
            <w:pPr>
              <w:jc w:val="both"/>
              <w:rPr>
                <w:rFonts w:ascii="Cambria" w:hAnsi="Cambria" w:cs="Calibri"/>
                <w:color w:val="000000"/>
                <w:sz w:val="18"/>
                <w:szCs w:val="18"/>
                <w:lang w:eastAsia="en-GB"/>
              </w:rPr>
            </w:pPr>
            <w:r>
              <w:rPr>
                <w:rFonts w:ascii="Cambria" w:hAnsi="Cambria" w:cs="Calibri"/>
                <w:color w:val="000000"/>
                <w:sz w:val="18"/>
                <w:szCs w:val="18"/>
                <w:lang w:eastAsia="en-GB"/>
              </w:rPr>
              <w:t>3</w:t>
            </w:r>
            <w:r w:rsidR="008D198A" w:rsidRPr="008B64B7">
              <w:rPr>
                <w:rFonts w:ascii="Cambria" w:hAnsi="Cambria" w:cs="Calibri"/>
                <w:color w:val="000000"/>
                <w:sz w:val="18"/>
                <w:szCs w:val="18"/>
                <w:lang w:eastAsia="en-GB"/>
              </w:rPr>
              <w:t>,</w:t>
            </w:r>
            <w:r w:rsidR="006F38F3">
              <w:rPr>
                <w:rFonts w:ascii="Cambria" w:hAnsi="Cambria" w:cs="Calibri"/>
                <w:color w:val="000000"/>
                <w:sz w:val="18"/>
                <w:szCs w:val="18"/>
                <w:lang w:eastAsia="en-GB"/>
              </w:rPr>
              <w:t>3</w:t>
            </w:r>
            <w:r w:rsidR="006F38F3" w:rsidRPr="008B64B7">
              <w:rPr>
                <w:rFonts w:ascii="Cambria" w:hAnsi="Cambria" w:cs="Calibri"/>
                <w:color w:val="000000"/>
                <w:sz w:val="18"/>
                <w:szCs w:val="18"/>
                <w:lang w:eastAsia="en-GB"/>
              </w:rPr>
              <w:t>78</w:t>
            </w:r>
          </w:p>
        </w:tc>
      </w:tr>
      <w:tr w:rsidR="008D198A" w:rsidRPr="008B64B7" w:rsidTr="00BD5D2F">
        <w:trPr>
          <w:gridAfter w:val="1"/>
          <w:wAfter w:w="126" w:type="dxa"/>
          <w:trHeight w:val="303"/>
        </w:trPr>
        <w:tc>
          <w:tcPr>
            <w:tcW w:w="3643"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Total Liabilities</w:t>
            </w:r>
          </w:p>
        </w:tc>
        <w:tc>
          <w:tcPr>
            <w:tcW w:w="1785" w:type="dxa"/>
            <w:tcBorders>
              <w:top w:val="nil"/>
              <w:left w:val="nil"/>
              <w:bottom w:val="nil"/>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15,980</w:t>
            </w:r>
          </w:p>
        </w:tc>
        <w:tc>
          <w:tcPr>
            <w:tcW w:w="1785" w:type="dxa"/>
            <w:tcBorders>
              <w:top w:val="nil"/>
              <w:left w:val="nil"/>
              <w:bottom w:val="nil"/>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15,480</w:t>
            </w:r>
          </w:p>
        </w:tc>
      </w:tr>
      <w:tr w:rsidR="008D198A" w:rsidRPr="008B64B7" w:rsidTr="00BD5D2F">
        <w:trPr>
          <w:gridAfter w:val="1"/>
          <w:wAfter w:w="126" w:type="dxa"/>
          <w:trHeight w:val="313"/>
        </w:trPr>
        <w:tc>
          <w:tcPr>
            <w:tcW w:w="3643"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Total Equity</w:t>
            </w:r>
          </w:p>
        </w:tc>
        <w:tc>
          <w:tcPr>
            <w:tcW w:w="1785"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10,762</w:t>
            </w:r>
          </w:p>
        </w:tc>
        <w:tc>
          <w:tcPr>
            <w:tcW w:w="1785"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10,762</w:t>
            </w:r>
          </w:p>
        </w:tc>
      </w:tr>
      <w:tr w:rsidR="008D198A" w:rsidRPr="008B64B7" w:rsidTr="00BD5D2F">
        <w:trPr>
          <w:gridAfter w:val="1"/>
          <w:wAfter w:w="126" w:type="dxa"/>
          <w:trHeight w:val="466"/>
        </w:trPr>
        <w:tc>
          <w:tcPr>
            <w:tcW w:w="3643" w:type="dxa"/>
            <w:tcBorders>
              <w:top w:val="nil"/>
              <w:left w:val="nil"/>
              <w:bottom w:val="nil"/>
              <w:right w:val="nil"/>
            </w:tcBorders>
            <w:shd w:val="clear" w:color="auto" w:fill="auto"/>
            <w:noWrap/>
            <w:vAlign w:val="center"/>
          </w:tcPr>
          <w:p w:rsidR="008D198A" w:rsidRPr="008B64B7" w:rsidRDefault="008D198A" w:rsidP="00DF0AE2">
            <w:pPr>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Total Liabilities plus Equity</w:t>
            </w:r>
          </w:p>
        </w:tc>
        <w:tc>
          <w:tcPr>
            <w:tcW w:w="1785"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26,742</w:t>
            </w:r>
          </w:p>
        </w:tc>
        <w:tc>
          <w:tcPr>
            <w:tcW w:w="1785" w:type="dxa"/>
            <w:tcBorders>
              <w:top w:val="nil"/>
              <w:left w:val="nil"/>
              <w:bottom w:val="single" w:sz="8" w:space="0" w:color="auto"/>
              <w:right w:val="nil"/>
            </w:tcBorders>
            <w:shd w:val="clear" w:color="auto" w:fill="auto"/>
            <w:noWrap/>
            <w:vAlign w:val="center"/>
          </w:tcPr>
          <w:p w:rsidR="008D198A" w:rsidRPr="008B64B7" w:rsidRDefault="008D198A" w:rsidP="00575147">
            <w:pPr>
              <w:ind w:firstLineChars="200" w:firstLine="361"/>
              <w:jc w:val="both"/>
              <w:rPr>
                <w:rFonts w:ascii="Cambria" w:hAnsi="Cambria" w:cs="Calibri"/>
                <w:b/>
                <w:bCs/>
                <w:color w:val="000000"/>
                <w:sz w:val="18"/>
                <w:szCs w:val="18"/>
                <w:lang w:eastAsia="en-GB"/>
              </w:rPr>
            </w:pPr>
            <w:r w:rsidRPr="008B64B7">
              <w:rPr>
                <w:rFonts w:ascii="Cambria" w:hAnsi="Cambria" w:cs="Calibri"/>
                <w:b/>
                <w:bCs/>
                <w:color w:val="000000"/>
                <w:sz w:val="18"/>
                <w:szCs w:val="18"/>
                <w:lang w:eastAsia="en-GB"/>
              </w:rPr>
              <w:t>26,242</w:t>
            </w:r>
          </w:p>
        </w:tc>
      </w:tr>
      <w:bookmarkEnd w:id="1"/>
      <w:bookmarkEnd w:id="2"/>
    </w:tbl>
    <w:p w:rsidR="008D198A" w:rsidRDefault="008D198A" w:rsidP="00DF0AE2">
      <w:pPr>
        <w:pStyle w:val="ListParagraph"/>
        <w:jc w:val="both"/>
      </w:pPr>
    </w:p>
    <w:p w:rsidR="00AB210B" w:rsidRDefault="00AB210B" w:rsidP="00DF0AE2">
      <w:pPr>
        <w:pStyle w:val="ListParagraph"/>
        <w:jc w:val="both"/>
        <w:rPr>
          <w:highlight w:val="yellow"/>
        </w:rPr>
      </w:pPr>
    </w:p>
    <w:p w:rsidR="00BC49E0" w:rsidRDefault="00BC49E0" w:rsidP="00DF0AE2">
      <w:pPr>
        <w:pStyle w:val="ListParagraph"/>
        <w:numPr>
          <w:ilvl w:val="0"/>
          <w:numId w:val="1"/>
        </w:numPr>
        <w:autoSpaceDE w:val="0"/>
        <w:autoSpaceDN w:val="0"/>
        <w:adjustRightInd w:val="0"/>
        <w:jc w:val="both"/>
      </w:pPr>
      <w:r>
        <w:t xml:space="preserve">An analysis of ABB </w:t>
      </w:r>
      <w:r w:rsidR="00577956" w:rsidRPr="00577956">
        <w:t>non-current liabilities</w:t>
      </w:r>
      <w:r>
        <w:t xml:space="preserve">/equity ratios show that they have been decreasing year on year from 1.10 (2006) to 0.31 in 2010. Assume that the desired </w:t>
      </w:r>
      <w:r w:rsidR="00F27D5A" w:rsidRPr="00A3159F">
        <w:t>non-</w:t>
      </w:r>
      <w:r w:rsidR="00577956" w:rsidRPr="00577956">
        <w:t>current liabilities</w:t>
      </w:r>
      <w:r>
        <w:t>/equity ratio is 0.31. This would mean that 0.31 or Sfr157 million of the Sfr500 million investment would be funded by debt and Sfr343 million would be funded by equity. In this situation the statement of financial position would be:</w:t>
      </w:r>
    </w:p>
    <w:p w:rsidR="00BC49E0" w:rsidRDefault="00BC49E0" w:rsidP="0096718F">
      <w:pPr>
        <w:jc w:val="both"/>
      </w:pPr>
    </w:p>
    <w:tbl>
      <w:tblPr>
        <w:tblW w:w="4929" w:type="dxa"/>
        <w:jc w:val="center"/>
        <w:tblLook w:val="04A0" w:firstRow="1" w:lastRow="0" w:firstColumn="1" w:lastColumn="0" w:noHBand="0" w:noVBand="1"/>
      </w:tblPr>
      <w:tblGrid>
        <w:gridCol w:w="3165"/>
        <w:gridCol w:w="1764"/>
      </w:tblGrid>
      <w:tr w:rsidR="00BC49E0" w:rsidRPr="001632AC" w:rsidTr="00A92BD6">
        <w:trPr>
          <w:trHeight w:val="238"/>
          <w:jc w:val="center"/>
        </w:trPr>
        <w:tc>
          <w:tcPr>
            <w:tcW w:w="3165" w:type="dxa"/>
            <w:tcBorders>
              <w:top w:val="nil"/>
              <w:left w:val="nil"/>
              <w:bottom w:val="nil"/>
              <w:right w:val="nil"/>
            </w:tcBorders>
            <w:shd w:val="clear" w:color="auto" w:fill="auto"/>
            <w:noWrap/>
            <w:vAlign w:val="bottom"/>
            <w:hideMark/>
          </w:tcPr>
          <w:p w:rsidR="00BC49E0" w:rsidRPr="001632AC" w:rsidRDefault="00BC49E0" w:rsidP="00DF0AE2">
            <w:pPr>
              <w:jc w:val="both"/>
              <w:rPr>
                <w:rFonts w:cs="Calibri"/>
                <w:color w:val="000000"/>
                <w:sz w:val="20"/>
                <w:szCs w:val="20"/>
                <w:lang w:eastAsia="en-GB"/>
              </w:rPr>
            </w:pPr>
          </w:p>
        </w:tc>
        <w:tc>
          <w:tcPr>
            <w:tcW w:w="1764" w:type="dxa"/>
            <w:tcBorders>
              <w:top w:val="nil"/>
              <w:left w:val="nil"/>
              <w:bottom w:val="nil"/>
              <w:right w:val="nil"/>
            </w:tcBorders>
            <w:shd w:val="clear" w:color="auto" w:fill="auto"/>
            <w:noWrap/>
            <w:vAlign w:val="center"/>
            <w:hideMark/>
          </w:tcPr>
          <w:p w:rsidR="00BC49E0" w:rsidRDefault="00BC49E0" w:rsidP="00575147">
            <w:pPr>
              <w:ind w:firstLineChars="200" w:firstLine="321"/>
              <w:jc w:val="both"/>
              <w:rPr>
                <w:rFonts w:ascii="Cambria" w:hAnsi="Cambria" w:cs="Calibri"/>
                <w:b/>
                <w:color w:val="000000"/>
                <w:sz w:val="16"/>
                <w:szCs w:val="16"/>
                <w:lang w:eastAsia="en-GB"/>
              </w:rPr>
            </w:pPr>
            <w:r w:rsidRPr="00A92BD6">
              <w:rPr>
                <w:rFonts w:ascii="Cambria" w:hAnsi="Cambria" w:cs="Calibri"/>
                <w:b/>
                <w:color w:val="000000"/>
                <w:sz w:val="16"/>
                <w:szCs w:val="16"/>
                <w:lang w:eastAsia="en-GB"/>
              </w:rPr>
              <w:t>2011</w:t>
            </w:r>
          </w:p>
          <w:p w:rsidR="00EB600A" w:rsidRPr="00A92BD6" w:rsidRDefault="00EB600A" w:rsidP="00575147">
            <w:pPr>
              <w:ind w:firstLineChars="200" w:firstLine="361"/>
              <w:jc w:val="both"/>
              <w:rPr>
                <w:rFonts w:ascii="Cambria" w:hAnsi="Cambria" w:cs="Calibri"/>
                <w:b/>
                <w:color w:val="000000"/>
                <w:sz w:val="16"/>
                <w:szCs w:val="16"/>
                <w:lang w:eastAsia="en-GB"/>
              </w:rPr>
            </w:pPr>
            <w:r w:rsidRPr="00DD1A36">
              <w:rPr>
                <w:rFonts w:ascii="Cambria" w:hAnsi="Cambria" w:cs="Calibri"/>
                <w:b/>
                <w:color w:val="000000"/>
                <w:sz w:val="18"/>
                <w:szCs w:val="18"/>
                <w:lang w:eastAsia="en-GB"/>
              </w:rPr>
              <w:t>(SFr millions)</w:t>
            </w:r>
          </w:p>
        </w:tc>
      </w:tr>
      <w:tr w:rsidR="00BC49E0" w:rsidRPr="001632AC" w:rsidTr="00A92BD6">
        <w:trPr>
          <w:trHeight w:val="334"/>
          <w:jc w:val="center"/>
        </w:trPr>
        <w:tc>
          <w:tcPr>
            <w:tcW w:w="3165" w:type="dxa"/>
            <w:tcBorders>
              <w:top w:val="nil"/>
              <w:left w:val="nil"/>
              <w:bottom w:val="nil"/>
              <w:right w:val="nil"/>
            </w:tcBorders>
            <w:shd w:val="clear" w:color="auto" w:fill="auto"/>
            <w:noWrap/>
            <w:vAlign w:val="center"/>
            <w:hideMark/>
          </w:tcPr>
          <w:p w:rsidR="00BC49E0" w:rsidRPr="00292473" w:rsidRDefault="00BC49E0" w:rsidP="00DF0AE2">
            <w:pPr>
              <w:jc w:val="both"/>
              <w:rPr>
                <w:rFonts w:ascii="Cambria" w:hAnsi="Cambria" w:cs="Calibri"/>
                <w:bCs/>
                <w:color w:val="000000"/>
                <w:sz w:val="18"/>
                <w:szCs w:val="18"/>
                <w:lang w:eastAsia="en-GB"/>
              </w:rPr>
            </w:pPr>
            <w:r w:rsidRPr="00292473">
              <w:rPr>
                <w:rFonts w:ascii="Cambria" w:hAnsi="Cambria" w:cs="Calibri"/>
                <w:bCs/>
                <w:color w:val="000000"/>
                <w:sz w:val="18"/>
                <w:szCs w:val="18"/>
                <w:lang w:eastAsia="en-GB"/>
              </w:rPr>
              <w:t>Current Assets</w:t>
            </w:r>
          </w:p>
        </w:tc>
        <w:tc>
          <w:tcPr>
            <w:tcW w:w="1764" w:type="dxa"/>
            <w:tcBorders>
              <w:top w:val="nil"/>
              <w:left w:val="nil"/>
              <w:bottom w:val="nil"/>
              <w:right w:val="nil"/>
            </w:tcBorders>
            <w:shd w:val="clear" w:color="auto" w:fill="auto"/>
            <w:noWrap/>
            <w:vAlign w:val="center"/>
            <w:hideMark/>
          </w:tcPr>
          <w:p w:rsidR="00BC49E0" w:rsidRPr="00A92BD6" w:rsidRDefault="00BC49E0" w:rsidP="00DF0AE2">
            <w:pPr>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18,327</w:t>
            </w:r>
          </w:p>
        </w:tc>
      </w:tr>
      <w:tr w:rsidR="00BC49E0" w:rsidRPr="001632AC" w:rsidTr="00A92BD6">
        <w:trPr>
          <w:trHeight w:val="513"/>
          <w:jc w:val="center"/>
        </w:trPr>
        <w:tc>
          <w:tcPr>
            <w:tcW w:w="3165" w:type="dxa"/>
            <w:tcBorders>
              <w:top w:val="nil"/>
              <w:left w:val="nil"/>
              <w:bottom w:val="nil"/>
              <w:right w:val="nil"/>
            </w:tcBorders>
            <w:shd w:val="clear" w:color="auto" w:fill="auto"/>
            <w:noWrap/>
            <w:vAlign w:val="center"/>
            <w:hideMark/>
          </w:tcPr>
          <w:p w:rsidR="00BC49E0" w:rsidRPr="00292473" w:rsidRDefault="00BC49E0" w:rsidP="00DF0AE2">
            <w:pPr>
              <w:jc w:val="both"/>
              <w:rPr>
                <w:rFonts w:ascii="Cambria" w:hAnsi="Cambria" w:cs="Calibri"/>
                <w:bCs/>
                <w:color w:val="000000"/>
                <w:sz w:val="18"/>
                <w:szCs w:val="18"/>
                <w:lang w:eastAsia="en-GB"/>
              </w:rPr>
            </w:pPr>
            <w:r w:rsidRPr="00292473">
              <w:rPr>
                <w:rFonts w:ascii="Cambria" w:hAnsi="Cambria" w:cs="Calibri"/>
                <w:bCs/>
                <w:color w:val="000000"/>
                <w:sz w:val="18"/>
                <w:szCs w:val="18"/>
                <w:lang w:eastAsia="en-GB"/>
              </w:rPr>
              <w:t>Non-Current Assets</w:t>
            </w:r>
          </w:p>
        </w:tc>
        <w:tc>
          <w:tcPr>
            <w:tcW w:w="1764" w:type="dxa"/>
            <w:tcBorders>
              <w:top w:val="nil"/>
              <w:left w:val="nil"/>
              <w:bottom w:val="single" w:sz="8" w:space="0" w:color="auto"/>
              <w:right w:val="nil"/>
            </w:tcBorders>
            <w:shd w:val="clear" w:color="auto" w:fill="auto"/>
            <w:noWrap/>
            <w:vAlign w:val="center"/>
            <w:hideMark/>
          </w:tcPr>
          <w:p w:rsidR="00BC49E0" w:rsidRPr="00A92BD6" w:rsidRDefault="00BC49E0" w:rsidP="00DF0AE2">
            <w:pPr>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8,415</w:t>
            </w:r>
          </w:p>
        </w:tc>
      </w:tr>
      <w:tr w:rsidR="00BC49E0" w:rsidRPr="001632AC" w:rsidTr="00A92BD6">
        <w:trPr>
          <w:trHeight w:val="346"/>
          <w:jc w:val="center"/>
        </w:trPr>
        <w:tc>
          <w:tcPr>
            <w:tcW w:w="3165" w:type="dxa"/>
            <w:tcBorders>
              <w:top w:val="nil"/>
              <w:left w:val="nil"/>
              <w:bottom w:val="nil"/>
              <w:right w:val="nil"/>
            </w:tcBorders>
            <w:shd w:val="clear" w:color="auto" w:fill="auto"/>
            <w:noWrap/>
            <w:vAlign w:val="center"/>
            <w:hideMark/>
          </w:tcPr>
          <w:p w:rsidR="00BC49E0" w:rsidRPr="00A92BD6" w:rsidRDefault="00BC49E0" w:rsidP="00DF0AE2">
            <w:pPr>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Total Assets</w:t>
            </w:r>
          </w:p>
        </w:tc>
        <w:tc>
          <w:tcPr>
            <w:tcW w:w="1764" w:type="dxa"/>
            <w:tcBorders>
              <w:top w:val="nil"/>
              <w:left w:val="nil"/>
              <w:bottom w:val="single" w:sz="8" w:space="0" w:color="auto"/>
              <w:right w:val="nil"/>
            </w:tcBorders>
            <w:shd w:val="clear" w:color="auto" w:fill="auto"/>
            <w:noWrap/>
            <w:vAlign w:val="center"/>
            <w:hideMark/>
          </w:tcPr>
          <w:p w:rsidR="00BC49E0" w:rsidRPr="00A92BD6" w:rsidRDefault="00BC49E0" w:rsidP="00575147">
            <w:pPr>
              <w:ind w:firstLineChars="200" w:firstLine="361"/>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26,742</w:t>
            </w:r>
          </w:p>
        </w:tc>
      </w:tr>
      <w:tr w:rsidR="00BC49E0" w:rsidRPr="001632AC" w:rsidTr="00A92BD6">
        <w:trPr>
          <w:trHeight w:val="334"/>
          <w:jc w:val="center"/>
        </w:trPr>
        <w:tc>
          <w:tcPr>
            <w:tcW w:w="3165" w:type="dxa"/>
            <w:tcBorders>
              <w:top w:val="nil"/>
              <w:left w:val="nil"/>
              <w:bottom w:val="nil"/>
              <w:right w:val="nil"/>
            </w:tcBorders>
            <w:shd w:val="clear" w:color="auto" w:fill="auto"/>
            <w:noWrap/>
            <w:vAlign w:val="center"/>
            <w:hideMark/>
          </w:tcPr>
          <w:p w:rsidR="00BC49E0" w:rsidRPr="00292473" w:rsidRDefault="00BC49E0" w:rsidP="00DF0AE2">
            <w:pPr>
              <w:jc w:val="both"/>
              <w:rPr>
                <w:rFonts w:ascii="Cambria" w:hAnsi="Cambria" w:cs="Calibri"/>
                <w:bCs/>
                <w:color w:val="000000"/>
                <w:sz w:val="18"/>
                <w:szCs w:val="18"/>
                <w:lang w:eastAsia="en-GB"/>
              </w:rPr>
            </w:pPr>
            <w:r w:rsidRPr="00292473">
              <w:rPr>
                <w:rFonts w:ascii="Cambria" w:hAnsi="Cambria" w:cs="Calibri"/>
                <w:bCs/>
                <w:color w:val="000000"/>
                <w:sz w:val="18"/>
                <w:szCs w:val="18"/>
                <w:lang w:eastAsia="en-GB"/>
              </w:rPr>
              <w:t>Current Liabilities</w:t>
            </w:r>
          </w:p>
        </w:tc>
        <w:tc>
          <w:tcPr>
            <w:tcW w:w="1764" w:type="dxa"/>
            <w:tcBorders>
              <w:top w:val="nil"/>
              <w:left w:val="nil"/>
              <w:bottom w:val="nil"/>
              <w:right w:val="nil"/>
            </w:tcBorders>
            <w:shd w:val="clear" w:color="auto" w:fill="auto"/>
            <w:noWrap/>
            <w:vAlign w:val="center"/>
            <w:hideMark/>
          </w:tcPr>
          <w:p w:rsidR="00BC49E0" w:rsidRPr="00A92BD6" w:rsidRDefault="00BC49E0" w:rsidP="00DF0AE2">
            <w:pPr>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12,102</w:t>
            </w:r>
          </w:p>
        </w:tc>
      </w:tr>
      <w:tr w:rsidR="00BC49E0" w:rsidRPr="001632AC" w:rsidTr="00A92BD6">
        <w:trPr>
          <w:trHeight w:val="501"/>
          <w:jc w:val="center"/>
        </w:trPr>
        <w:tc>
          <w:tcPr>
            <w:tcW w:w="3165" w:type="dxa"/>
            <w:tcBorders>
              <w:top w:val="nil"/>
              <w:left w:val="nil"/>
              <w:bottom w:val="nil"/>
              <w:right w:val="nil"/>
            </w:tcBorders>
            <w:shd w:val="clear" w:color="auto" w:fill="auto"/>
            <w:noWrap/>
            <w:vAlign w:val="center"/>
            <w:hideMark/>
          </w:tcPr>
          <w:p w:rsidR="00BC49E0" w:rsidRPr="00292473" w:rsidRDefault="00BC49E0" w:rsidP="00DF0AE2">
            <w:pPr>
              <w:jc w:val="both"/>
              <w:rPr>
                <w:rFonts w:ascii="Cambria" w:hAnsi="Cambria" w:cs="Calibri"/>
                <w:bCs/>
                <w:color w:val="000000"/>
                <w:sz w:val="18"/>
                <w:szCs w:val="18"/>
                <w:lang w:eastAsia="en-GB"/>
              </w:rPr>
            </w:pPr>
            <w:r w:rsidRPr="00292473">
              <w:rPr>
                <w:rFonts w:ascii="Cambria" w:hAnsi="Cambria" w:cs="Calibri"/>
                <w:bCs/>
                <w:color w:val="000000"/>
                <w:sz w:val="18"/>
                <w:szCs w:val="18"/>
                <w:lang w:eastAsia="en-GB"/>
              </w:rPr>
              <w:t>Non-Current Liabilities</w:t>
            </w:r>
          </w:p>
        </w:tc>
        <w:tc>
          <w:tcPr>
            <w:tcW w:w="1764" w:type="dxa"/>
            <w:tcBorders>
              <w:top w:val="nil"/>
              <w:left w:val="nil"/>
              <w:bottom w:val="nil"/>
              <w:right w:val="nil"/>
            </w:tcBorders>
            <w:shd w:val="clear" w:color="auto" w:fill="auto"/>
            <w:noWrap/>
            <w:vAlign w:val="center"/>
            <w:hideMark/>
          </w:tcPr>
          <w:p w:rsidR="00BC49E0" w:rsidRPr="00A92BD6" w:rsidRDefault="00BC49E0" w:rsidP="00DF0AE2">
            <w:pPr>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3,535</w:t>
            </w:r>
          </w:p>
        </w:tc>
      </w:tr>
      <w:tr w:rsidR="00BC49E0" w:rsidRPr="001632AC" w:rsidTr="00A92BD6">
        <w:trPr>
          <w:trHeight w:val="334"/>
          <w:jc w:val="center"/>
        </w:trPr>
        <w:tc>
          <w:tcPr>
            <w:tcW w:w="3165" w:type="dxa"/>
            <w:tcBorders>
              <w:top w:val="nil"/>
              <w:left w:val="nil"/>
              <w:bottom w:val="nil"/>
              <w:right w:val="nil"/>
            </w:tcBorders>
            <w:shd w:val="clear" w:color="auto" w:fill="auto"/>
            <w:noWrap/>
            <w:vAlign w:val="center"/>
            <w:hideMark/>
          </w:tcPr>
          <w:p w:rsidR="00BC49E0" w:rsidRPr="00A92BD6" w:rsidRDefault="00BC49E0" w:rsidP="00DF0AE2">
            <w:pPr>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Total Liabilities</w:t>
            </w:r>
          </w:p>
        </w:tc>
        <w:tc>
          <w:tcPr>
            <w:tcW w:w="1764" w:type="dxa"/>
            <w:tcBorders>
              <w:top w:val="nil"/>
              <w:left w:val="nil"/>
              <w:bottom w:val="nil"/>
              <w:right w:val="nil"/>
            </w:tcBorders>
            <w:shd w:val="clear" w:color="auto" w:fill="auto"/>
            <w:noWrap/>
            <w:vAlign w:val="center"/>
            <w:hideMark/>
          </w:tcPr>
          <w:p w:rsidR="00BC49E0" w:rsidRPr="00A92BD6" w:rsidRDefault="00BC49E0" w:rsidP="00575147">
            <w:pPr>
              <w:ind w:firstLineChars="200" w:firstLine="361"/>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15,637</w:t>
            </w:r>
          </w:p>
        </w:tc>
      </w:tr>
      <w:tr w:rsidR="00BC49E0" w:rsidRPr="001632AC" w:rsidTr="00A92BD6">
        <w:trPr>
          <w:trHeight w:val="346"/>
          <w:jc w:val="center"/>
        </w:trPr>
        <w:tc>
          <w:tcPr>
            <w:tcW w:w="3165" w:type="dxa"/>
            <w:tcBorders>
              <w:top w:val="nil"/>
              <w:left w:val="nil"/>
              <w:bottom w:val="nil"/>
              <w:right w:val="nil"/>
            </w:tcBorders>
            <w:shd w:val="clear" w:color="auto" w:fill="auto"/>
            <w:noWrap/>
            <w:vAlign w:val="center"/>
            <w:hideMark/>
          </w:tcPr>
          <w:p w:rsidR="00BC49E0" w:rsidRPr="00A92BD6" w:rsidRDefault="00BC49E0" w:rsidP="00DF0AE2">
            <w:pPr>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Total Equity</w:t>
            </w:r>
          </w:p>
        </w:tc>
        <w:tc>
          <w:tcPr>
            <w:tcW w:w="1764" w:type="dxa"/>
            <w:tcBorders>
              <w:top w:val="nil"/>
              <w:left w:val="nil"/>
              <w:bottom w:val="single" w:sz="8" w:space="0" w:color="auto"/>
              <w:right w:val="nil"/>
            </w:tcBorders>
            <w:shd w:val="clear" w:color="auto" w:fill="auto"/>
            <w:noWrap/>
            <w:vAlign w:val="center"/>
            <w:hideMark/>
          </w:tcPr>
          <w:p w:rsidR="00BC49E0" w:rsidRPr="00A92BD6" w:rsidRDefault="00BC49E0" w:rsidP="00575147">
            <w:pPr>
              <w:ind w:firstLineChars="200" w:firstLine="361"/>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11,105</w:t>
            </w:r>
          </w:p>
        </w:tc>
      </w:tr>
      <w:tr w:rsidR="00BC49E0" w:rsidRPr="001632AC" w:rsidTr="00A92BD6">
        <w:trPr>
          <w:trHeight w:val="513"/>
          <w:jc w:val="center"/>
        </w:trPr>
        <w:tc>
          <w:tcPr>
            <w:tcW w:w="3165" w:type="dxa"/>
            <w:tcBorders>
              <w:top w:val="nil"/>
              <w:left w:val="nil"/>
              <w:bottom w:val="nil"/>
              <w:right w:val="nil"/>
            </w:tcBorders>
            <w:shd w:val="clear" w:color="auto" w:fill="auto"/>
            <w:noWrap/>
            <w:vAlign w:val="center"/>
            <w:hideMark/>
          </w:tcPr>
          <w:p w:rsidR="00BC49E0" w:rsidRPr="00A92BD6" w:rsidRDefault="00BC49E0" w:rsidP="00DF0AE2">
            <w:pPr>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Total Liabilities plus Equity</w:t>
            </w:r>
          </w:p>
        </w:tc>
        <w:tc>
          <w:tcPr>
            <w:tcW w:w="1764" w:type="dxa"/>
            <w:tcBorders>
              <w:top w:val="nil"/>
              <w:left w:val="nil"/>
              <w:bottom w:val="single" w:sz="8" w:space="0" w:color="auto"/>
              <w:right w:val="nil"/>
            </w:tcBorders>
            <w:shd w:val="clear" w:color="auto" w:fill="auto"/>
            <w:noWrap/>
            <w:vAlign w:val="center"/>
            <w:hideMark/>
          </w:tcPr>
          <w:p w:rsidR="00BC49E0" w:rsidRPr="00A92BD6" w:rsidRDefault="00BC49E0" w:rsidP="00575147">
            <w:pPr>
              <w:ind w:firstLineChars="200" w:firstLine="361"/>
              <w:jc w:val="both"/>
              <w:rPr>
                <w:rFonts w:ascii="Cambria" w:hAnsi="Cambria" w:cs="Calibri"/>
                <w:b/>
                <w:bCs/>
                <w:color w:val="000000"/>
                <w:sz w:val="18"/>
                <w:szCs w:val="18"/>
                <w:lang w:eastAsia="en-GB"/>
              </w:rPr>
            </w:pPr>
            <w:r w:rsidRPr="00A92BD6">
              <w:rPr>
                <w:rFonts w:ascii="Cambria" w:hAnsi="Cambria" w:cs="Calibri"/>
                <w:b/>
                <w:bCs/>
                <w:color w:val="000000"/>
                <w:sz w:val="18"/>
                <w:szCs w:val="18"/>
                <w:lang w:eastAsia="en-GB"/>
              </w:rPr>
              <w:t>26,742</w:t>
            </w:r>
          </w:p>
        </w:tc>
      </w:tr>
    </w:tbl>
    <w:p w:rsidR="00AB210B" w:rsidRPr="00AB210B" w:rsidRDefault="00AB210B" w:rsidP="00DF0AE2">
      <w:pPr>
        <w:pStyle w:val="ListParagraph"/>
        <w:ind w:left="360"/>
        <w:jc w:val="both"/>
        <w:rPr>
          <w:highlight w:val="yellow"/>
        </w:rPr>
      </w:pPr>
    </w:p>
    <w:p w:rsidR="00AB210B" w:rsidRDefault="00AB210B" w:rsidP="00DF0AE2">
      <w:pPr>
        <w:pStyle w:val="ListParagraph"/>
        <w:jc w:val="both"/>
      </w:pPr>
    </w:p>
    <w:p w:rsidR="00AB210B" w:rsidRDefault="00AB210B" w:rsidP="0096718F">
      <w:pPr>
        <w:pStyle w:val="ListParagraph"/>
        <w:jc w:val="both"/>
      </w:pPr>
    </w:p>
    <w:p w:rsidR="00AB210B" w:rsidRDefault="00AB210B" w:rsidP="0096718F">
      <w:pPr>
        <w:pStyle w:val="ListParagraph"/>
        <w:jc w:val="both"/>
      </w:pPr>
    </w:p>
    <w:p w:rsidR="00AB210B" w:rsidRDefault="00AB210B" w:rsidP="0096718F">
      <w:pPr>
        <w:pStyle w:val="ListParagraph"/>
        <w:jc w:val="both"/>
      </w:pPr>
    </w:p>
    <w:p w:rsidR="00AB210B" w:rsidRPr="00AB210B" w:rsidRDefault="00AB210B" w:rsidP="0096718F">
      <w:pPr>
        <w:pStyle w:val="ListParagraph"/>
        <w:numPr>
          <w:ilvl w:val="0"/>
          <w:numId w:val="1"/>
        </w:numPr>
        <w:autoSpaceDE w:val="0"/>
        <w:autoSpaceDN w:val="0"/>
        <w:adjustRightInd w:val="0"/>
        <w:jc w:val="both"/>
        <w:rPr>
          <w:rFonts w:cs="Times-Roman"/>
          <w:color w:val="000000"/>
        </w:rPr>
      </w:pPr>
      <w:r>
        <w:t xml:space="preserve">Yes. The main theme of </w:t>
      </w:r>
      <w:smartTag w:uri="urn:schemas-microsoft-com:office:smarttags" w:element="country-region">
        <w:r>
          <w:t>UK</w:t>
        </w:r>
      </w:smartTag>
      <w:r>
        <w:t xml:space="preserve"> and </w:t>
      </w:r>
      <w:smartTag w:uri="urn:schemas-microsoft-com:office:smarttags" w:element="country-region">
        <w:smartTag w:uri="urn:schemas-microsoft-com:office:smarttags" w:element="place">
          <w:r>
            <w:t>Germany</w:t>
          </w:r>
        </w:smartTag>
      </w:smartTag>
      <w:r>
        <w:t xml:space="preserve"> regulation is similar which is on addressing investor protection and protection of quality of the information that market participants receive. The later will ensure that investors are informed before making decisions and enhance confidence which is crucial element for any well-functioning financial market.</w:t>
      </w:r>
    </w:p>
    <w:p w:rsidR="00AB210B" w:rsidRPr="00AB210B" w:rsidRDefault="00AB210B" w:rsidP="0096718F">
      <w:pPr>
        <w:pStyle w:val="ListParagraph"/>
        <w:autoSpaceDE w:val="0"/>
        <w:autoSpaceDN w:val="0"/>
        <w:adjustRightInd w:val="0"/>
        <w:ind w:left="360"/>
        <w:jc w:val="both"/>
        <w:rPr>
          <w:rFonts w:cs="Times-Roman"/>
          <w:color w:val="000000"/>
        </w:rPr>
      </w:pPr>
    </w:p>
    <w:p w:rsidR="00EF4C68" w:rsidRPr="00AA76B1" w:rsidRDefault="00EF4C68" w:rsidP="0096718F">
      <w:pPr>
        <w:pStyle w:val="ListParagraph"/>
        <w:numPr>
          <w:ilvl w:val="0"/>
          <w:numId w:val="1"/>
        </w:numPr>
        <w:autoSpaceDE w:val="0"/>
        <w:autoSpaceDN w:val="0"/>
        <w:adjustRightInd w:val="0"/>
        <w:jc w:val="both"/>
        <w:rPr>
          <w:rFonts w:cs="Times-Roman"/>
          <w:color w:val="000000"/>
        </w:rPr>
      </w:pPr>
      <w:r>
        <w:t>The balance sheet model of Merck for 2010 and 2011 is given below:</w:t>
      </w:r>
    </w:p>
    <w:p w:rsidR="00EF4C68" w:rsidRDefault="00EF4C68" w:rsidP="0096718F">
      <w:pPr>
        <w:pStyle w:val="ListParagraph"/>
        <w:autoSpaceDE w:val="0"/>
        <w:autoSpaceDN w:val="0"/>
        <w:adjustRightInd w:val="0"/>
        <w:jc w:val="both"/>
        <w:rPr>
          <w:rFonts w:cs="Times-Roman"/>
          <w:color w:val="000000"/>
        </w:rPr>
      </w:pPr>
    </w:p>
    <w:tbl>
      <w:tblPr>
        <w:tblW w:w="13200" w:type="dxa"/>
        <w:tblLayout w:type="fixed"/>
        <w:tblCellMar>
          <w:left w:w="0" w:type="dxa"/>
          <w:right w:w="0" w:type="dxa"/>
        </w:tblCellMar>
        <w:tblLook w:val="04A0" w:firstRow="1" w:lastRow="0" w:firstColumn="1" w:lastColumn="0" w:noHBand="0" w:noVBand="1"/>
      </w:tblPr>
      <w:tblGrid>
        <w:gridCol w:w="3255"/>
        <w:gridCol w:w="261"/>
        <w:gridCol w:w="1065"/>
        <w:gridCol w:w="147"/>
        <w:gridCol w:w="2702"/>
        <w:gridCol w:w="1080"/>
        <w:gridCol w:w="1530"/>
        <w:gridCol w:w="200"/>
        <w:gridCol w:w="2960"/>
      </w:tblGrid>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2010</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Pr="00D00ADC" w:rsidRDefault="00EF4C68" w:rsidP="00DF0AE2">
            <w:pPr>
              <w:jc w:val="both"/>
              <w:rPr>
                <w:rFonts w:ascii="Calibri" w:hAnsi="Calibri"/>
                <w:b/>
                <w:color w:val="000000"/>
                <w:sz w:val="22"/>
                <w:szCs w:val="22"/>
              </w:rPr>
            </w:pPr>
            <w:r w:rsidRPr="00D00ADC">
              <w:rPr>
                <w:rFonts w:ascii="Calibri" w:hAnsi="Calibri"/>
                <w:b/>
                <w:color w:val="000000"/>
                <w:sz w:val="22"/>
                <w:szCs w:val="22"/>
              </w:rPr>
              <w:t>Assets</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Pr="00D00ADC" w:rsidRDefault="00EF4C68" w:rsidP="00DF0AE2">
            <w:pPr>
              <w:jc w:val="both"/>
              <w:rPr>
                <w:rFonts w:ascii="Calibri" w:hAnsi="Calibri"/>
                <w:b/>
                <w:color w:val="000000"/>
                <w:sz w:val="22"/>
                <w:szCs w:val="22"/>
              </w:rPr>
            </w:pPr>
            <w:r w:rsidRPr="00D00ADC">
              <w:rPr>
                <w:rFonts w:ascii="Calibri" w:hAnsi="Calibri"/>
                <w:b/>
                <w:color w:val="000000"/>
                <w:sz w:val="22"/>
                <w:szCs w:val="22"/>
              </w:rPr>
              <w:t>€</w:t>
            </w:r>
            <w:r w:rsidR="00B77045" w:rsidRPr="00D00ADC">
              <w:rPr>
                <w:rFonts w:ascii="Calibri" w:hAnsi="Calibri"/>
                <w:b/>
                <w:color w:val="000000"/>
                <w:sz w:val="22"/>
                <w:szCs w:val="22"/>
              </w:rPr>
              <w:t xml:space="preserve"> </w:t>
            </w:r>
            <w:r w:rsidRPr="00D00ADC">
              <w:rPr>
                <w:rFonts w:ascii="Calibri" w:hAnsi="Calibri"/>
                <w:b/>
                <w:color w:val="000000"/>
                <w:sz w:val="22"/>
                <w:szCs w:val="22"/>
              </w:rPr>
              <w:t>million</w:t>
            </w: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Pr="00D00ADC" w:rsidRDefault="00EF4C68" w:rsidP="00DF0AE2">
            <w:pPr>
              <w:jc w:val="both"/>
              <w:rPr>
                <w:rFonts w:ascii="Calibri" w:hAnsi="Calibri"/>
                <w:b/>
                <w:color w:val="000000"/>
                <w:sz w:val="22"/>
                <w:szCs w:val="22"/>
              </w:rPr>
            </w:pPr>
            <w:r w:rsidRPr="00D00ADC">
              <w:rPr>
                <w:rFonts w:ascii="Calibri" w:hAnsi="Calibri"/>
                <w:b/>
                <w:color w:val="000000"/>
                <w:sz w:val="22"/>
                <w:szCs w:val="22"/>
              </w:rPr>
              <w:t>Liabilities</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Pr="00D00ADC" w:rsidRDefault="00EF4C68" w:rsidP="00DF0AE2">
            <w:pPr>
              <w:jc w:val="both"/>
              <w:rPr>
                <w:rFonts w:ascii="Calibri" w:hAnsi="Calibri"/>
                <w:b/>
                <w:color w:val="000000"/>
                <w:sz w:val="22"/>
                <w:szCs w:val="22"/>
              </w:rPr>
            </w:pPr>
            <w:r w:rsidRPr="00D00ADC">
              <w:rPr>
                <w:rFonts w:ascii="Calibri" w:hAnsi="Calibri"/>
                <w:b/>
                <w:color w:val="000000"/>
                <w:sz w:val="22"/>
                <w:szCs w:val="22"/>
              </w:rPr>
              <w:t>€</w:t>
            </w:r>
            <w:r w:rsidR="00B77045" w:rsidRPr="00D00ADC">
              <w:rPr>
                <w:rFonts w:ascii="Calibri" w:hAnsi="Calibri"/>
                <w:b/>
                <w:color w:val="000000"/>
                <w:sz w:val="22"/>
                <w:szCs w:val="22"/>
              </w:rPr>
              <w:t xml:space="preserve"> </w:t>
            </w:r>
            <w:r w:rsidRPr="00D00ADC">
              <w:rPr>
                <w:rFonts w:ascii="Calibri" w:hAnsi="Calibri"/>
                <w:b/>
                <w:color w:val="000000"/>
                <w:sz w:val="22"/>
                <w:szCs w:val="22"/>
              </w:rPr>
              <w:t>million</w:t>
            </w: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Current Assets</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5</w:t>
            </w:r>
            <w:r w:rsidR="0041702D">
              <w:rPr>
                <w:rFonts w:ascii="Calibri" w:hAnsi="Calibri"/>
                <w:color w:val="000000"/>
                <w:sz w:val="22"/>
                <w:szCs w:val="22"/>
              </w:rPr>
              <w:t>,</w:t>
            </w:r>
            <w:r>
              <w:rPr>
                <w:rFonts w:ascii="Calibri" w:hAnsi="Calibri"/>
                <w:color w:val="000000"/>
                <w:sz w:val="22"/>
                <w:szCs w:val="22"/>
              </w:rPr>
              <w:t>664.20</w:t>
            </w: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Current Liabilities</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112917">
            <w:pPr>
              <w:ind w:right="-173"/>
              <w:jc w:val="both"/>
              <w:rPr>
                <w:rFonts w:ascii="Calibri" w:hAnsi="Calibri"/>
                <w:color w:val="000000"/>
                <w:sz w:val="22"/>
                <w:szCs w:val="22"/>
              </w:rPr>
            </w:pPr>
            <w:r>
              <w:rPr>
                <w:rFonts w:ascii="Calibri" w:hAnsi="Calibri"/>
                <w:color w:val="000000"/>
                <w:sz w:val="22"/>
                <w:szCs w:val="22"/>
              </w:rPr>
              <w:t>3,359.60</w:t>
            </w: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Non-Current Assets</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16,723.80</w:t>
            </w: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Non-Current Liabilities</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8,656.60</w:t>
            </w:r>
          </w:p>
        </w:tc>
      </w:tr>
      <w:tr w:rsidR="00EF4C68" w:rsidTr="00112917">
        <w:trPr>
          <w:gridAfter w:val="1"/>
          <w:wAfter w:w="2960" w:type="dxa"/>
          <w:trHeight w:val="261"/>
        </w:trPr>
        <w:tc>
          <w:tcPr>
            <w:tcW w:w="351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1212"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112917">
            <w:pPr>
              <w:rPr>
                <w:rFonts w:ascii="Calibri" w:hAnsi="Calibri"/>
                <w:color w:val="000000"/>
                <w:sz w:val="22"/>
                <w:szCs w:val="22"/>
              </w:rPr>
            </w:pPr>
          </w:p>
        </w:tc>
        <w:tc>
          <w:tcPr>
            <w:tcW w:w="2702" w:type="dxa"/>
            <w:tcBorders>
              <w:top w:val="nil"/>
              <w:left w:val="nil"/>
              <w:bottom w:val="nil"/>
              <w:right w:val="nil"/>
            </w:tcBorders>
            <w:shd w:val="clear" w:color="auto" w:fill="auto"/>
            <w:noWrap/>
            <w:tcMar>
              <w:top w:w="15" w:type="dxa"/>
              <w:left w:w="15" w:type="dxa"/>
              <w:bottom w:w="0" w:type="dxa"/>
              <w:right w:w="15" w:type="dxa"/>
            </w:tcMar>
            <w:vAlign w:val="bottom"/>
          </w:tcPr>
          <w:p w:rsidR="006E292C" w:rsidRDefault="00EF4C68" w:rsidP="00112917">
            <w:pPr>
              <w:rPr>
                <w:rFonts w:ascii="Calibri" w:hAnsi="Calibri"/>
                <w:color w:val="000000"/>
                <w:sz w:val="22"/>
                <w:szCs w:val="22"/>
              </w:rPr>
            </w:pPr>
            <w:r>
              <w:rPr>
                <w:rFonts w:ascii="Calibri" w:hAnsi="Calibri"/>
                <w:color w:val="000000"/>
                <w:sz w:val="22"/>
                <w:szCs w:val="22"/>
              </w:rPr>
              <w:t>Shareholder Equity</w:t>
            </w:r>
          </w:p>
        </w:tc>
        <w:tc>
          <w:tcPr>
            <w:tcW w:w="2810"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112917" w:rsidP="00112917">
            <w:pPr>
              <w:ind w:right="-63"/>
              <w:rPr>
                <w:rFonts w:ascii="Calibri" w:hAnsi="Calibri"/>
                <w:color w:val="000000"/>
                <w:sz w:val="22"/>
                <w:szCs w:val="22"/>
              </w:rPr>
            </w:pPr>
            <w:r>
              <w:rPr>
                <w:rFonts w:ascii="Calibri" w:hAnsi="Calibri"/>
                <w:color w:val="000000"/>
                <w:sz w:val="22"/>
                <w:szCs w:val="22"/>
              </w:rPr>
              <w:t xml:space="preserve">                    10,371.80</w:t>
            </w: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EF4C68" w:rsidP="00DF0AE2">
            <w:pPr>
              <w:jc w:val="both"/>
              <w:rPr>
                <w:rFonts w:ascii="Calibri" w:hAnsi="Calibri"/>
                <w:b/>
                <w:color w:val="000000"/>
                <w:sz w:val="22"/>
                <w:szCs w:val="22"/>
              </w:rPr>
            </w:pPr>
            <w:r w:rsidRPr="00963103">
              <w:rPr>
                <w:rFonts w:ascii="Calibri" w:hAnsi="Calibri"/>
                <w:b/>
                <w:color w:val="000000"/>
                <w:sz w:val="22"/>
                <w:szCs w:val="22"/>
              </w:rPr>
              <w:t>Total Assets</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EF4C68" w:rsidP="00112917">
            <w:pPr>
              <w:ind w:right="-164"/>
              <w:jc w:val="both"/>
              <w:rPr>
                <w:rFonts w:ascii="Calibri" w:hAnsi="Calibri"/>
                <w:b/>
                <w:color w:val="000000"/>
                <w:sz w:val="22"/>
                <w:szCs w:val="22"/>
              </w:rPr>
            </w:pPr>
            <w:r w:rsidRPr="00963103">
              <w:rPr>
                <w:rFonts w:ascii="Calibri" w:hAnsi="Calibri"/>
                <w:b/>
                <w:color w:val="000000"/>
                <w:sz w:val="22"/>
                <w:szCs w:val="22"/>
              </w:rPr>
              <w:t xml:space="preserve"> 22,388.00 </w:t>
            </w: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D44D58" w:rsidP="00112917">
            <w:pPr>
              <w:ind w:right="-964"/>
              <w:jc w:val="both"/>
              <w:rPr>
                <w:rFonts w:ascii="Calibri" w:hAnsi="Calibri"/>
                <w:b/>
                <w:color w:val="000000"/>
                <w:sz w:val="22"/>
                <w:szCs w:val="22"/>
              </w:rPr>
            </w:pPr>
            <w:r w:rsidRPr="00963103">
              <w:rPr>
                <w:rFonts w:ascii="Calibri" w:hAnsi="Calibri" w:cs="Arial"/>
                <w:b/>
                <w:color w:val="000000"/>
                <w:szCs w:val="22"/>
              </w:rPr>
              <w:t>Total Liability &amp;</w:t>
            </w:r>
            <w:r w:rsidR="00112917">
              <w:rPr>
                <w:rFonts w:ascii="Calibri" w:hAnsi="Calibri" w:cs="Arial"/>
                <w:b/>
                <w:color w:val="000000"/>
                <w:szCs w:val="22"/>
              </w:rPr>
              <w:t xml:space="preserve"> </w:t>
            </w:r>
            <w:r w:rsidRPr="00963103">
              <w:rPr>
                <w:rFonts w:ascii="Calibri" w:hAnsi="Calibri" w:cs="Arial"/>
                <w:b/>
                <w:color w:val="000000"/>
                <w:szCs w:val="22"/>
              </w:rPr>
              <w:t>Shareholders’ Equity</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EF4C68" w:rsidP="00112917">
            <w:pPr>
              <w:ind w:left="-15" w:right="-533"/>
              <w:jc w:val="both"/>
              <w:rPr>
                <w:rFonts w:ascii="Calibri" w:hAnsi="Calibri"/>
                <w:b/>
                <w:color w:val="000000"/>
                <w:sz w:val="22"/>
                <w:szCs w:val="22"/>
              </w:rPr>
            </w:pPr>
            <w:r w:rsidRPr="00963103">
              <w:rPr>
                <w:rFonts w:ascii="Calibri" w:hAnsi="Calibri"/>
                <w:b/>
                <w:color w:val="000000"/>
                <w:sz w:val="22"/>
                <w:szCs w:val="22"/>
              </w:rPr>
              <w:t>22,388.00</w:t>
            </w: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EF4C68" w:rsidP="00DF0AE2">
            <w:pPr>
              <w:jc w:val="both"/>
              <w:rPr>
                <w:rFonts w:ascii="Calibri" w:hAnsi="Calibri"/>
                <w:b/>
                <w:color w:val="000000"/>
                <w:sz w:val="22"/>
                <w:szCs w:val="22"/>
              </w:rPr>
            </w:pPr>
            <w:r w:rsidRPr="00963103">
              <w:rPr>
                <w:rFonts w:ascii="Calibri" w:hAnsi="Calibri"/>
                <w:b/>
                <w:color w:val="000000"/>
                <w:sz w:val="22"/>
                <w:szCs w:val="22"/>
              </w:rPr>
              <w:t>Net Working Capital</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EF4C68" w:rsidP="00DF0AE2">
            <w:pPr>
              <w:jc w:val="both"/>
              <w:rPr>
                <w:rFonts w:ascii="Calibri" w:hAnsi="Calibri"/>
                <w:b/>
                <w:color w:val="000000"/>
                <w:sz w:val="22"/>
                <w:szCs w:val="22"/>
              </w:rPr>
            </w:pPr>
            <w:r w:rsidRPr="00963103">
              <w:rPr>
                <w:rFonts w:ascii="Calibri" w:hAnsi="Calibri"/>
                <w:b/>
                <w:color w:val="000000"/>
                <w:sz w:val="22"/>
                <w:szCs w:val="22"/>
              </w:rPr>
              <w:t xml:space="preserve"> 2,304.60 </w:t>
            </w: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2011</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Pr="00D00ADC" w:rsidRDefault="00EF4C68" w:rsidP="00DF0AE2">
            <w:pPr>
              <w:jc w:val="both"/>
              <w:rPr>
                <w:rFonts w:ascii="Calibri" w:hAnsi="Calibri"/>
                <w:b/>
                <w:color w:val="000000"/>
                <w:sz w:val="22"/>
                <w:szCs w:val="22"/>
              </w:rPr>
            </w:pPr>
            <w:r w:rsidRPr="00D00ADC">
              <w:rPr>
                <w:rFonts w:ascii="Calibri" w:hAnsi="Calibri"/>
                <w:b/>
                <w:color w:val="000000"/>
                <w:sz w:val="22"/>
                <w:szCs w:val="22"/>
              </w:rPr>
              <w:t>Assets</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Pr="00D00ADC" w:rsidRDefault="00EF4C68" w:rsidP="00DF0AE2">
            <w:pPr>
              <w:jc w:val="both"/>
              <w:rPr>
                <w:rFonts w:ascii="Calibri" w:hAnsi="Calibri"/>
                <w:b/>
                <w:color w:val="000000"/>
                <w:sz w:val="22"/>
                <w:szCs w:val="22"/>
              </w:rPr>
            </w:pPr>
            <w:r w:rsidRPr="00D00ADC">
              <w:rPr>
                <w:rFonts w:ascii="Calibri" w:hAnsi="Calibri"/>
                <w:b/>
                <w:color w:val="000000"/>
                <w:sz w:val="22"/>
                <w:szCs w:val="22"/>
              </w:rPr>
              <w:t>€million</w:t>
            </w: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Pr="00D00ADC" w:rsidRDefault="00EF4C68" w:rsidP="00DF0AE2">
            <w:pPr>
              <w:jc w:val="both"/>
              <w:rPr>
                <w:rFonts w:ascii="Calibri" w:hAnsi="Calibri"/>
                <w:b/>
                <w:color w:val="000000"/>
                <w:sz w:val="22"/>
                <w:szCs w:val="22"/>
              </w:rPr>
            </w:pPr>
            <w:r w:rsidRPr="00D00ADC">
              <w:rPr>
                <w:rFonts w:ascii="Calibri" w:hAnsi="Calibri"/>
                <w:b/>
                <w:color w:val="000000"/>
                <w:sz w:val="22"/>
                <w:szCs w:val="22"/>
              </w:rPr>
              <w:t>Liabilities</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Pr="00D00ADC" w:rsidRDefault="00EF4C68" w:rsidP="00DF0AE2">
            <w:pPr>
              <w:jc w:val="both"/>
              <w:rPr>
                <w:rFonts w:ascii="Calibri" w:hAnsi="Calibri"/>
                <w:b/>
                <w:color w:val="000000"/>
                <w:sz w:val="22"/>
                <w:szCs w:val="22"/>
              </w:rPr>
            </w:pPr>
            <w:r w:rsidRPr="00D00ADC">
              <w:rPr>
                <w:rFonts w:ascii="Calibri" w:hAnsi="Calibri"/>
                <w:b/>
                <w:color w:val="000000"/>
                <w:sz w:val="22"/>
                <w:szCs w:val="22"/>
              </w:rPr>
              <w:t>€million</w:t>
            </w: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Current Assets</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6</w:t>
            </w:r>
            <w:r w:rsidR="0041702D">
              <w:rPr>
                <w:rFonts w:ascii="Calibri" w:hAnsi="Calibri"/>
                <w:color w:val="000000"/>
                <w:sz w:val="22"/>
                <w:szCs w:val="22"/>
              </w:rPr>
              <w:t>,</w:t>
            </w:r>
            <w:r>
              <w:rPr>
                <w:rFonts w:ascii="Calibri" w:hAnsi="Calibri"/>
                <w:color w:val="000000"/>
                <w:sz w:val="22"/>
                <w:szCs w:val="22"/>
              </w:rPr>
              <w:t>397.2</w:t>
            </w: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Current Liabilities</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4,362.20</w:t>
            </w: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Non-Current Assets</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15,722.90</w:t>
            </w: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Non-Current Liabilities</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r>
              <w:rPr>
                <w:rFonts w:ascii="Calibri" w:hAnsi="Calibri"/>
                <w:color w:val="000000"/>
                <w:sz w:val="22"/>
                <w:szCs w:val="22"/>
              </w:rPr>
              <w:t>7,264.50</w:t>
            </w:r>
          </w:p>
        </w:tc>
      </w:tr>
      <w:tr w:rsidR="00EF4C68" w:rsidTr="00112917">
        <w:trPr>
          <w:trHeight w:val="261"/>
        </w:trPr>
        <w:tc>
          <w:tcPr>
            <w:tcW w:w="351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1212"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3782"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112917">
            <w:pPr>
              <w:ind w:right="75"/>
              <w:jc w:val="both"/>
              <w:rPr>
                <w:rFonts w:ascii="Calibri" w:hAnsi="Calibri"/>
                <w:color w:val="000000"/>
                <w:sz w:val="22"/>
                <w:szCs w:val="22"/>
              </w:rPr>
            </w:pPr>
            <w:r>
              <w:rPr>
                <w:rFonts w:ascii="Calibri" w:hAnsi="Calibri"/>
                <w:color w:val="000000"/>
                <w:sz w:val="22"/>
                <w:szCs w:val="22"/>
              </w:rPr>
              <w:t>Shareholder Equity</w:t>
            </w:r>
          </w:p>
        </w:tc>
        <w:tc>
          <w:tcPr>
            <w:tcW w:w="4690"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112917">
            <w:pPr>
              <w:ind w:left="-3583" w:firstLine="3583"/>
              <w:jc w:val="both"/>
              <w:rPr>
                <w:rFonts w:ascii="Calibri" w:hAnsi="Calibri"/>
                <w:color w:val="000000"/>
                <w:sz w:val="22"/>
                <w:szCs w:val="22"/>
              </w:rPr>
            </w:pPr>
            <w:r>
              <w:rPr>
                <w:rFonts w:ascii="Calibri" w:hAnsi="Calibri"/>
                <w:color w:val="000000"/>
                <w:sz w:val="22"/>
                <w:szCs w:val="22"/>
              </w:rPr>
              <w:t>10,493.40</w:t>
            </w: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EF4C68" w:rsidP="00DF0AE2">
            <w:pPr>
              <w:jc w:val="both"/>
              <w:rPr>
                <w:rFonts w:ascii="Calibri" w:hAnsi="Calibri"/>
                <w:b/>
                <w:color w:val="000000"/>
                <w:sz w:val="22"/>
                <w:szCs w:val="22"/>
              </w:rPr>
            </w:pPr>
            <w:r w:rsidRPr="00963103">
              <w:rPr>
                <w:rFonts w:ascii="Calibri" w:hAnsi="Calibri"/>
                <w:b/>
                <w:color w:val="000000"/>
                <w:sz w:val="22"/>
                <w:szCs w:val="22"/>
              </w:rPr>
              <w:t>Total Assets</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EF4C68" w:rsidP="00DF0AE2">
            <w:pPr>
              <w:jc w:val="both"/>
              <w:rPr>
                <w:rFonts w:ascii="Calibri" w:hAnsi="Calibri"/>
                <w:b/>
                <w:color w:val="000000"/>
                <w:sz w:val="22"/>
                <w:szCs w:val="22"/>
              </w:rPr>
            </w:pPr>
            <w:r w:rsidRPr="00963103">
              <w:rPr>
                <w:rFonts w:ascii="Calibri" w:hAnsi="Calibri"/>
                <w:b/>
                <w:color w:val="000000"/>
                <w:sz w:val="22"/>
                <w:szCs w:val="22"/>
              </w:rPr>
              <w:t xml:space="preserve"> 22,120.10 </w:t>
            </w: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D44D58" w:rsidP="00DF0AE2">
            <w:pPr>
              <w:jc w:val="both"/>
              <w:rPr>
                <w:rFonts w:ascii="Calibri" w:hAnsi="Calibri"/>
                <w:b/>
                <w:color w:val="000000"/>
                <w:sz w:val="22"/>
                <w:szCs w:val="22"/>
              </w:rPr>
            </w:pPr>
            <w:r w:rsidRPr="00963103">
              <w:rPr>
                <w:rFonts w:ascii="Calibri" w:hAnsi="Calibri" w:cs="Arial"/>
                <w:b/>
                <w:color w:val="000000"/>
                <w:szCs w:val="22"/>
              </w:rPr>
              <w:t>Total Liability &amp;</w:t>
            </w:r>
            <w:r w:rsidR="006B4A7C" w:rsidRPr="00963103">
              <w:rPr>
                <w:rFonts w:ascii="Calibri" w:hAnsi="Calibri" w:cs="Arial"/>
                <w:b/>
                <w:color w:val="000000"/>
                <w:szCs w:val="22"/>
              </w:rPr>
              <w:t xml:space="preserve"> </w:t>
            </w:r>
            <w:r w:rsidRPr="00963103">
              <w:rPr>
                <w:rFonts w:ascii="Calibri" w:hAnsi="Calibri" w:cs="Arial"/>
                <w:b/>
                <w:color w:val="000000"/>
                <w:szCs w:val="22"/>
              </w:rPr>
              <w:t>Shareholders’ Equity</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EF4C68" w:rsidP="00DF0AE2">
            <w:pPr>
              <w:jc w:val="both"/>
              <w:rPr>
                <w:rFonts w:ascii="Calibri" w:hAnsi="Calibri"/>
                <w:b/>
                <w:color w:val="000000"/>
                <w:sz w:val="22"/>
                <w:szCs w:val="22"/>
              </w:rPr>
            </w:pPr>
            <w:r w:rsidRPr="00963103">
              <w:rPr>
                <w:rFonts w:ascii="Calibri" w:hAnsi="Calibri"/>
                <w:b/>
                <w:color w:val="000000"/>
                <w:sz w:val="22"/>
                <w:szCs w:val="22"/>
              </w:rPr>
              <w:t>22,120.10</w:t>
            </w:r>
          </w:p>
        </w:tc>
      </w:tr>
      <w:tr w:rsidR="00EF4C68" w:rsidTr="00112917">
        <w:trPr>
          <w:gridAfter w:val="2"/>
          <w:wAfter w:w="3160" w:type="dxa"/>
          <w:trHeight w:val="234"/>
        </w:trPr>
        <w:tc>
          <w:tcPr>
            <w:tcW w:w="3255" w:type="dxa"/>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EF4C68" w:rsidP="00DF0AE2">
            <w:pPr>
              <w:jc w:val="both"/>
              <w:rPr>
                <w:rFonts w:ascii="Calibri" w:hAnsi="Calibri"/>
                <w:b/>
                <w:color w:val="000000"/>
                <w:sz w:val="22"/>
                <w:szCs w:val="22"/>
              </w:rPr>
            </w:pPr>
            <w:r w:rsidRPr="00963103">
              <w:rPr>
                <w:rFonts w:ascii="Calibri" w:hAnsi="Calibri"/>
                <w:b/>
                <w:color w:val="000000"/>
                <w:sz w:val="22"/>
                <w:szCs w:val="22"/>
              </w:rPr>
              <w:t>Net Working Capital</w:t>
            </w:r>
          </w:p>
        </w:tc>
        <w:tc>
          <w:tcPr>
            <w:tcW w:w="1326"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EF4C68" w:rsidRPr="00963103" w:rsidRDefault="00EF4C68" w:rsidP="00DF0AE2">
            <w:pPr>
              <w:jc w:val="both"/>
              <w:rPr>
                <w:rFonts w:ascii="Calibri" w:hAnsi="Calibri"/>
                <w:b/>
                <w:color w:val="000000"/>
                <w:sz w:val="22"/>
                <w:szCs w:val="22"/>
              </w:rPr>
            </w:pPr>
            <w:r w:rsidRPr="00963103">
              <w:rPr>
                <w:rFonts w:ascii="Calibri" w:hAnsi="Calibri"/>
                <w:b/>
                <w:color w:val="000000"/>
                <w:sz w:val="22"/>
                <w:szCs w:val="22"/>
              </w:rPr>
              <w:t xml:space="preserve"> 2,035.00 </w:t>
            </w:r>
          </w:p>
        </w:tc>
        <w:tc>
          <w:tcPr>
            <w:tcW w:w="3929"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tcPr>
          <w:p w:rsidR="00EF4C68" w:rsidRDefault="00EF4C68" w:rsidP="00DF0AE2">
            <w:pPr>
              <w:jc w:val="both"/>
              <w:rPr>
                <w:rFonts w:ascii="Calibri" w:hAnsi="Calibri"/>
                <w:color w:val="000000"/>
                <w:sz w:val="22"/>
                <w:szCs w:val="22"/>
              </w:rPr>
            </w:pPr>
          </w:p>
        </w:tc>
      </w:tr>
    </w:tbl>
    <w:p w:rsidR="00EF4C68" w:rsidRDefault="00EF4C68" w:rsidP="00DF0AE2">
      <w:pPr>
        <w:pStyle w:val="ListParagraph"/>
        <w:autoSpaceDE w:val="0"/>
        <w:autoSpaceDN w:val="0"/>
        <w:adjustRightInd w:val="0"/>
        <w:ind w:left="0"/>
        <w:jc w:val="both"/>
        <w:rPr>
          <w:rFonts w:cs="Times-Roman"/>
          <w:color w:val="000000"/>
        </w:rPr>
      </w:pPr>
    </w:p>
    <w:p w:rsidR="00EF4C68" w:rsidRDefault="00EF4C68" w:rsidP="0096718F">
      <w:pPr>
        <w:pStyle w:val="ListParagraph"/>
        <w:autoSpaceDE w:val="0"/>
        <w:autoSpaceDN w:val="0"/>
        <w:adjustRightInd w:val="0"/>
        <w:ind w:left="0"/>
        <w:jc w:val="both"/>
        <w:rPr>
          <w:rFonts w:cs="Times-Roman"/>
          <w:color w:val="000000"/>
        </w:rPr>
      </w:pPr>
      <w:r>
        <w:rPr>
          <w:rFonts w:cs="Times-Roman"/>
          <w:color w:val="000000"/>
        </w:rPr>
        <w:t xml:space="preserve">The company has stayed rather stable between the two years. Total assets are similar. However, a closer look shows that there has been a shift from non-current assets and liabilities to shorter term current assets and liabilities. </w:t>
      </w:r>
      <w:r w:rsidR="008B64B7">
        <w:rPr>
          <w:rFonts w:cs="Times-Roman"/>
          <w:color w:val="000000"/>
        </w:rPr>
        <w:t>Current liabilities have</w:t>
      </w:r>
      <w:r>
        <w:rPr>
          <w:rFonts w:cs="Times-Roman"/>
          <w:color w:val="000000"/>
        </w:rPr>
        <w:t xml:space="preserve"> increased by more than current assets and so net working capital has fallen.</w:t>
      </w:r>
    </w:p>
    <w:p w:rsidR="00AB210B" w:rsidRPr="00AB210B" w:rsidRDefault="00AB210B" w:rsidP="0096718F">
      <w:pPr>
        <w:pStyle w:val="ListParagraph"/>
        <w:autoSpaceDE w:val="0"/>
        <w:autoSpaceDN w:val="0"/>
        <w:adjustRightInd w:val="0"/>
        <w:ind w:left="360"/>
        <w:jc w:val="both"/>
        <w:rPr>
          <w:rFonts w:cs="Times-Roman"/>
          <w:color w:val="000000"/>
        </w:rPr>
      </w:pPr>
    </w:p>
    <w:p w:rsidR="00EF4C68" w:rsidRPr="00B6402E" w:rsidRDefault="00EF4C68" w:rsidP="0096718F">
      <w:pPr>
        <w:pStyle w:val="ListParagraph"/>
        <w:numPr>
          <w:ilvl w:val="0"/>
          <w:numId w:val="1"/>
        </w:numPr>
        <w:autoSpaceDE w:val="0"/>
        <w:autoSpaceDN w:val="0"/>
        <w:adjustRightInd w:val="0"/>
        <w:jc w:val="both"/>
        <w:rPr>
          <w:rFonts w:cs="Times-Roman"/>
          <w:color w:val="000000"/>
        </w:rPr>
      </w:pPr>
      <w:r w:rsidRPr="00B6402E">
        <w:rPr>
          <w:rFonts w:cs="Times-Roman"/>
          <w:color w:val="000000"/>
        </w:rPr>
        <w:t>Student</w:t>
      </w:r>
      <w:r>
        <w:rPr>
          <w:rFonts w:cs="Times-Roman"/>
          <w:color w:val="000000"/>
        </w:rPr>
        <w:t>s should be encouraged to explore potential scenarios and solutions. There are, of course, many solutions to the YPF problem and no single solution dominates all others. The purpose of this question is to get students to put themselves in the shoes of a financial manager to understand that corporate finance is not mechanistic but inherently risky.</w:t>
      </w:r>
    </w:p>
    <w:p w:rsidR="00EF4C68" w:rsidRPr="00AB210B" w:rsidRDefault="00EF4C68" w:rsidP="0096718F">
      <w:pPr>
        <w:pStyle w:val="ListParagraph"/>
        <w:autoSpaceDE w:val="0"/>
        <w:autoSpaceDN w:val="0"/>
        <w:adjustRightInd w:val="0"/>
        <w:ind w:left="360"/>
        <w:jc w:val="both"/>
        <w:rPr>
          <w:rFonts w:cs="Times-Roman"/>
          <w:color w:val="000000"/>
        </w:rPr>
      </w:pPr>
    </w:p>
    <w:p w:rsidR="00EF4C68" w:rsidRPr="00B6402E" w:rsidRDefault="00EF4C68" w:rsidP="0096718F">
      <w:pPr>
        <w:pStyle w:val="ListParagraph"/>
        <w:numPr>
          <w:ilvl w:val="0"/>
          <w:numId w:val="1"/>
        </w:numPr>
        <w:autoSpaceDE w:val="0"/>
        <w:autoSpaceDN w:val="0"/>
        <w:adjustRightInd w:val="0"/>
        <w:jc w:val="both"/>
        <w:rPr>
          <w:rFonts w:cs="Times-Roman"/>
          <w:color w:val="000000"/>
        </w:rPr>
      </w:pPr>
      <w:r>
        <w:rPr>
          <w:rFonts w:cs="Times-Roman"/>
          <w:color w:val="000000"/>
        </w:rPr>
        <w:t>There is no one correct way to structure a stock exchange system and the exact structure is endogenously determined by the participants and liquidity of the exchange. The London Stock Exchange attempts to cover all bases by capturing the liquidity provided by dealers for small illiquid companies and the liquidity provided by public traders on the electronic order book for large high volume companies.</w:t>
      </w:r>
    </w:p>
    <w:p w:rsidR="00EF4C68" w:rsidRDefault="00EF4C68" w:rsidP="0096718F">
      <w:pPr>
        <w:pStyle w:val="ListParagraph"/>
        <w:autoSpaceDE w:val="0"/>
        <w:autoSpaceDN w:val="0"/>
        <w:adjustRightInd w:val="0"/>
        <w:ind w:left="360"/>
        <w:jc w:val="both"/>
        <w:rPr>
          <w:rFonts w:cs="Times-Roman"/>
          <w:color w:val="000000"/>
        </w:rPr>
      </w:pPr>
    </w:p>
    <w:p w:rsidR="00AB210B" w:rsidRPr="009A41F2" w:rsidRDefault="00EF4C68" w:rsidP="0096718F">
      <w:pPr>
        <w:pStyle w:val="ListParagraph"/>
        <w:numPr>
          <w:ilvl w:val="0"/>
          <w:numId w:val="1"/>
        </w:numPr>
        <w:autoSpaceDE w:val="0"/>
        <w:autoSpaceDN w:val="0"/>
        <w:adjustRightInd w:val="0"/>
        <w:jc w:val="both"/>
        <w:rPr>
          <w:rFonts w:cs="Times-Roman"/>
          <w:color w:val="000000"/>
        </w:rPr>
      </w:pPr>
      <w:r>
        <w:rPr>
          <w:rFonts w:cs="Times-Roman"/>
          <w:color w:val="000000"/>
        </w:rPr>
        <w:t>This is another question that gets students to undertake their own research. Instructors should give every encouragement to creative choices of companies.</w:t>
      </w:r>
    </w:p>
    <w:sectPr w:rsidR="00AB210B" w:rsidRPr="009A41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04E5E"/>
    <w:multiLevelType w:val="hybridMultilevel"/>
    <w:tmpl w:val="C802AE90"/>
    <w:lvl w:ilvl="0" w:tplc="C6B0DE8C">
      <w:start w:val="1"/>
      <w:numFmt w:val="decimal"/>
      <w:lvlText w:val="%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773"/>
    <w:rsid w:val="000020D2"/>
    <w:rsid w:val="0001682E"/>
    <w:rsid w:val="000647AE"/>
    <w:rsid w:val="0006799D"/>
    <w:rsid w:val="00086739"/>
    <w:rsid w:val="000A2B47"/>
    <w:rsid w:val="000B70FD"/>
    <w:rsid w:val="000E0A31"/>
    <w:rsid w:val="00106257"/>
    <w:rsid w:val="00112917"/>
    <w:rsid w:val="0019471A"/>
    <w:rsid w:val="001D08AB"/>
    <w:rsid w:val="001E17D5"/>
    <w:rsid w:val="001F6C5C"/>
    <w:rsid w:val="00211A15"/>
    <w:rsid w:val="002160DB"/>
    <w:rsid w:val="002170E7"/>
    <w:rsid w:val="00223B31"/>
    <w:rsid w:val="0023760E"/>
    <w:rsid w:val="00260389"/>
    <w:rsid w:val="00263537"/>
    <w:rsid w:val="00270A03"/>
    <w:rsid w:val="0027226E"/>
    <w:rsid w:val="00285199"/>
    <w:rsid w:val="00292473"/>
    <w:rsid w:val="002C65F5"/>
    <w:rsid w:val="002D7B27"/>
    <w:rsid w:val="00304032"/>
    <w:rsid w:val="003442FC"/>
    <w:rsid w:val="00370158"/>
    <w:rsid w:val="00373714"/>
    <w:rsid w:val="00373785"/>
    <w:rsid w:val="003757C3"/>
    <w:rsid w:val="00383F81"/>
    <w:rsid w:val="003B6421"/>
    <w:rsid w:val="003D57AA"/>
    <w:rsid w:val="003E13CA"/>
    <w:rsid w:val="0041702D"/>
    <w:rsid w:val="0043143E"/>
    <w:rsid w:val="004721CF"/>
    <w:rsid w:val="00474E49"/>
    <w:rsid w:val="004C77F9"/>
    <w:rsid w:val="004E39AF"/>
    <w:rsid w:val="00575147"/>
    <w:rsid w:val="00577956"/>
    <w:rsid w:val="005A1D09"/>
    <w:rsid w:val="005A6FDC"/>
    <w:rsid w:val="005E53C1"/>
    <w:rsid w:val="00601E94"/>
    <w:rsid w:val="00650CFD"/>
    <w:rsid w:val="006B4A7C"/>
    <w:rsid w:val="006C2A24"/>
    <w:rsid w:val="006E292C"/>
    <w:rsid w:val="006F38F3"/>
    <w:rsid w:val="00720214"/>
    <w:rsid w:val="00744141"/>
    <w:rsid w:val="00762925"/>
    <w:rsid w:val="007B309B"/>
    <w:rsid w:val="007C59E3"/>
    <w:rsid w:val="007E75CA"/>
    <w:rsid w:val="00866A33"/>
    <w:rsid w:val="00874E17"/>
    <w:rsid w:val="00892EC7"/>
    <w:rsid w:val="00894448"/>
    <w:rsid w:val="008B64B7"/>
    <w:rsid w:val="008D198A"/>
    <w:rsid w:val="008D35A6"/>
    <w:rsid w:val="008F6349"/>
    <w:rsid w:val="00921297"/>
    <w:rsid w:val="00961DC7"/>
    <w:rsid w:val="00963103"/>
    <w:rsid w:val="0096718F"/>
    <w:rsid w:val="00980BE3"/>
    <w:rsid w:val="009A41F2"/>
    <w:rsid w:val="009D7466"/>
    <w:rsid w:val="009E5CA4"/>
    <w:rsid w:val="00A259A7"/>
    <w:rsid w:val="00A3159F"/>
    <w:rsid w:val="00A54DB8"/>
    <w:rsid w:val="00A92BD6"/>
    <w:rsid w:val="00A95BB4"/>
    <w:rsid w:val="00AB210B"/>
    <w:rsid w:val="00AD7290"/>
    <w:rsid w:val="00AF7E17"/>
    <w:rsid w:val="00B5038F"/>
    <w:rsid w:val="00B75073"/>
    <w:rsid w:val="00B77045"/>
    <w:rsid w:val="00B90AC9"/>
    <w:rsid w:val="00BA0CFC"/>
    <w:rsid w:val="00BC0003"/>
    <w:rsid w:val="00BC49E0"/>
    <w:rsid w:val="00BD5D2F"/>
    <w:rsid w:val="00BD7F86"/>
    <w:rsid w:val="00BE6A1E"/>
    <w:rsid w:val="00C06F69"/>
    <w:rsid w:val="00CB368E"/>
    <w:rsid w:val="00CD3AF1"/>
    <w:rsid w:val="00D00ADC"/>
    <w:rsid w:val="00D36E16"/>
    <w:rsid w:val="00D44320"/>
    <w:rsid w:val="00D44D58"/>
    <w:rsid w:val="00D54D28"/>
    <w:rsid w:val="00D8063D"/>
    <w:rsid w:val="00DC1BE4"/>
    <w:rsid w:val="00DD4835"/>
    <w:rsid w:val="00DD61EB"/>
    <w:rsid w:val="00DE615D"/>
    <w:rsid w:val="00DF0AE2"/>
    <w:rsid w:val="00E20159"/>
    <w:rsid w:val="00E2415B"/>
    <w:rsid w:val="00E25EA2"/>
    <w:rsid w:val="00E31AA4"/>
    <w:rsid w:val="00E35B46"/>
    <w:rsid w:val="00EB0CAB"/>
    <w:rsid w:val="00EB600A"/>
    <w:rsid w:val="00EB6D31"/>
    <w:rsid w:val="00ED44F6"/>
    <w:rsid w:val="00EE54BD"/>
    <w:rsid w:val="00EF4C68"/>
    <w:rsid w:val="00F27D5A"/>
    <w:rsid w:val="00F43CBD"/>
    <w:rsid w:val="00F71380"/>
    <w:rsid w:val="00F8464E"/>
    <w:rsid w:val="00F87340"/>
    <w:rsid w:val="00F97CDC"/>
    <w:rsid w:val="00FB5739"/>
    <w:rsid w:val="00FD5983"/>
    <w:rsid w:val="00FD7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210B"/>
    <w:pPr>
      <w:tabs>
        <w:tab w:val="center" w:pos="4320"/>
        <w:tab w:val="right" w:pos="8640"/>
      </w:tabs>
    </w:pPr>
    <w:rPr>
      <w:rFonts w:ascii="Times" w:hAnsi="Times"/>
      <w:sz w:val="22"/>
      <w:szCs w:val="20"/>
      <w:lang w:val="en-US"/>
    </w:rPr>
  </w:style>
  <w:style w:type="character" w:customStyle="1" w:styleId="HeaderChar">
    <w:name w:val="Header Char"/>
    <w:link w:val="Header"/>
    <w:locked/>
    <w:rsid w:val="00AB210B"/>
    <w:rPr>
      <w:rFonts w:ascii="Times" w:hAnsi="Times"/>
      <w:sz w:val="22"/>
      <w:lang w:val="en-US" w:eastAsia="en-US" w:bidi="ar-SA"/>
    </w:rPr>
  </w:style>
  <w:style w:type="paragraph" w:styleId="ListParagraph">
    <w:name w:val="List Paragraph"/>
    <w:basedOn w:val="Normal"/>
    <w:uiPriority w:val="99"/>
    <w:qFormat/>
    <w:rsid w:val="00AB210B"/>
    <w:pPr>
      <w:spacing w:after="200"/>
      <w:ind w:left="720"/>
      <w:contextualSpacing/>
    </w:pPr>
    <w:rPr>
      <w:rFonts w:ascii="Calibri" w:hAnsi="Calibri" w:cs="Arial"/>
      <w:sz w:val="22"/>
      <w:szCs w:val="22"/>
    </w:rPr>
  </w:style>
  <w:style w:type="paragraph" w:styleId="BalloonText">
    <w:name w:val="Balloon Text"/>
    <w:basedOn w:val="Normal"/>
    <w:link w:val="BalloonTextChar"/>
    <w:rsid w:val="002160DB"/>
    <w:rPr>
      <w:rFonts w:ascii="Segoe UI" w:hAnsi="Segoe UI" w:cs="Segoe UI"/>
      <w:sz w:val="18"/>
      <w:szCs w:val="18"/>
    </w:rPr>
  </w:style>
  <w:style w:type="character" w:customStyle="1" w:styleId="BalloonTextChar">
    <w:name w:val="Balloon Text Char"/>
    <w:link w:val="BalloonText"/>
    <w:rsid w:val="002160DB"/>
    <w:rPr>
      <w:rFonts w:ascii="Segoe UI" w:hAnsi="Segoe UI" w:cs="Segoe UI"/>
      <w:sz w:val="18"/>
      <w:szCs w:val="18"/>
      <w:lang w:val="en-GB" w:eastAsia="en-US"/>
    </w:rPr>
  </w:style>
  <w:style w:type="character" w:styleId="CommentReference">
    <w:name w:val="annotation reference"/>
    <w:rsid w:val="008F6349"/>
    <w:rPr>
      <w:sz w:val="16"/>
      <w:szCs w:val="16"/>
    </w:rPr>
  </w:style>
  <w:style w:type="paragraph" w:styleId="CommentText">
    <w:name w:val="annotation text"/>
    <w:basedOn w:val="Normal"/>
    <w:link w:val="CommentTextChar"/>
    <w:rsid w:val="008F6349"/>
    <w:rPr>
      <w:sz w:val="20"/>
      <w:szCs w:val="20"/>
    </w:rPr>
  </w:style>
  <w:style w:type="character" w:customStyle="1" w:styleId="CommentTextChar">
    <w:name w:val="Comment Text Char"/>
    <w:link w:val="CommentText"/>
    <w:rsid w:val="008F6349"/>
    <w:rPr>
      <w:lang w:val="en-GB" w:eastAsia="en-US"/>
    </w:rPr>
  </w:style>
  <w:style w:type="paragraph" w:styleId="CommentSubject">
    <w:name w:val="annotation subject"/>
    <w:basedOn w:val="CommentText"/>
    <w:next w:val="CommentText"/>
    <w:link w:val="CommentSubjectChar"/>
    <w:rsid w:val="008F6349"/>
    <w:rPr>
      <w:b/>
      <w:bCs/>
    </w:rPr>
  </w:style>
  <w:style w:type="character" w:customStyle="1" w:styleId="CommentSubjectChar">
    <w:name w:val="Comment Subject Char"/>
    <w:link w:val="CommentSubject"/>
    <w:rsid w:val="008F6349"/>
    <w:rPr>
      <w:b/>
      <w:bCs/>
      <w:lang w:val="en-GB" w:eastAsia="en-US"/>
    </w:rPr>
  </w:style>
  <w:style w:type="paragraph" w:styleId="Revision">
    <w:name w:val="Revision"/>
    <w:hidden/>
    <w:uiPriority w:val="99"/>
    <w:semiHidden/>
    <w:rsid w:val="0096718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210B"/>
    <w:pPr>
      <w:tabs>
        <w:tab w:val="center" w:pos="4320"/>
        <w:tab w:val="right" w:pos="8640"/>
      </w:tabs>
    </w:pPr>
    <w:rPr>
      <w:rFonts w:ascii="Times" w:hAnsi="Times"/>
      <w:sz w:val="22"/>
      <w:szCs w:val="20"/>
      <w:lang w:val="en-US"/>
    </w:rPr>
  </w:style>
  <w:style w:type="character" w:customStyle="1" w:styleId="HeaderChar">
    <w:name w:val="Header Char"/>
    <w:link w:val="Header"/>
    <w:locked/>
    <w:rsid w:val="00AB210B"/>
    <w:rPr>
      <w:rFonts w:ascii="Times" w:hAnsi="Times"/>
      <w:sz w:val="22"/>
      <w:lang w:val="en-US" w:eastAsia="en-US" w:bidi="ar-SA"/>
    </w:rPr>
  </w:style>
  <w:style w:type="paragraph" w:styleId="ListParagraph">
    <w:name w:val="List Paragraph"/>
    <w:basedOn w:val="Normal"/>
    <w:uiPriority w:val="99"/>
    <w:qFormat/>
    <w:rsid w:val="00AB210B"/>
    <w:pPr>
      <w:spacing w:after="200"/>
      <w:ind w:left="720"/>
      <w:contextualSpacing/>
    </w:pPr>
    <w:rPr>
      <w:rFonts w:ascii="Calibri" w:hAnsi="Calibri" w:cs="Arial"/>
      <w:sz w:val="22"/>
      <w:szCs w:val="22"/>
    </w:rPr>
  </w:style>
  <w:style w:type="paragraph" w:styleId="BalloonText">
    <w:name w:val="Balloon Text"/>
    <w:basedOn w:val="Normal"/>
    <w:link w:val="BalloonTextChar"/>
    <w:rsid w:val="002160DB"/>
    <w:rPr>
      <w:rFonts w:ascii="Segoe UI" w:hAnsi="Segoe UI" w:cs="Segoe UI"/>
      <w:sz w:val="18"/>
      <w:szCs w:val="18"/>
    </w:rPr>
  </w:style>
  <w:style w:type="character" w:customStyle="1" w:styleId="BalloonTextChar">
    <w:name w:val="Balloon Text Char"/>
    <w:link w:val="BalloonText"/>
    <w:rsid w:val="002160DB"/>
    <w:rPr>
      <w:rFonts w:ascii="Segoe UI" w:hAnsi="Segoe UI" w:cs="Segoe UI"/>
      <w:sz w:val="18"/>
      <w:szCs w:val="18"/>
      <w:lang w:val="en-GB" w:eastAsia="en-US"/>
    </w:rPr>
  </w:style>
  <w:style w:type="character" w:styleId="CommentReference">
    <w:name w:val="annotation reference"/>
    <w:rsid w:val="008F6349"/>
    <w:rPr>
      <w:sz w:val="16"/>
      <w:szCs w:val="16"/>
    </w:rPr>
  </w:style>
  <w:style w:type="paragraph" w:styleId="CommentText">
    <w:name w:val="annotation text"/>
    <w:basedOn w:val="Normal"/>
    <w:link w:val="CommentTextChar"/>
    <w:rsid w:val="008F6349"/>
    <w:rPr>
      <w:sz w:val="20"/>
      <w:szCs w:val="20"/>
    </w:rPr>
  </w:style>
  <w:style w:type="character" w:customStyle="1" w:styleId="CommentTextChar">
    <w:name w:val="Comment Text Char"/>
    <w:link w:val="CommentText"/>
    <w:rsid w:val="008F6349"/>
    <w:rPr>
      <w:lang w:val="en-GB" w:eastAsia="en-US"/>
    </w:rPr>
  </w:style>
  <w:style w:type="paragraph" w:styleId="CommentSubject">
    <w:name w:val="annotation subject"/>
    <w:basedOn w:val="CommentText"/>
    <w:next w:val="CommentText"/>
    <w:link w:val="CommentSubjectChar"/>
    <w:rsid w:val="008F6349"/>
    <w:rPr>
      <w:b/>
      <w:bCs/>
    </w:rPr>
  </w:style>
  <w:style w:type="character" w:customStyle="1" w:styleId="CommentSubjectChar">
    <w:name w:val="Comment Subject Char"/>
    <w:link w:val="CommentSubject"/>
    <w:rsid w:val="008F6349"/>
    <w:rPr>
      <w:b/>
      <w:bCs/>
      <w:lang w:val="en-GB" w:eastAsia="en-US"/>
    </w:rPr>
  </w:style>
  <w:style w:type="paragraph" w:styleId="Revision">
    <w:name w:val="Revision"/>
    <w:hidden/>
    <w:uiPriority w:val="99"/>
    <w:semiHidden/>
    <w:rsid w:val="0096718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The McGraw-Hill Companies</dc:creator>
  <cp:lastModifiedBy>Churchill, Rosie</cp:lastModifiedBy>
  <cp:revision>2</cp:revision>
  <dcterms:created xsi:type="dcterms:W3CDTF">2016-03-10T10:34:00Z</dcterms:created>
  <dcterms:modified xsi:type="dcterms:W3CDTF">2016-03-10T10:34:00Z</dcterms:modified>
</cp:coreProperties>
</file>