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5ED" w:rsidRPr="0040336E" w:rsidRDefault="00C345ED" w:rsidP="00C345ED">
      <w:pPr>
        <w:rPr>
          <w:rFonts w:ascii="Arial" w:hAnsi="Arial" w:cs="Arial"/>
          <w:b/>
          <w:szCs w:val="24"/>
        </w:rPr>
      </w:pPr>
      <w:r>
        <w:rPr>
          <w:rFonts w:ascii="Arial" w:hAnsi="Arial" w:cs="Arial"/>
          <w:b/>
          <w:szCs w:val="24"/>
        </w:rPr>
        <w:t>COMPREHENSIVE CASE SOLUTIONS</w:t>
      </w:r>
    </w:p>
    <w:p w:rsidR="00C345ED" w:rsidRPr="0040336E" w:rsidRDefault="00C345ED" w:rsidP="00C345ED">
      <w:pPr>
        <w:rPr>
          <w:rFonts w:ascii="Arial" w:hAnsi="Arial" w:cs="Arial"/>
          <w:szCs w:val="24"/>
        </w:rPr>
      </w:pPr>
    </w:p>
    <w:p w:rsidR="00C345ED" w:rsidRPr="0040336E" w:rsidRDefault="00C345ED" w:rsidP="00C345ED">
      <w:pPr>
        <w:rPr>
          <w:rFonts w:ascii="Arial" w:hAnsi="Arial" w:cs="Arial"/>
          <w:i/>
        </w:rPr>
      </w:pPr>
      <w:r w:rsidRPr="0040336E">
        <w:rPr>
          <w:rFonts w:ascii="Arial" w:hAnsi="Arial" w:cs="Arial"/>
          <w:b/>
          <w:i/>
        </w:rPr>
        <w:t>NOTE</w:t>
      </w:r>
      <w:r w:rsidRPr="0040336E">
        <w:rPr>
          <w:rFonts w:ascii="Arial" w:hAnsi="Arial" w:cs="Arial"/>
          <w:i/>
        </w:rPr>
        <w:t xml:space="preserve">: </w:t>
      </w:r>
    </w:p>
    <w:p w:rsidR="00C345ED" w:rsidRPr="0040336E" w:rsidRDefault="00C345ED" w:rsidP="00C345ED">
      <w:pPr>
        <w:rPr>
          <w:rFonts w:ascii="Arial" w:hAnsi="Arial" w:cs="Arial"/>
        </w:rPr>
      </w:pPr>
      <w:r w:rsidRPr="0040336E">
        <w:rPr>
          <w:rFonts w:ascii="Arial" w:hAnsi="Arial" w:cs="Arial"/>
          <w:i/>
        </w:rPr>
        <w:t>The cases related to these solutions are on Connect. They are not printed in the text.</w:t>
      </w:r>
    </w:p>
    <w:p w:rsidR="00C345ED" w:rsidRPr="0040336E" w:rsidRDefault="00C345ED" w:rsidP="00C345ED">
      <w:pPr>
        <w:rPr>
          <w:rFonts w:ascii="Arial" w:hAnsi="Arial" w:cs="Arial"/>
          <w:szCs w:val="24"/>
        </w:rPr>
      </w:pPr>
    </w:p>
    <w:p w:rsidR="00C345ED" w:rsidRPr="0040336E" w:rsidRDefault="00C345ED" w:rsidP="00C345ED">
      <w:pPr>
        <w:rPr>
          <w:rFonts w:ascii="Arial" w:hAnsi="Arial" w:cs="Arial"/>
          <w:szCs w:val="24"/>
        </w:rPr>
      </w:pPr>
      <w:r w:rsidRPr="0040336E">
        <w:rPr>
          <w:rFonts w:ascii="Arial" w:hAnsi="Arial" w:cs="Arial"/>
          <w:b/>
          <w:szCs w:val="24"/>
        </w:rPr>
        <w:t>Solution to COMPREHENSIVE CASE ONE</w:t>
      </w:r>
    </w:p>
    <w:p w:rsidR="00C345ED" w:rsidRPr="0040336E" w:rsidRDefault="00C345ED" w:rsidP="00C345ED">
      <w:pPr>
        <w:rPr>
          <w:rFonts w:ascii="Arial" w:hAnsi="Arial" w:cs="Arial"/>
          <w:szCs w:val="24"/>
        </w:rPr>
      </w:pPr>
    </w:p>
    <w:p w:rsidR="00C345ED" w:rsidRPr="0040336E" w:rsidRDefault="00C345ED" w:rsidP="00C345ED">
      <w:pPr>
        <w:widowControl/>
        <w:spacing w:after="160" w:line="259" w:lineRule="auto"/>
        <w:rPr>
          <w:rFonts w:ascii="Arial" w:eastAsiaTheme="minorHAnsi" w:hAnsi="Arial" w:cs="Arial"/>
          <w:i/>
          <w:snapToGrid/>
          <w:sz w:val="22"/>
          <w:szCs w:val="22"/>
        </w:rPr>
      </w:pPr>
      <w:r w:rsidRPr="0040336E">
        <w:rPr>
          <w:rFonts w:ascii="Arial" w:eastAsiaTheme="minorHAnsi" w:hAnsi="Arial" w:cs="Arial"/>
          <w:i/>
          <w:snapToGrid/>
          <w:sz w:val="22"/>
          <w:szCs w:val="22"/>
        </w:rPr>
        <w:t xml:space="preserve">Comparison of two employment offers received by John Smith </w:t>
      </w:r>
    </w:p>
    <w:p w:rsidR="00C345ED" w:rsidRPr="0040336E" w:rsidRDefault="00C345ED" w:rsidP="00C345ED">
      <w:pPr>
        <w:widowControl/>
        <w:numPr>
          <w:ilvl w:val="0"/>
          <w:numId w:val="1"/>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Offer of employment from ABC Co.</w:t>
      </w:r>
    </w:p>
    <w:p w:rsidR="00C345ED" w:rsidRPr="0040336E" w:rsidRDefault="00C345ED" w:rsidP="00C345ED">
      <w:pPr>
        <w:widowControl/>
        <w:spacing w:after="160" w:line="259" w:lineRule="auto"/>
        <w:ind w:left="720"/>
        <w:contextualSpacing/>
        <w:rPr>
          <w:rFonts w:ascii="Arial" w:eastAsiaTheme="minorHAnsi" w:hAnsi="Arial" w:cs="Arial"/>
          <w:snapToGrid/>
          <w:sz w:val="22"/>
          <w:szCs w:val="22"/>
        </w:rPr>
      </w:pPr>
    </w:p>
    <w:p w:rsidR="00C345ED" w:rsidRPr="0040336E" w:rsidRDefault="00C345ED" w:rsidP="00C345ED">
      <w:pPr>
        <w:widowControl/>
        <w:numPr>
          <w:ilvl w:val="1"/>
          <w:numId w:val="1"/>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 xml:space="preserve">Salary </w:t>
      </w:r>
      <w:r w:rsidRPr="0040336E">
        <w:rPr>
          <w:rFonts w:ascii="Arial" w:hAnsi="Arial" w:cs="Arial"/>
          <w:snapToGrid/>
          <w:color w:val="000000"/>
          <w:sz w:val="22"/>
          <w:szCs w:val="22"/>
          <w:lang w:val="en-US"/>
        </w:rPr>
        <w:t>of $45,000 is included in income when received [ITA 5(1)]</w:t>
      </w:r>
    </w:p>
    <w:p w:rsidR="00C345ED" w:rsidRPr="0040336E" w:rsidRDefault="00C345ED" w:rsidP="00C345ED">
      <w:pPr>
        <w:widowControl/>
        <w:spacing w:after="160" w:line="259" w:lineRule="auto"/>
        <w:ind w:left="1440"/>
        <w:contextualSpacing/>
        <w:rPr>
          <w:rFonts w:ascii="Arial" w:eastAsiaTheme="minorHAnsi" w:hAnsi="Arial" w:cs="Arial"/>
          <w:snapToGrid/>
          <w:sz w:val="22"/>
          <w:szCs w:val="22"/>
        </w:rPr>
      </w:pPr>
    </w:p>
    <w:p w:rsidR="00C345ED" w:rsidRPr="0040336E" w:rsidRDefault="00C345ED" w:rsidP="00C345ED">
      <w:pPr>
        <w:widowControl/>
        <w:numPr>
          <w:ilvl w:val="1"/>
          <w:numId w:val="1"/>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Stock option: The option is “in the money” at the date of grant; exercise price = $20; value at grant date = $25.</w:t>
      </w:r>
    </w:p>
    <w:p w:rsidR="00C345ED" w:rsidRPr="0040336E" w:rsidRDefault="00C345ED" w:rsidP="00C345ED">
      <w:pPr>
        <w:widowControl/>
        <w:spacing w:after="160" w:line="259" w:lineRule="auto"/>
        <w:ind w:left="1440"/>
        <w:contextualSpacing/>
        <w:rPr>
          <w:rFonts w:ascii="Arial" w:eastAsiaTheme="minorHAnsi" w:hAnsi="Arial" w:cs="Arial"/>
          <w:snapToGrid/>
          <w:sz w:val="22"/>
          <w:szCs w:val="22"/>
        </w:rPr>
      </w:pPr>
    </w:p>
    <w:p w:rsidR="00C345ED" w:rsidRPr="0040336E" w:rsidRDefault="00C345ED" w:rsidP="00C345ED">
      <w:pPr>
        <w:widowControl/>
        <w:spacing w:after="160" w:line="259" w:lineRule="auto"/>
        <w:ind w:left="1440"/>
        <w:rPr>
          <w:rFonts w:ascii="Arial" w:eastAsiaTheme="minorHAnsi" w:hAnsi="Arial" w:cs="Arial"/>
          <w:snapToGrid/>
          <w:sz w:val="22"/>
          <w:szCs w:val="22"/>
        </w:rPr>
      </w:pPr>
      <w:r w:rsidRPr="0040336E">
        <w:rPr>
          <w:rFonts w:ascii="Arial" w:eastAsiaTheme="minorHAnsi" w:hAnsi="Arial" w:cs="Arial"/>
          <w:snapToGrid/>
          <w:sz w:val="22"/>
          <w:szCs w:val="22"/>
        </w:rPr>
        <w:t>If ABC Co is not a Canadian-controlled private corporation (CCPC):</w:t>
      </w:r>
    </w:p>
    <w:p w:rsidR="00C345ED" w:rsidRPr="0040336E" w:rsidRDefault="00C345ED" w:rsidP="00C345ED">
      <w:pPr>
        <w:widowControl/>
        <w:numPr>
          <w:ilvl w:val="0"/>
          <w:numId w:val="2"/>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there will be an employment income inclusion on the exercise date to the extent the value at the exercise date exceeds $20 [ITA 7(1)]</w:t>
      </w:r>
    </w:p>
    <w:p w:rsidR="00C345ED" w:rsidRPr="0040336E" w:rsidRDefault="00C345ED" w:rsidP="00C345ED">
      <w:pPr>
        <w:widowControl/>
        <w:numPr>
          <w:ilvl w:val="0"/>
          <w:numId w:val="2"/>
        </w:numPr>
        <w:spacing w:after="160" w:line="259" w:lineRule="auto"/>
        <w:contextualSpacing/>
        <w:rPr>
          <w:rFonts w:ascii="Arial" w:eastAsiaTheme="minorHAnsi" w:hAnsi="Arial" w:cs="Arial"/>
          <w:snapToGrid/>
          <w:sz w:val="22"/>
          <w:szCs w:val="22"/>
        </w:rPr>
      </w:pPr>
      <w:r w:rsidRPr="0040336E">
        <w:rPr>
          <w:rFonts w:ascii="Arial" w:eastAsiaTheme="minorHAnsi" w:hAnsi="Arial" w:cs="Arial"/>
          <w:snapToGrid/>
          <w:sz w:val="22"/>
          <w:szCs w:val="22"/>
        </w:rPr>
        <w:t>the stock option deduction will not be available [ITA 110(1)(d)]</w:t>
      </w:r>
    </w:p>
    <w:p w:rsidR="00C345ED" w:rsidRPr="0040336E" w:rsidRDefault="00C345ED" w:rsidP="00C345ED">
      <w:pPr>
        <w:widowControl/>
        <w:numPr>
          <w:ilvl w:val="0"/>
          <w:numId w:val="2"/>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rsidR="00C345ED" w:rsidRPr="0040336E" w:rsidRDefault="00C345ED" w:rsidP="00C345ED">
      <w:pPr>
        <w:widowControl/>
        <w:spacing w:after="160" w:line="259" w:lineRule="auto"/>
        <w:ind w:left="1440"/>
        <w:contextualSpacing/>
        <w:rPr>
          <w:rFonts w:ascii="Arial" w:eastAsiaTheme="minorHAnsi" w:hAnsi="Arial" w:cs="Arial"/>
          <w:snapToGrid/>
          <w:sz w:val="22"/>
          <w:szCs w:val="22"/>
        </w:rPr>
      </w:pPr>
    </w:p>
    <w:p w:rsidR="00C345ED" w:rsidRPr="0040336E" w:rsidRDefault="00C345ED" w:rsidP="00C345ED">
      <w:pPr>
        <w:widowControl/>
        <w:spacing w:after="160" w:line="259" w:lineRule="auto"/>
        <w:ind w:left="1440"/>
        <w:rPr>
          <w:rFonts w:ascii="Arial" w:eastAsiaTheme="minorHAnsi" w:hAnsi="Arial" w:cs="Arial"/>
          <w:snapToGrid/>
          <w:sz w:val="22"/>
          <w:szCs w:val="22"/>
        </w:rPr>
      </w:pPr>
      <w:r w:rsidRPr="0040336E">
        <w:rPr>
          <w:rFonts w:ascii="Arial" w:eastAsiaTheme="minorHAnsi" w:hAnsi="Arial" w:cs="Arial"/>
          <w:snapToGrid/>
          <w:sz w:val="22"/>
          <w:szCs w:val="22"/>
        </w:rPr>
        <w:t>If ABC Co is a CCPC:</w:t>
      </w:r>
    </w:p>
    <w:p w:rsidR="00C345ED" w:rsidRPr="0040336E" w:rsidRDefault="00C345ED" w:rsidP="00C345ED">
      <w:pPr>
        <w:widowControl/>
        <w:numPr>
          <w:ilvl w:val="0"/>
          <w:numId w:val="3"/>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the employment income inclusion is deferred until the date of disposition [ITA 7(1.1)]  </w:t>
      </w:r>
    </w:p>
    <w:p w:rsidR="00C345ED" w:rsidRPr="0040336E" w:rsidRDefault="00C345ED" w:rsidP="00C345ED">
      <w:pPr>
        <w:widowControl/>
        <w:numPr>
          <w:ilvl w:val="0"/>
          <w:numId w:val="3"/>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if John does not dispose of the ABC Co shares within two years after acquiring them, John is entitled to the stock option deduction which is equal to ½ of the stock option employment benefit [ITA 110(1)(d.1)]</w:t>
      </w:r>
    </w:p>
    <w:p w:rsidR="00C345ED" w:rsidRPr="0040336E" w:rsidRDefault="00C345ED" w:rsidP="00C345ED">
      <w:pPr>
        <w:widowControl/>
        <w:numPr>
          <w:ilvl w:val="0"/>
          <w:numId w:val="3"/>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rsidR="00C345ED" w:rsidRPr="0040336E" w:rsidRDefault="00C345ED" w:rsidP="00C345ED">
      <w:pPr>
        <w:widowControl/>
        <w:spacing w:after="160" w:line="259" w:lineRule="auto"/>
        <w:ind w:left="2280"/>
        <w:contextualSpacing/>
        <w:rPr>
          <w:rFonts w:ascii="Arial" w:eastAsiaTheme="minorHAnsi" w:hAnsi="Arial" w:cs="Arial"/>
          <w:snapToGrid/>
          <w:sz w:val="22"/>
          <w:szCs w:val="22"/>
        </w:rPr>
      </w:pPr>
    </w:p>
    <w:p w:rsidR="00C345ED" w:rsidRPr="0040336E" w:rsidRDefault="00C345ED" w:rsidP="00C345ED">
      <w:pPr>
        <w:widowControl/>
        <w:numPr>
          <w:ilvl w:val="1"/>
          <w:numId w:val="1"/>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Home purchase loan: John will have an imputed interest benefit included in his employment income. The benefit is calculated by multiplying the loan principal by the prescribed rate of interest. The benefit is reduced by the 1% interest paid by John, provided the interest is paid by 30 days after the end of the calendar year. </w:t>
      </w:r>
    </w:p>
    <w:p w:rsidR="00C345ED" w:rsidRPr="0040336E" w:rsidRDefault="00C345ED" w:rsidP="00C345ED">
      <w:pPr>
        <w:widowControl/>
        <w:spacing w:after="160" w:line="259" w:lineRule="auto"/>
        <w:ind w:left="1440"/>
        <w:contextualSpacing/>
        <w:rPr>
          <w:rFonts w:ascii="Arial" w:eastAsiaTheme="minorHAnsi" w:hAnsi="Arial" w:cs="Arial"/>
          <w:snapToGrid/>
          <w:sz w:val="22"/>
          <w:szCs w:val="22"/>
        </w:rPr>
      </w:pPr>
    </w:p>
    <w:p w:rsidR="00C345ED" w:rsidRPr="0040336E" w:rsidRDefault="00C345ED" w:rsidP="00C345ED">
      <w:pPr>
        <w:widowControl/>
        <w:spacing w:after="160" w:line="259" w:lineRule="auto"/>
        <w:ind w:left="1440"/>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 xml:space="preserve">If the prescribed rate increases, the loan benefit will continue to be calculated using the 2% prescribed rate in effect at the time the home purchase loan was received (for a period of five years) [ITA 80.4]. </w:t>
      </w:r>
    </w:p>
    <w:p w:rsidR="00C345ED" w:rsidRPr="0040336E" w:rsidRDefault="00C345ED" w:rsidP="00C345ED">
      <w:pPr>
        <w:widowControl/>
        <w:spacing w:after="160" w:line="259" w:lineRule="auto"/>
        <w:ind w:left="1440"/>
        <w:contextualSpacing/>
        <w:rPr>
          <w:rFonts w:ascii="Arial" w:eastAsiaTheme="minorHAnsi" w:hAnsi="Arial" w:cs="Arial"/>
          <w:snapToGrid/>
          <w:sz w:val="22"/>
          <w:szCs w:val="22"/>
        </w:rPr>
      </w:pPr>
    </w:p>
    <w:p w:rsidR="00C345ED" w:rsidRPr="0040336E" w:rsidRDefault="00C345ED" w:rsidP="00C345ED">
      <w:pPr>
        <w:widowControl/>
        <w:numPr>
          <w:ilvl w:val="1"/>
          <w:numId w:val="1"/>
        </w:numPr>
        <w:spacing w:after="160" w:line="259" w:lineRule="auto"/>
        <w:contextualSpacing/>
        <w:jc w:val="both"/>
        <w:rPr>
          <w:rFonts w:ascii="Arial" w:eastAsiaTheme="minorHAnsi" w:hAnsi="Arial" w:cs="Arial"/>
          <w:snapToGrid/>
          <w:sz w:val="22"/>
          <w:szCs w:val="22"/>
        </w:rPr>
      </w:pPr>
      <w:r w:rsidRPr="0040336E">
        <w:rPr>
          <w:rFonts w:ascii="Arial" w:eastAsiaTheme="minorHAnsi" w:hAnsi="Arial" w:cs="Arial"/>
          <w:snapToGrid/>
          <w:sz w:val="22"/>
          <w:szCs w:val="22"/>
        </w:rPr>
        <w:t>Private health services plan: The annual premium for prescription drugs, dental, and vision coverage does not result in a taxable benefit [ITA 6(1)(a)].</w:t>
      </w:r>
    </w:p>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23800"/>
    <w:multiLevelType w:val="hybridMultilevel"/>
    <w:tmpl w:val="167E21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F85E78"/>
    <w:multiLevelType w:val="hybridMultilevel"/>
    <w:tmpl w:val="D0E0B08E"/>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
    <w:nsid w:val="6DF93C33"/>
    <w:multiLevelType w:val="hybridMultilevel"/>
    <w:tmpl w:val="3EEAE65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C345ED"/>
    <w:rsid w:val="00690A85"/>
    <w:rsid w:val="00C345ED"/>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5ED"/>
    <w:pPr>
      <w:widowControl w:val="0"/>
      <w:spacing w:after="0" w:line="240" w:lineRule="auto"/>
    </w:pPr>
    <w:rPr>
      <w:rFonts w:ascii="Times New Roman" w:eastAsia="Times New Roman" w:hAnsi="Times New Roman" w:cs="Times New Roman"/>
      <w:snapToGrid w:val="0"/>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2018-09-24T20:04:00Z</dcterms:created>
  <dcterms:modified xsi:type="dcterms:W3CDTF">2018-09-24T20:04:00Z</dcterms:modified>
</cp:coreProperties>
</file>