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2BF0F" w14:textId="77777777" w:rsidR="00002EE5" w:rsidRPr="0019267D" w:rsidRDefault="00002EE5">
      <w:pPr>
        <w:pBdr>
          <w:bottom w:val="single" w:sz="12" w:space="0" w:color="auto"/>
        </w:pBdr>
        <w:rPr>
          <w:rFonts w:ascii="Arial" w:hAnsi="Arial"/>
        </w:rPr>
      </w:pPr>
      <w:bookmarkStart w:id="0" w:name="_GoBack"/>
      <w:bookmarkEnd w:id="0"/>
    </w:p>
    <w:p w14:paraId="6F687CFF" w14:textId="77777777" w:rsidR="00DB2F17" w:rsidRPr="0019267D" w:rsidRDefault="00DB2F17">
      <w:pPr>
        <w:rPr>
          <w:rFonts w:ascii="Arial" w:hAnsi="Arial"/>
          <w:sz w:val="72"/>
        </w:rPr>
      </w:pPr>
    </w:p>
    <w:p w14:paraId="16903EA5" w14:textId="77777777" w:rsidR="00DB2F17" w:rsidRPr="0019267D" w:rsidRDefault="00FC0E5D">
      <w:pPr>
        <w:jc w:val="center"/>
        <w:rPr>
          <w:rFonts w:ascii="Arial" w:hAnsi="Arial"/>
          <w:i/>
          <w:sz w:val="72"/>
        </w:rPr>
      </w:pPr>
      <w:r w:rsidRPr="0019267D">
        <w:rPr>
          <w:rFonts w:ascii="Arial" w:hAnsi="Arial"/>
          <w:i/>
          <w:sz w:val="72"/>
        </w:rPr>
        <w:t>Chapter 2</w:t>
      </w:r>
    </w:p>
    <w:p w14:paraId="36C00B18" w14:textId="77777777" w:rsidR="00DB2F17" w:rsidRPr="0019267D" w:rsidRDefault="00DB2F17">
      <w:pPr>
        <w:rPr>
          <w:rFonts w:ascii="Arial" w:hAnsi="Arial"/>
        </w:rPr>
      </w:pPr>
    </w:p>
    <w:p w14:paraId="007678AE" w14:textId="77777777" w:rsidR="00DB2F17" w:rsidRPr="0019267D" w:rsidRDefault="00DB2F17">
      <w:pPr>
        <w:rPr>
          <w:rFonts w:ascii="Arial" w:hAnsi="Arial"/>
        </w:rPr>
      </w:pPr>
    </w:p>
    <w:p w14:paraId="5C006055" w14:textId="77777777" w:rsidR="00DB2F17" w:rsidRPr="0019267D" w:rsidRDefault="00FC0E5D">
      <w:pPr>
        <w:jc w:val="center"/>
        <w:rPr>
          <w:rFonts w:ascii="Arial" w:hAnsi="Arial"/>
          <w:b/>
          <w:sz w:val="96"/>
        </w:rPr>
      </w:pPr>
      <w:r w:rsidRPr="0019267D">
        <w:rPr>
          <w:rFonts w:ascii="Arial" w:hAnsi="Arial"/>
          <w:b/>
          <w:sz w:val="96"/>
        </w:rPr>
        <w:t>Constitutional Law</w:t>
      </w:r>
    </w:p>
    <w:p w14:paraId="157C94C5" w14:textId="77777777" w:rsidR="00DB2F17" w:rsidRPr="0019267D" w:rsidRDefault="00DB2F17">
      <w:pPr>
        <w:jc w:val="center"/>
        <w:rPr>
          <w:rFonts w:ascii="Arial" w:hAnsi="Arial"/>
          <w:b/>
          <w:sz w:val="72"/>
        </w:rPr>
      </w:pPr>
    </w:p>
    <w:p w14:paraId="6763FA1E" w14:textId="77777777" w:rsidR="00DB2F17" w:rsidRPr="0019267D" w:rsidRDefault="00FC0E5D">
      <w:pPr>
        <w:widowControl w:val="0"/>
        <w:autoSpaceDE w:val="0"/>
        <w:autoSpaceDN w:val="0"/>
        <w:adjustRightInd w:val="0"/>
        <w:rPr>
          <w:rFonts w:ascii="Arial" w:hAnsi="Arial"/>
          <w:b/>
          <w:i/>
          <w:sz w:val="72"/>
        </w:rPr>
      </w:pPr>
      <w:r w:rsidRPr="0019267D">
        <w:rPr>
          <w:rFonts w:ascii="Arial" w:hAnsi="Arial"/>
          <w:b/>
          <w:i/>
          <w:sz w:val="72"/>
        </w:rPr>
        <w:t>Case 2.1</w:t>
      </w:r>
    </w:p>
    <w:p w14:paraId="017F45B7" w14:textId="77777777" w:rsidR="00DB2F17" w:rsidRPr="0019267D" w:rsidRDefault="00DB2F17">
      <w:pPr>
        <w:widowControl w:val="0"/>
        <w:autoSpaceDE w:val="0"/>
        <w:autoSpaceDN w:val="0"/>
        <w:adjustRightInd w:val="0"/>
        <w:rPr>
          <w:rFonts w:ascii="Arial" w:hAnsi="Arial"/>
        </w:rPr>
      </w:pPr>
    </w:p>
    <w:p w14:paraId="0AA237C7" w14:textId="77777777" w:rsidR="00DB2F17" w:rsidRPr="0019267D" w:rsidRDefault="00FC0E5D">
      <w:pPr>
        <w:widowControl w:val="0"/>
        <w:autoSpaceDE w:val="0"/>
        <w:autoSpaceDN w:val="0"/>
        <w:adjustRightInd w:val="0"/>
        <w:jc w:val="both"/>
        <w:rPr>
          <w:rFonts w:ascii="Arial" w:hAnsi="Arial"/>
        </w:rPr>
      </w:pPr>
      <w:r w:rsidRPr="0019267D">
        <w:rPr>
          <w:rFonts w:ascii="Arial" w:hAnsi="Arial"/>
          <w:sz w:val="18"/>
        </w:rPr>
        <w:t>379 U.S. 241, 85 S.Ct. 348, 13 L.Ed.2d 258, 1 Empl. Prac. Dec. P 9712</w:t>
      </w:r>
    </w:p>
    <w:p w14:paraId="0C428CE9"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Supreme Court of the United States</w:t>
      </w:r>
    </w:p>
    <w:p w14:paraId="70248DC9"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HEART OF ATLANTA MOTEL, INC., Appellant,</w:t>
      </w:r>
    </w:p>
    <w:p w14:paraId="456056FC"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v.</w:t>
      </w:r>
    </w:p>
    <w:p w14:paraId="1BF5E6A1"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UNITED STATES et al.</w:t>
      </w:r>
    </w:p>
    <w:p w14:paraId="439D633D" w14:textId="77777777" w:rsidR="00DB2F17" w:rsidRPr="0019267D" w:rsidRDefault="00FC0E5D">
      <w:pPr>
        <w:widowControl w:val="0"/>
        <w:autoSpaceDE w:val="0"/>
        <w:autoSpaceDN w:val="0"/>
        <w:adjustRightInd w:val="0"/>
        <w:jc w:val="both"/>
        <w:rPr>
          <w:rFonts w:ascii="Arial" w:hAnsi="Arial"/>
          <w:b/>
          <w:sz w:val="18"/>
        </w:rPr>
      </w:pPr>
      <w:r w:rsidRPr="0019267D">
        <w:rPr>
          <w:rFonts w:ascii="Arial" w:hAnsi="Arial"/>
          <w:b/>
        </w:rPr>
        <w:t>No. 515</w:t>
      </w:r>
      <w:r w:rsidRPr="0019267D">
        <w:rPr>
          <w:rFonts w:ascii="Arial" w:hAnsi="Arial"/>
          <w:b/>
          <w:sz w:val="18"/>
        </w:rPr>
        <w:t>.</w:t>
      </w:r>
    </w:p>
    <w:p w14:paraId="07F4F03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Argued Oct. 5, 1964.</w:t>
      </w:r>
    </w:p>
    <w:p w14:paraId="5AAFDAF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Decided Dec. 14, 1964.</w:t>
      </w:r>
    </w:p>
    <w:p w14:paraId="276F70E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Mr. Justice CLARK delivered the opinion of the Court</w:t>
      </w:r>
    </w:p>
    <w:p w14:paraId="7949F79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This is a declaratory judgment action,  and  (1958 ed.) attacking the constitutionality of Title II of the Civil Rights Act of 1964, 78 Stat. 241, 241.  In addition to declaratory relief the complaint sought an injunction restraining the enforcement of the Act and damages against appellees based on allegedly resulting injury in the event compliance was required.  Appellees counterclaimed for enforcement under s 206(a) of the Act and asked for a three-judge district court under s 206(b).  A three-judge court, empaneled under s 206(b) as well as  ed.) sustained the validity of the Act and issued a permanent injunction on appellees' counterclaim restraining appellant from continuing to violate the Act which remains in effect on order of Mr. Justice BLACK,   We affirm the judgment.</w:t>
      </w:r>
    </w:p>
    <w:p w14:paraId="25AD7C16"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See Appendix.</w:t>
      </w:r>
    </w:p>
    <w:p w14:paraId="0B7E0C1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1. The Factual Background and Contentions of the Parties.</w:t>
      </w:r>
    </w:p>
    <w:p w14:paraId="7DA1CB3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The case comes here on admissions and stipulated facts.  Appellant owns and operates the Heart of Atlanta Motel which has 216 rooms available to transient guests.  The motel is located on Courtland Street, two blocks from downtown Peachtree Street.  It is readily accessible to interstate highways 75 and 85 and state highways 23 and 41.  Appellant solicits patronage from outside the State of Georgia through various national advertising media, including magazines of national circulation; it mainains over 50 billboards and highway signs within the State, soliciting patronage for the motel; it accepts convention trade from outside Georgia and approximately 75% of its registered guests are from out of State.  Prior to passage of the Act the motel had followed a practice of refusing to rent rooms to Negroes, and it alleged that it intended to continue to do so.  In an effort to perpetuate that policy this suit was filed.</w:t>
      </w:r>
    </w:p>
    <w:p w14:paraId="42FE753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lastRenderedPageBreak/>
        <w:t>The appellant contends that Congress in passing this Act exceeded its power to regulate commerce under ; that the Act violates the Fifth Amendment because appellant is deprived of the right to choose its customers and operate its business as it wishes, resulting in a taking of its liberty and property without due process of law and a taking of its property without just compensation; and, finally, that by requiring appellant to rent available rooms to Negroes against its will, Congress is subjecting it to involuntary servitude in contravention of the Thirteenth Amendment.</w:t>
      </w:r>
    </w:p>
    <w:p w14:paraId="36E3B6A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appellees counter that the unavailability to Negroes of adequate accommodations interferes significantly with interstate travel, and that Congress, under the Commerce Clause, has power to remove such obstructions and restraints; that the Fifth Amendment does not forbid reasonable regulation and that consequential damage does not constitute a 'taking' within the meaning of that amendment; that the Thirteenth Amendment claim fails because it is entirely frivolous to say that an amendment directed to the abolition of human bondage and the removal of widespread disabilities associated with slavery places discrimination in public accommodations, beyond the reach of both federal and state law.</w:t>
      </w:r>
    </w:p>
    <w:p w14:paraId="58E28E7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At the trial the appellant offered no evidence, submitting the case on the pleadings, admissions and stipulation of facts; however, appellees proved the refusal of the motel to accept Negro transients after the passage of the Act. The District Court sustained the constitutionality of the sections of the Act under attack (ss 201(a), (b)(1) and (c)(1)) and issued a permanent injunction on the counterclaim of the appellees.  It restrained the appellant from '(r) efusing to accept Negroes as guests in the motel by reason of their race or color' and from '(m)aking any distinction whatever upon the basis of race or color in the availability of the goods, services, facilities privileges, advantages or accommodations offered or made available to the guests of the motel, or to the general public, within or upon any of the premises of the Heart of Atlanta Motel, Inc.'</w:t>
      </w:r>
    </w:p>
    <w:p w14:paraId="0681343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2. The History of the Act.</w:t>
      </w:r>
    </w:p>
    <w:p w14:paraId="25BDF86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Congress first evidenced its interest in civil rights legislation in the Civil Rights or Enforcement Act of April 9, 1866.  There followed four Acts,  with a fifth, the Civil Rights Act of March 1, 1875, culminating the series.  In 1883 this Court struck down the public accommodations sections of the 1875 Act in the   No major legislation in this field had been enacted by Congress for 82 years when the Civil Rights Act of 1957 became law.  It was followed by the Civil Rights Act of 1960.  Three years later, on June 19, 1963, the late President Kennedy called for civil rights legislation in a a message to Congress to which he attached a proposed bill.  Its stated purpose was</w:t>
      </w:r>
    </w:p>
    <w:p w14:paraId="03EF6502"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14 Stat 27.</w:t>
      </w:r>
    </w:p>
    <w:p w14:paraId="1202AC2F"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Slave Kidnaping Act, 14 Stat. 50; Peonage Abolition Act of March 2, 1867, 14 Stat. 546; Act of May 31, 1870, 16 Stat. 140; Anti-Lynching Act of April 20, 1871, 17 Stat. 13.</w:t>
      </w:r>
    </w:p>
    <w:p w14:paraId="0B94523B"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18 Stat. 335.</w:t>
      </w:r>
    </w:p>
    <w:p w14:paraId="54235C07"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71 Stat. 634.</w:t>
      </w:r>
    </w:p>
    <w:p w14:paraId="6B8E5407"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 xml:space="preserve">74 Stat. 86. </w:t>
      </w:r>
    </w:p>
    <w:p w14:paraId="4E3A886D"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'to promote the general welfare by eliminating discrimination based on race, color, religion, or national origin in * * * public accommodations through the exercise by Congress of the powers conferred upon it * * * to enforce the provisions of the fourteenth and fifteenth amendments, to regulate commerce among the several States, and to make laws necessary and proper to execute the powers conferred upon it by the Constitution.'  H.R.Doc.No. 124, 88th Cong., 1st Sess., at 14. </w:t>
      </w:r>
    </w:p>
    <w:p w14:paraId="3690AF6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Bills were introduced in each House of the Congress, embodying the President's suggestion, one in the Senate being S. 1732 and one in the House, H.R. 7152.  However, it was not until July 2, 1964, upon the recommendation of President Johnson, that the Civil Rights Act of 1964, here under attack, was finally passed.</w:t>
      </w:r>
    </w:p>
    <w:p w14:paraId="67A64BF9"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S. 1732 dealt solely with public accommodations.  A second Senate bill, S. 1731, contained the entire administration proposal.  The Senate Judiciary Committee conduct the hearings on S. 1731 while the Committee on Commerce considered S. 1732.</w:t>
      </w:r>
    </w:p>
    <w:p w14:paraId="71BD80D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After extended hearings each of these bills was favorably reported to its respective house.  H.R. 7152 on November 20, 1963, H.R.Rep.No.914, 88th Cong., 1st Sess., and S. 1732 on February 10, 1964, S.Rep.No.872, 88th Cong., 2d Sess. Although each bill originally incorporated extensive findings of fact these were eliminated from the bills as they were reported.  The House passed its bill in January 1964 and sent it to the Senate.  Through a bipartisan coalition of Senators Humphrey and Dirksen, together with other Senators, a substitute was worked out in informal conferences.  This substitute was adopted by the Senate and sent to the House where it was adopted without change.  This expedited procedure prevented the usual report on the substitute bill in the Senate as well as a Conference Committee report ordinarily filed in such matters.  Our only frame of reference as to the legislative history of the Act is, therefore, the hearings, reports and debates on the respective bills in each house.</w:t>
      </w:r>
    </w:p>
    <w:p w14:paraId="0E03F1A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Act as finally adopted was most comprehensive, undertaking to prevent through peaceful and voluntary settlement discrimination in voting, as well as in places of accommodation and public facilities, federally secured programs and in employment.  Since Title II is the only portion under attack here, we confine our consideration to those public accommodation provisions.</w:t>
      </w:r>
    </w:p>
    <w:p w14:paraId="485B373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3. Title II of the Act.</w:t>
      </w:r>
    </w:p>
    <w:p w14:paraId="6E6209C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This Title is divided into seven sections beginning with s 201(a) which provides that: </w:t>
      </w:r>
    </w:p>
    <w:p w14:paraId="421D039C"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lastRenderedPageBreak/>
        <w:t xml:space="preserve">'All persons shall be entitled to the full and equal enjoyment of the goods, services, facilities, privileges, advantages, and accommodations of any place of public accommodation, as defined in this section, without discrimination or segregation on the ground of race, color, religion, or national origin.' </w:t>
      </w:r>
    </w:p>
    <w:p w14:paraId="6E20510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There are listed in s 201(b) four classes of business establishments, each of which 'serves the public' and 'is a place of public accommodation' within the meaning of s 201(a) 'if its operations affect commerce, or if discrimination or segregation by it is supported by State action.'  The covered establishments are: </w:t>
      </w:r>
    </w:p>
    <w:p w14:paraId="68D2A109"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'(1) any inn, hotel, motel, or other establishment which provides lodging to transient guests, other than an establishment located within a building which contains not more than five rooms for rent or hire and which is actually occupied by the proprietor of such establishment as his residence; </w:t>
      </w:r>
    </w:p>
    <w:p w14:paraId="7378C862"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'(2) any restaurant, cafeteria * * * (not here involved); </w:t>
      </w:r>
    </w:p>
    <w:p w14:paraId="7BAC49F0"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'(3) any motion picture house * * * (not here involved); </w:t>
      </w:r>
    </w:p>
    <w:p w14:paraId="1B9D8396"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'(4) any establishment * * * which is physically located within the premises of any establishment otherwise covered by this subsection, or * * * within the premises of which is physically located any such covered establishment * * * (not here involved).' </w:t>
      </w:r>
    </w:p>
    <w:p w14:paraId="04CDCDA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Section 201(c) defines the phrase 'affect commerce' as applied to the above establishments.  It first declares that 'any inn, hotel, motel, or other establishment which provides lodging to transient guests' affects commerce per se. Restaurants, cafeterias, etc., in class two affect commerce only if they serve or offer to serve interstate travelers or if a substantial portion of the food which they serve or products which they sell have 'moved in commerce.'  Motion picture houses and other places listed in class three affect commerce if they customarily present films, performances, etc., 'which move in commerce.'  And the establishments listed in class four affect commerce if they are within, or include within their own premises, an establishment 'the operations of which affect commerce.'  Private clubs are excepted under certain conditions.  See s 201(e).</w:t>
      </w:r>
    </w:p>
    <w:p w14:paraId="6657A0C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Section 201(d) declares that 'discrimination or segregation' is supported by state action when carried on under color of any law, statute, ordinance, regulation or any custom or usage required or enforced by officials of the State or any of its subdivisions.</w:t>
      </w:r>
    </w:p>
    <w:p w14:paraId="4ABF46E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addition, s 202 affirmatively declares that all persons 'shall be entitled to be free, at any establishment or place, from discrimination or segregation of any kind on the ground of race, color, religion, or national origin, if such discrimination or segregation is or purports to be required by any law, statute, ordinance, regulation, rule, or order of a State or any agency or political subdivision thereof.'</w:t>
      </w:r>
    </w:p>
    <w:p w14:paraId="27102BF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Finally, s 203 prohibits the withholding or denial, etc., of any right or privilege secured by s 201 and s 202 or the intimidation, threatening or coercion of any person with the purpose of interfering with any such right or the punishing, etc., of any person for exercising or attempting to exercise any such right.</w:t>
      </w:r>
    </w:p>
    <w:p w14:paraId="32737BF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remaining sections of the Title are remedial ones for violations of any of the previous sections.  Remedies are limited to civil actions for preventive relief.  The Attorney General may bring suit where he has 'reasonable cause to believe that any person or group of persons is engaged in a pattern or practice of resistance to the full enjoyment of any of the rights secured by this title, and that the pattern or practice is of such a nature and is intended to deny the full exercise of the rights herein described * * *.' s 206(a).</w:t>
      </w:r>
    </w:p>
    <w:p w14:paraId="1367BFC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 person aggrieved may bring suit, in which the Attorney General may be permitted to intervene.  Thirty days' written notice before filing any such action must be given to the appropriate authorities of a State or subdivision the law of which prohibits the act complained of and which has established an authority which may grant relief therefrom. s 204(c).  In States where such condition does not exist the court after a case is filed may refer it to the Community Relations Service which is established under Title X of the Act. s 204(d).  This Title establishes such service in the Department of Commerce, provides for a Director to be appointed by the President with the advice and consent of the Senate and grants it certain powers, including the power to hold hearings, with reference to matters coming to its attention by reference from the court or between communities and persons involved in disputes arising under the Act.</w:t>
      </w:r>
    </w:p>
    <w:p w14:paraId="0E33D66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4. Application of Title II to Heart of Atlanta Motel.</w:t>
      </w:r>
    </w:p>
    <w:p w14:paraId="75B438D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It is admitted that the operation of the motel brings it within the provisions of s 201(a) of the Act and that appellant refused to provide lodging for transient Negroes because of their race or color and that it intends to continue that policy unless restrained.</w:t>
      </w:r>
    </w:p>
    <w:p w14:paraId="1DF504F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sole question posed is, therefore, the constitutionality of the Civil Rights Act of 1964 as applied to these facts.  The legislative history of the Act indicates that Congress based the Act on s 5 and the Equal Protection Clause of the Fourteenth Amendment as well as its power to regulate interstate commerce under Art. I, s 8, cl. 3, of the Constitution.</w:t>
      </w:r>
    </w:p>
    <w:p w14:paraId="5BCB68F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Senate Commerce Committee made it quite clear that the fundamental object of Title II was to vindicate 'the deprivation of personal dignity that surely accompanies denials of equal access to public establishments.'  At the same time, however, it noted that such an objective has been and could be readily achieved 'by congressional action based on the commerce power of the Constitution.'  S.Rep. No. 872, supra, at 16--17. Our study of the legislative record, made in the light of prior cases, has brought us to the conclusion that Congress possessed ample power in this regard, and we have therefore not considered the other grounds relied upon. This is not to say that the remaining authority upon which it acted was not adequate, a question upon which we do not pass, but merely that since the commerce power is sufficient for our decision here we have considered it alone.  Nor is s 201(d) or s 202, having to do with state action, involved here and we do not pass upon either of those</w:t>
      </w:r>
    </w:p>
    <w:p w14:paraId="2587B12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lastRenderedPageBreak/>
        <w:t>sections.</w:t>
      </w:r>
    </w:p>
    <w:p w14:paraId="61A375E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5. The , and their Application.</w:t>
      </w:r>
    </w:p>
    <w:p w14:paraId="56EE6E1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In light of our ground for decision, it might be well at the outset to discuss the Civil Rights Cases, supra, which declared provisions of the Civil Rights Act of 1875 unconstitutional. 18 Stat. 335, 336.  We think that decision inapposite, and without precedential value in determining the constitutionality of the present Act. Unlike Title II of the present legislation, the 1875 Act broadly proscribed discriminaton in 'inns, public conveyances on land or water, theaters, and other places of public amusement,' without limiting the categories of affected businesses to those impinging upon interstate commerce.  In contrast, the applicability of Title II is carefully limited to enterprises having a direct and substantial relation to the interstate flow of goods and people, except where state action is involved.  Further, the fact that certain kinds of businesses may not in 1875 have been sufficiently involved in interstate commerce to warrant bringing them within the ambit of the commerce power is not necessarily dispositive of the same question today.  Our populace had not reached its present mobility, nor were facilities, goods and services circulating as readily in interstate commerce as they are today.  Although the principles which we apply today are those first formulated by Chief Justice Marshall in , the conditions of transportation and commerce have changed dramatically, and we must apply those principles to the present state of commerce.  The sheer increase in volume of interstate traffic alone would give discriminatory practices which inhibit travel a far larger impact upon the Nation's commerce than such practices had on the economy of another day. Finally, there is language in the Civil Rights Cases which indicates that the Court did not fully consider whether the 1875 Act could be sustained as an exercise of the commerce power.  Though the Court observed that 'no one will contend that the power to pass it was contained in the constitution before the adoption of the last three amendments (Thirteenth, Fourteenth, and Fifteenth),' the Court went on specifically to note that the Act was not 'conceived' in terms of the commerce power and expressly pointed out: </w:t>
      </w:r>
    </w:p>
    <w:p w14:paraId="14014B89"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'Of course, these remarks (as to lack of congressional power) do not apply to those cases in which congress is clothed with direct and plenary powers of legislation over the whole subject, accompanied with an express or implied denial of such power to the states, as in the regulation of commerce with foreign nations, among the several states, and with the Indian tribes * * *. In these cases congress has power to pass laws for regulating the subjects specified, in every detail, and the conduct and transactions of individuals in respect thereof.' . </w:t>
      </w:r>
    </w:p>
    <w:p w14:paraId="10BB739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Since the commerce power was not relied on by the Government and was without support in the record it is understandable that the Court narrowed its inquiry and excluded the Commerce Clause as a possible source of power.  In any event, it is clear that such a limitation renders the opinion devoid of authority for the proposition that the Commerce Clause gives no power to Congress to regulate discriminatory practices now found substantially to affect interstate commerce.  We, therefore, conclude that the Civil Rights Cases have no relevance to the basis of decision here where the Act explicitly relies upon the commerce power, and where the record is filled with testimony of obstructions and restraints resulting from the discriminations found to be existing.  We now pass to that phase of the case.</w:t>
      </w:r>
    </w:p>
    <w:p w14:paraId="024DC01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6. The Basis of Congressional Action.</w:t>
      </w:r>
    </w:p>
    <w:p w14:paraId="7BCE3B1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While the Act as adopted carried no congressional findings the record of its passage through each house is replete with evidence of the burdens that discrimination by race or color places upon interstate commerce.  See Hearings before Senate Committee on Commerce on S. 1732, 88th Cong., 1st Sess.; S.Rep. No. 872, supra; Hearings before Senate Committee on the Judiciary on S. 1731, 88th Cong., 1st Sess.; Hearings before House Subcommittee No. 5 of the Committee on the Judiciary on miscellaneous proposals regarding Civil Rights, 88th Cong., 1st Sess., ser. 4; H.R.Rep. No. 914, supra.  This testimony included the fact that our people have become increasingly mobile with millions of people of all races traveling from State to State; that Negroes in particular have been the subject of discrimination in transient accommodations, having to travel great distances ot secure the same; that often they have been unable to obtain accommodations and have had to call upon friends to put them up overnight, S.Rep. No. 872, supra, at 14--22; and that these conditions had become so acute as to require the listing of available lodging for Negroes in a special guidebook which was itself 'dramatic testimony to the difficulties' Negroes encounter in travel.  Senate Commerce Committee Hearings, supra, at 692--694.  These exclusionary practices were found to be nationwide, the Under Secretary of Commerce testifying that there is 'no question that this discrimination in the North still exists to a large degree' and in the West and Midwest as well.  Id., at 735, 744.  This testimony indicated a qualitative as well as quantitative effect on interstate travel by Negroes.  The former was the obvious impairment of the Negro traveler's pleasure and convenience that resulted when he continually was uncertain of finding lodging.  As for the latter, there was evidence that this uncertainty stemming from racial discrimination had the effect of discouraging travel on the part of a substantial portion of the Negro community.  Id., at 744.  This was the conclusion not only of the Under Secretary of Commerce but also of the Administrator of the Federal Aviation Agency who wrote the Chairman of the Senate Commerce Committee that it was his 'belief that air commerce is adversely affected by the denial to a substantial segment of the traveling public of adequate and desegregated public accommodations.'   .  We shall not burden this opinion with further details since the voluminous testimony presents overwhelming evidence that discrimination by hotels and motels impedes interstate travel.</w:t>
      </w:r>
    </w:p>
    <w:p w14:paraId="31BCF4C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7. The Power of Congress Over Interstate Travel.</w:t>
      </w:r>
    </w:p>
    <w:p w14:paraId="3907AC4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The power of Congress to deal with these obstructions depends on the meaning of the Commerce Clause.  Its meaning was first </w:t>
      </w:r>
      <w:r w:rsidRPr="0019267D">
        <w:rPr>
          <w:rFonts w:ascii="Arial" w:hAnsi="Arial"/>
          <w:sz w:val="18"/>
        </w:rPr>
        <w:lastRenderedPageBreak/>
        <w:t xml:space="preserve">enunciated 140 years ago by the great Chief Justice John Marshall in , in these words: </w:t>
      </w:r>
    </w:p>
    <w:p w14:paraId="76699AF3"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subject to be regulated is commerce; and * * * to ascertain the extent of the power, it becomes necessary to settle the meaning of the word. The counsel for the appellee would limit it to traffic, to buying and selling, or the interchange of commodities * * * but it is something more: it is intercourse * * * between nations, and parts of nations, in all its branches, and is regulated by prescribing rules for carrying on that intercourse. (At 189--190.) </w:t>
      </w:r>
    </w:p>
    <w:p w14:paraId="4C6A5716"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'To what commerce does this power extend?  The constitution informs us, to commerce 'with foreign nations, and among the several States, and with the Indian tribes.' </w:t>
      </w:r>
    </w:p>
    <w:p w14:paraId="269BB5BE"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'It has, we believe, been universally admitted, that these words comprehend every species of commercial intercourse * * *. No sort of trade can be carried on * * * to which this power does not extend. (At 193--194.) </w:t>
      </w:r>
    </w:p>
    <w:p w14:paraId="3E981031"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subject to which the power is next applied, is to commerce 'among the several States.'  The word 'among' means intermingled * * *. </w:t>
      </w:r>
    </w:p>
    <w:p w14:paraId="6AB1FD4B"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 * * (I)t may very properly be restricted to that commerce which concerns more States than one. * * * The genius and character of the whole government seem to be, that its action is to be applied to all the * * * internal concerns (of the Nation) which affect the States generally; but not to those which are completely within a particular State, which do not affect other States, and with which it is not necessary to interfere, for the purpose of executing some of the general powers of the government. (At 194-- 195.) </w:t>
      </w:r>
    </w:p>
    <w:p w14:paraId="494F09C0"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'We are now arrived at the inquiry--What is this power? </w:t>
      </w:r>
    </w:p>
    <w:p w14:paraId="7835ECFA"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'It is the power to regulate; that is, to prescribe the rule by which commerce is to be governed.  This power, like all others vested in Congress, is complete in itself, may be exercised to its utmost extent, and acknowledges no limitations, other than are prescribed in the constitution. * * * If, as has always been understood, the sovereignty of Congress * * * is plenary as to those objects (specified in the Constitution), the power over commerce * * * is vested in Congress as absolutely as it would be in a single government, having in its constitution the same restrictions on the exercise of the power as are found in the constitution of the United States.  The wisdom and the discretion of Congress, their identity with the people, and the influence which their constituents possess at elections, are, in this, as in many other instances, as that, for example, of declaring war, the sole restraints on which they have relied, to secure them from its abuse.  They are the restraints on which the people must often rely solely, in all representative governments. (At 196-- 197.)' </w:t>
      </w:r>
    </w:p>
    <w:p w14:paraId="47D1380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In short, the determinative test of the exercise of power by the Congress under the Commerce Clause is simply whether the activity sought to be regulated is 'commerce which concerns more States than one' and has a real and substantial relation to the national interest.  Let us now turn to this facet of the problem.</w:t>
      </w:r>
    </w:p>
    <w:p w14:paraId="405FD65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That the 'intercourse' of which the Chief Justice spoke included the movement of persons through more States than one was settled as early as 1849, in the  where Mr. Justice McLean stated: 'That the transportation of passengers is a part of commerce is not now an open question.'  At 401.  Again in 1913 Mr. Justice McKenna, speaking for the Court, said: 'Commerce among the states, we have said, consists of intercourse and traffic between their citizens, and includes the transportation of persons and porperty.'  And only four years later in 1917 in  Mr. Justice Day held for the Court: </w:t>
      </w:r>
    </w:p>
    <w:p w14:paraId="37AE8100"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transportation of passengers in interstate commerce, it has long been settled, is within the regulatory power of Congress, under the commerce clause of the Constitution, and the authority of Congress to keep the channels of interstate commerce free from immoral and injurious uses has been frequently sustained, and is no longer open to question.'  At 491, . </w:t>
      </w:r>
    </w:p>
    <w:p w14:paraId="3C97BC1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Nor does it make any difference whether the transportation is commercial in character.    In , Mr. Justice Reed observed as to the modern movement of persons among the States: </w:t>
      </w:r>
    </w:p>
    <w:p w14:paraId="24175EBA"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'The recent changes in transportation brought about by the coming of automobiles (do) not seem of great significance in the problem.  People of all races travel today more extensively than in 1878 when this Court first passed upon state regulation of racial segregation in commerce. (It but) emphasizes the soundness of this Court's early conclusion in '  At 383, .</w:t>
      </w:r>
    </w:p>
    <w:p w14:paraId="2F99CB0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same interest in protecting interstate commerce which led Congress to deal with segregation in interstate carriers and the white-slave traffic has prompted it to extend the exercise of its power to gambling, ; to criminal enterprises, ; to deceptive parctices in the sale of products,  ; to fraudulent security transactions, ; to misbranding of drugs, ; to wages and hours,  ; to members of labor unions, ; to crop control, ; to discrimination against shippers, ; to the protection of small business from injurious price cutting, ; to resale price maintenance, , ; to professional football, ; and to racial discrimination by owners and managers of terminal restaurants, .</w:t>
      </w:r>
    </w:p>
    <w:p w14:paraId="3A0EB3F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That Congress was legislating against moral wrongs in many of these areas rendered its enactments no less valid.  In framing Title II of this Act Congress was also dealing with what it considered a moral problem.  But that fact does not detract from the overwhelming evidence of the disruptive effect that racial discrimination has had on commercial intercourse.  It was this burden which empowered Congress to enact appropriate legislation, and, given this basis for the exercise of its power, Congress was not restricted by the fact that the particular obstruction to interstate commerce with which it was dealing was also deemed a moral and social wrong.</w:t>
      </w:r>
    </w:p>
    <w:p w14:paraId="611BF90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It is said that the operation of the motel here is of a purely local character.  But, assuming this to be true, '(i)f it is interstate commerce that feels the pinch, it does not matter how local the operation which applies the squeeze.'  .  See National Labor </w:t>
      </w:r>
      <w:r w:rsidRPr="0019267D">
        <w:rPr>
          <w:rFonts w:ascii="Arial" w:hAnsi="Arial"/>
          <w:sz w:val="18"/>
        </w:rPr>
        <w:lastRenderedPageBreak/>
        <w:t xml:space="preserve">Relations Board v. Jones &amp; Laughlin Steel Corp., supra.  As Chief Justice Stone put it in United States v. Darby, supra: </w:t>
      </w:r>
    </w:p>
    <w:p w14:paraId="092E6981" w14:textId="77777777" w:rsidR="00DB2F17" w:rsidRPr="0019267D" w:rsidRDefault="00FC0E5D">
      <w:pPr>
        <w:widowControl w:val="0"/>
        <w:autoSpaceDE w:val="0"/>
        <w:autoSpaceDN w:val="0"/>
        <w:adjustRightInd w:val="0"/>
        <w:ind w:left="180"/>
        <w:jc w:val="both"/>
        <w:rPr>
          <w:rFonts w:ascii="Arial" w:hAnsi="Arial"/>
          <w:sz w:val="18"/>
        </w:rPr>
      </w:pPr>
      <w:r w:rsidRPr="0019267D">
        <w:rPr>
          <w:rFonts w:ascii="Arial" w:hAnsi="Arial"/>
          <w:sz w:val="18"/>
        </w:rPr>
        <w:t xml:space="preserve">'The power of Congress over interstate commerce is not confined to the regulation of commerce among the states.  It extends to those activities intrastate which so affect interstate commerce or the exercise of the power of Congress over it as to make regulation of them appropriate means to the attainment of a legitimate end, the exercise of the granted power of Congress to regulate interstate commerce.  See ' . </w:t>
      </w:r>
    </w:p>
    <w:p w14:paraId="54921E0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  Thus the power of Congress to promote interstate commerce also includes the power to regulate the local incidents thereof, including local activities in both the States of origin and destination, which might have a substantial and harmful effect upon that commerce.  One need only examine the evidence which we have discussed above to see that Congress may--as it has--prohibit racial discrimination by motels serving travelers, however 'local' their operations may appear.</w:t>
      </w:r>
    </w:p>
    <w:p w14:paraId="0497CEA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Nor does the Act deprive appellant of liberty or property under the Fifth Amendment.  The commerce power invoked here by the Congress is a specific and plenary one authorized by the Constitution itself.  The only questions are: (1) whether Congress had a rational basis for finding that racial discrimination by motels affected commerce, and (2) if it had such a basis, whether the means it selected to eliminate that evil are reasonable and appropriate.  If they are, appellant has no 'right' to select its guests as it sees fit, free from governmental regulation.</w:t>
      </w:r>
    </w:p>
    <w:p w14:paraId="4EDFFF7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There is nothing novel about such legislation.  Thirty-two States now have it on their books either by statute or executive order and many cities provide such regulation.  Some of these Acts go back fourscore years. It has been repeatedly held by this Court that such laws do not violate the Due Process Clause of the Fourteenth Amendment.  Perhaps the first such holding was in the Civil Rights Cases themselves, where Mr. Justice Bradley for the Court inferentially found that innkeepers, 'by the laws of all the States, so far as we are aware, are bound, to the extent of their facilities, to furnish proper accommodation to all unobjectionable persons who in good faith apply for them.' .</w:t>
      </w:r>
    </w:p>
    <w:p w14:paraId="02592CF0"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 xml:space="preserve">The following statutes indicate States which have enacted public accommodation laws: </w:t>
      </w:r>
    </w:p>
    <w:p w14:paraId="321DB474"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 xml:space="preserve"> to ;  to ; Colo.Rev.Stat.Ann., ss 25--1--1 to 25--2--5 (1953);  Supp.); Del.Code Ann., Tit. 6, c. 45 (1963);  to  Supp.); Ill.Ann.Stat. (Smith-Hurd ed.), c. 38, ss 13--1 to 13--4 (1964), c. 43, s 133 (1944); Ind.Ann.Stat. (Burns ed.), ss 10--901 to 10--914 (1956, and 1963 Supp.); Iowa Code Ann., ss 735.1 and 735.2 (1950);  Supp.); Me.Rev.Stat.Ann., c. 137, s 50 (1954); ;  and ,  and  Supp.); Mich.Stat.Ann., ss 28.343 and 28.344 (1962); ; Mont.Rev.Codes Ann., s 64--211 (1962);  and ; N.H.Rev.Stat.Ann., ss 354:1, 354:2, 354:4 and 354:5 (1955, and 1963 Supp.);   to , ss 18:25--1 to 18:25--6 (1964 Supp.);  to 49--8--7 (1963 Supp.); N.Y.Civil Rights Law (McKinney ed.), Art. 4, ss 40 and 41 (1948, and 1964 Supp.), Exec. Law, Art. 15, ss 290 to 301 (1951, and 1964 Supp.), Penal Law, Art. 46, ss 513 to 515 (1944); --30 (1963 Supp.); Ohio Rev.Code Ann. (Page's ed.), ss 2901.35 and 2901.36 (1954); ,  and ; Pa.Stat.Ann., Tit. 18, s 4654 (1963);  to ; S.Dak.Sess.Laws, c. 58 (1963);  and 1452 (1958);  to , and ; ; Wyo.Stat.Ann., ss 6--83.1 and 6--83.2 (1963 Supp.). </w:t>
      </w:r>
    </w:p>
    <w:p w14:paraId="38A081A3" w14:textId="77777777" w:rsidR="00DB2F17" w:rsidRPr="0019267D" w:rsidRDefault="00FC0E5D">
      <w:pPr>
        <w:widowControl w:val="0"/>
        <w:autoSpaceDE w:val="0"/>
        <w:autoSpaceDN w:val="0"/>
        <w:adjustRightInd w:val="0"/>
        <w:ind w:left="720"/>
        <w:jc w:val="both"/>
        <w:rPr>
          <w:rFonts w:ascii="Arial" w:hAnsi="Arial"/>
          <w:sz w:val="18"/>
        </w:rPr>
      </w:pPr>
      <w:r w:rsidRPr="0019267D">
        <w:rPr>
          <w:rFonts w:ascii="Arial" w:hAnsi="Arial"/>
          <w:sz w:val="18"/>
        </w:rPr>
        <w:t>In 1963 the Governor of Kentucky issued an executive order requiring all governmental agencies involved in the supervision or licensing of businesses to take all lawful action necessary to prevent racial discrimination.</w:t>
      </w:r>
    </w:p>
    <w:p w14:paraId="009A1D3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As we have pointed out, 32 States now have such provisions and no case has been cited to us where the attack on a state statute has been successful, either in federal or state courts.  Indeed, in some cases the Due Process and Equal Protection Clause objections have been specifically discarded in this Court.  .  As a result the constitutionality of such state statutes stands unquestioned.  'The authority of the Federal government over interstate commerce does not differ,' it was held in , 'in extent or character from that retained by the states over intrastate commerce.'  At 569--570,   See also .</w:t>
      </w:r>
    </w:p>
    <w:p w14:paraId="33606A8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It is doubtful if in the long run appellant will suffer economic loss as a result of the Act. Experience is to the contrary where discrimination is completely obliterated as to all public accommodations.  But whether this be true or not is of no consequence since this Court has specifically held that the fact that a 'member of the class which is regulated may suffer economic losses not shared by others * * * has never been a barrier' to such legislation.   Likewise in a long line of cases this Court has rejected the claim that the prohibition of racial discrimination in public accommodations interferes with personal liberty.  See , and cases there cited, where we concluded that Congress had delegated law-making power to the District of Columbia 'as broad as the police power of a state' which included the power to adopt a 'law prohibiting discriminations against Negroes by the owners and managers of restaurants in the   Neither do we find any merit in the claim that the Act is a taking of property without just compensation.  The cases are to the contrary.  See ; ; .</w:t>
      </w:r>
    </w:p>
    <w:p w14:paraId="14E38DD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We find no merit in the remainder of appellant's contentions, including that of 'involuntary servitude.'  As we have seen, 32 States prohibit racial discrimination in public accommodations.  These laws but codify the common-law innkeeper rule which long predated the Thirteenth Amendment.  It is difficult to believe that the Amendment was intended to abrogate this principle.  Indeed, the opinion of the Court in the Civil Rights Cases is to the contrary as we have seen, it having noted with approval the laws of 'all the States' prohibiting discrimination.  We could not say that the requirements of the Act in this regard are in any way 'akin to African slavery.'  .</w:t>
      </w:r>
    </w:p>
    <w:p w14:paraId="78C468E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We, therefore, conclude that the action of the Congress in the adoption of the Act as applied here to a motel which concededly serves interstate travelers is within the power granted it by the Commerce Clause of the Constitution, as interpreted by this Court for 140 years.  It may be argued that Congress could have pursued other methods to eliminate the obstructions it found in </w:t>
      </w:r>
      <w:r w:rsidRPr="0019267D">
        <w:rPr>
          <w:rFonts w:ascii="Arial" w:hAnsi="Arial"/>
          <w:sz w:val="18"/>
        </w:rPr>
        <w:lastRenderedPageBreak/>
        <w:t>interstate commerce caused by racial discrimination.  But this is a matter of policy that rests entirely with the Congress not with the courts. How obstructions in commerce may be removed--what means are to be employed--is within the sound and exclusive discretion of the Congress.  It is subject only to one caveat--that the means chosen by it must be reasonably adapted to the end permitted by the Constitution.  We cannot say that its choice here was not so adapted.  The Constitution requires no more.</w:t>
      </w:r>
    </w:p>
    <w:p w14:paraId="21FA0DB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Affirmed.</w:t>
      </w:r>
    </w:p>
    <w:p w14:paraId="10EC53BD" w14:textId="77777777" w:rsidR="00DB2F17" w:rsidRPr="0019267D" w:rsidRDefault="00DB2F17">
      <w:pPr>
        <w:widowControl w:val="0"/>
        <w:autoSpaceDE w:val="0"/>
        <w:autoSpaceDN w:val="0"/>
        <w:adjustRightInd w:val="0"/>
        <w:rPr>
          <w:rFonts w:ascii="Arial" w:hAnsi="Arial"/>
          <w:sz w:val="18"/>
        </w:rPr>
      </w:pPr>
    </w:p>
    <w:p w14:paraId="5555269E" w14:textId="77777777" w:rsidR="00DB2F17" w:rsidRPr="0019267D" w:rsidRDefault="00DB2F17">
      <w:pPr>
        <w:widowControl w:val="0"/>
        <w:autoSpaceDE w:val="0"/>
        <w:autoSpaceDN w:val="0"/>
        <w:adjustRightInd w:val="0"/>
        <w:rPr>
          <w:rFonts w:ascii="Arial" w:hAnsi="Arial"/>
          <w:sz w:val="18"/>
        </w:rPr>
      </w:pPr>
    </w:p>
    <w:p w14:paraId="3EB754A3" w14:textId="77777777" w:rsidR="00DB2F17" w:rsidRPr="0019267D" w:rsidRDefault="00FC0E5D">
      <w:pPr>
        <w:rPr>
          <w:rFonts w:ascii="Arial" w:hAnsi="Arial"/>
        </w:rPr>
      </w:pPr>
      <w:r w:rsidRPr="0019267D">
        <w:rPr>
          <w:rFonts w:ascii="Arial" w:hAnsi="Arial"/>
          <w:b/>
          <w:i/>
          <w:sz w:val="72"/>
        </w:rPr>
        <w:t>Case 2.2</w:t>
      </w:r>
    </w:p>
    <w:p w14:paraId="1A36D7DF" w14:textId="77777777" w:rsidR="00DB2F17" w:rsidRPr="0019267D" w:rsidRDefault="00DB2F17">
      <w:pPr>
        <w:rPr>
          <w:rFonts w:ascii="Arial" w:hAnsi="Arial"/>
        </w:rPr>
      </w:pPr>
    </w:p>
    <w:p w14:paraId="450433A5" w14:textId="77777777" w:rsidR="00DB2F17" w:rsidRPr="0019267D" w:rsidRDefault="00FC0E5D">
      <w:pPr>
        <w:tabs>
          <w:tab w:val="left" w:pos="720"/>
        </w:tabs>
        <w:jc w:val="both"/>
        <w:rPr>
          <w:rFonts w:ascii="Arial" w:hAnsi="Arial"/>
        </w:rPr>
      </w:pPr>
      <w:r w:rsidRPr="0019267D">
        <w:rPr>
          <w:rFonts w:ascii="Arial" w:hAnsi="Arial"/>
        </w:rPr>
        <w:t>134 F.3d 87</w:t>
      </w:r>
    </w:p>
    <w:p w14:paraId="4D3E0C2B" w14:textId="77777777" w:rsidR="00DB2F17" w:rsidRPr="0019267D" w:rsidRDefault="00FC0E5D">
      <w:pPr>
        <w:tabs>
          <w:tab w:val="left" w:pos="720"/>
        </w:tabs>
        <w:jc w:val="both"/>
        <w:rPr>
          <w:rFonts w:ascii="Arial" w:hAnsi="Arial"/>
        </w:rPr>
      </w:pPr>
      <w:r w:rsidRPr="0019267D">
        <w:rPr>
          <w:rFonts w:ascii="Arial" w:hAnsi="Arial"/>
        </w:rPr>
        <w:t xml:space="preserve"> (Cite as: 134 F.3d 87)</w:t>
      </w:r>
    </w:p>
    <w:p w14:paraId="6065B58C" w14:textId="77777777" w:rsidR="00DB2F17" w:rsidRPr="0019267D" w:rsidRDefault="00FC0E5D">
      <w:pPr>
        <w:tabs>
          <w:tab w:val="left" w:pos="720"/>
        </w:tabs>
        <w:jc w:val="both"/>
        <w:rPr>
          <w:rFonts w:ascii="Arial" w:hAnsi="Arial"/>
          <w:b/>
        </w:rPr>
      </w:pPr>
      <w:r w:rsidRPr="0019267D">
        <w:rPr>
          <w:rFonts w:ascii="Arial" w:hAnsi="Arial"/>
          <w:b/>
        </w:rPr>
        <w:t>BAD FROG BREWERY, INC., Plaintiff-Appellant,</w:t>
      </w:r>
    </w:p>
    <w:p w14:paraId="38F2933A" w14:textId="77777777" w:rsidR="00DB2F17" w:rsidRPr="0019267D" w:rsidRDefault="00FC0E5D">
      <w:pPr>
        <w:tabs>
          <w:tab w:val="left" w:pos="720"/>
        </w:tabs>
        <w:jc w:val="both"/>
        <w:rPr>
          <w:rFonts w:ascii="Arial" w:hAnsi="Arial"/>
          <w:b/>
        </w:rPr>
      </w:pPr>
      <w:r w:rsidRPr="0019267D">
        <w:rPr>
          <w:rFonts w:ascii="Arial" w:hAnsi="Arial"/>
          <w:b/>
        </w:rPr>
        <w:t>v.</w:t>
      </w:r>
    </w:p>
    <w:p w14:paraId="4D06E9F7" w14:textId="77777777" w:rsidR="00DB2F17" w:rsidRPr="0019267D" w:rsidRDefault="00FC0E5D">
      <w:pPr>
        <w:tabs>
          <w:tab w:val="left" w:pos="720"/>
        </w:tabs>
        <w:jc w:val="both"/>
        <w:rPr>
          <w:rFonts w:ascii="Arial" w:hAnsi="Arial"/>
          <w:b/>
        </w:rPr>
      </w:pPr>
      <w:r w:rsidRPr="0019267D">
        <w:rPr>
          <w:rFonts w:ascii="Arial" w:hAnsi="Arial"/>
          <w:b/>
        </w:rPr>
        <w:t>NEW YORK STATE LIQUOR AUTHORITY, Anthony J. Casale, Lawrence J. Gedda, Edward F. Kelly, individually and as members of the New York State Liquor Authority,  Defendants-Appellees.</w:t>
      </w:r>
    </w:p>
    <w:p w14:paraId="1D4A9707" w14:textId="77777777" w:rsidR="00DB2F17" w:rsidRPr="0019267D" w:rsidRDefault="00FC0E5D">
      <w:pPr>
        <w:tabs>
          <w:tab w:val="left" w:pos="720"/>
        </w:tabs>
        <w:jc w:val="both"/>
        <w:rPr>
          <w:rFonts w:ascii="Arial" w:hAnsi="Arial"/>
          <w:sz w:val="18"/>
        </w:rPr>
      </w:pPr>
      <w:r w:rsidRPr="0019267D">
        <w:rPr>
          <w:rFonts w:ascii="Arial" w:hAnsi="Arial"/>
          <w:sz w:val="18"/>
        </w:rPr>
        <w:t>No. 1080, Docket 97-7949.</w:t>
      </w:r>
    </w:p>
    <w:p w14:paraId="5190A967" w14:textId="77777777" w:rsidR="00DB2F17" w:rsidRPr="0019267D" w:rsidRDefault="00FC0E5D">
      <w:pPr>
        <w:tabs>
          <w:tab w:val="left" w:pos="720"/>
        </w:tabs>
        <w:jc w:val="both"/>
        <w:rPr>
          <w:rFonts w:ascii="Arial" w:hAnsi="Arial"/>
          <w:sz w:val="18"/>
        </w:rPr>
      </w:pPr>
      <w:r w:rsidRPr="0019267D">
        <w:rPr>
          <w:rFonts w:ascii="Arial" w:hAnsi="Arial"/>
          <w:sz w:val="18"/>
        </w:rPr>
        <w:t>United States Court of Appeals,Second Circuit.</w:t>
      </w:r>
    </w:p>
    <w:p w14:paraId="35BFC7A9" w14:textId="77777777" w:rsidR="00DB2F17" w:rsidRPr="0019267D" w:rsidRDefault="00FC0E5D">
      <w:pPr>
        <w:tabs>
          <w:tab w:val="left" w:pos="720"/>
        </w:tabs>
        <w:jc w:val="both"/>
        <w:rPr>
          <w:rFonts w:ascii="Arial" w:hAnsi="Arial"/>
          <w:sz w:val="18"/>
        </w:rPr>
      </w:pPr>
      <w:r w:rsidRPr="0019267D">
        <w:rPr>
          <w:rFonts w:ascii="Arial" w:hAnsi="Arial"/>
          <w:sz w:val="18"/>
        </w:rPr>
        <w:t>Argued Oct. 22, 1997.</w:t>
      </w:r>
    </w:p>
    <w:p w14:paraId="195B5FCF" w14:textId="77777777" w:rsidR="00DB2F17" w:rsidRPr="0019267D" w:rsidRDefault="00FC0E5D">
      <w:pPr>
        <w:tabs>
          <w:tab w:val="left" w:pos="720"/>
        </w:tabs>
        <w:jc w:val="both"/>
        <w:rPr>
          <w:rFonts w:ascii="Arial" w:hAnsi="Arial"/>
          <w:sz w:val="18"/>
        </w:rPr>
      </w:pPr>
      <w:r w:rsidRPr="0019267D">
        <w:rPr>
          <w:rFonts w:ascii="Arial" w:hAnsi="Arial"/>
          <w:sz w:val="18"/>
        </w:rPr>
        <w:t>Decided Jan. 15, 1998.</w:t>
      </w:r>
    </w:p>
    <w:p w14:paraId="617751A1" w14:textId="77777777" w:rsidR="00DB2F17" w:rsidRPr="0019267D" w:rsidRDefault="00FC0E5D">
      <w:pPr>
        <w:tabs>
          <w:tab w:val="left" w:pos="720"/>
        </w:tabs>
        <w:jc w:val="both"/>
        <w:rPr>
          <w:rFonts w:ascii="Arial" w:hAnsi="Arial"/>
          <w:sz w:val="18"/>
        </w:rPr>
      </w:pPr>
      <w:r w:rsidRPr="0019267D">
        <w:rPr>
          <w:rFonts w:ascii="Arial" w:hAnsi="Arial"/>
          <w:sz w:val="18"/>
        </w:rPr>
        <w:t>JON O. NEWMAN, Circuit Judge:</w:t>
      </w:r>
    </w:p>
    <w:p w14:paraId="398367A1" w14:textId="77777777" w:rsidR="00DB2F17" w:rsidRPr="0019267D" w:rsidRDefault="00FC0E5D">
      <w:pPr>
        <w:tabs>
          <w:tab w:val="left" w:pos="720"/>
        </w:tabs>
        <w:jc w:val="both"/>
        <w:rPr>
          <w:rFonts w:ascii="Arial" w:hAnsi="Arial"/>
          <w:sz w:val="18"/>
        </w:rPr>
      </w:pPr>
      <w:r w:rsidRPr="0019267D">
        <w:rPr>
          <w:rFonts w:ascii="Arial" w:hAnsi="Arial"/>
          <w:sz w:val="18"/>
        </w:rPr>
        <w:t>A picture of a frog with the second of its four unwebbed "fingers" extended in a manner evocative of a well known human gesture of insult has presented this Court with significant issues concerning First Amendment protections for commercial speech.  The frog appears on labels that Bad Frog Brewery, Inc. ("Bad Frog") sought permission to use on bottles of its beer products.  The New York State Liquor Authority ("NYSLA" or "the Authority") denied Bad Frog's application.</w:t>
      </w:r>
    </w:p>
    <w:p w14:paraId="012B52AD"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 appeals from the July 29, 1997, judgment of the District Court for the Northern District of New York (Frederic J. Scullin, Jr., Judge) granting summary judgment in favor of NYSLA and its three Commissioners and rejecting Bad Frog's commercial free speech challenge to NYSLA's decision.  We conclude that the State's prohibition of the labels from use in all circumstances does not materially advance its asserted interests in insulating children from vulgarity or promoting temperance, and is not narrowly tailored to the interest concerning children.  We therefore reverse the judgment insofar as it denied Bad Frog's federal claims for injunctive relief with respect to the disapproval of its labels.  We affirm, on the ground of immunity, the dismissal of Bad Frog's federal damage claims against the commissioner defendants, and affirm the dismissal of Bad Frog's state law damage claims on the ground that novel and uncertain issues of state law render this an inappropriate case for the exercise of supplemental jurisdiction.</w:t>
      </w:r>
    </w:p>
    <w:p w14:paraId="760F5963" w14:textId="77777777" w:rsidR="00DB2F17" w:rsidRPr="0019267D" w:rsidRDefault="00FC0E5D">
      <w:pPr>
        <w:tabs>
          <w:tab w:val="left" w:pos="720"/>
        </w:tabs>
        <w:jc w:val="both"/>
        <w:rPr>
          <w:rFonts w:ascii="Arial" w:hAnsi="Arial"/>
          <w:sz w:val="18"/>
        </w:rPr>
      </w:pPr>
      <w:r w:rsidRPr="0019267D">
        <w:rPr>
          <w:rFonts w:ascii="Arial" w:hAnsi="Arial"/>
          <w:sz w:val="18"/>
        </w:rPr>
        <w:t>Background</w:t>
      </w:r>
    </w:p>
    <w:p w14:paraId="45E5210E" w14:textId="77777777" w:rsidR="00DB2F17" w:rsidRPr="0019267D" w:rsidRDefault="00FC0E5D">
      <w:pPr>
        <w:tabs>
          <w:tab w:val="left" w:pos="720"/>
        </w:tabs>
        <w:jc w:val="both"/>
        <w:rPr>
          <w:rFonts w:ascii="Arial" w:hAnsi="Arial"/>
          <w:sz w:val="18"/>
        </w:rPr>
      </w:pPr>
      <w:r w:rsidRPr="0019267D">
        <w:rPr>
          <w:rFonts w:ascii="Arial" w:hAnsi="Arial"/>
          <w:sz w:val="18"/>
        </w:rPr>
        <w:t>Bad Frog is a Michigan corporation that manufactures and markets several different types of alcoholic beverages under its "Bad Frog" trademark.  This action concerns labels used by the company in the marketing of Bad Frog Beer, Bad Frog Lemon Lager, and Bad Frog Malt Liquor.  Each label prominently features an artist's rendering of *91 a frog holding up its four-"fingered" right "hand," with the back of the "hand" shown, the second "finger" extended, and the other three "fingers" slightly curled.  The membranous webbing that connects the digits of a real frog's foot is absent from the drawing, enhancing the prominence of the extended "finger."  Bad Frog does not dispute that the frog depicted in the label artwork is making the gesture generally known as "giving the finger" and that the gesture is widely regarded as an offensive insult, conveying a message that the company has characterized as "traditionally ... negative and nasty." [FN1]  Versions of the label feature slogans such as "He just don't care," "An amphibian with an attitude," "Turning bad into good," and "The beer so good ... it's bad."  Another slogan, originally used but now abandoned, was "He's mean, green and obscene."</w:t>
      </w:r>
    </w:p>
    <w:p w14:paraId="0231DF4C" w14:textId="77777777" w:rsidR="00DB2F17" w:rsidRPr="0019267D" w:rsidRDefault="00FC0E5D">
      <w:pPr>
        <w:tabs>
          <w:tab w:val="left" w:pos="720"/>
        </w:tabs>
        <w:jc w:val="both"/>
        <w:rPr>
          <w:rFonts w:ascii="Arial" w:hAnsi="Arial"/>
          <w:sz w:val="18"/>
        </w:rPr>
      </w:pPr>
      <w:r w:rsidRPr="0019267D">
        <w:rPr>
          <w:rFonts w:ascii="Arial" w:hAnsi="Arial"/>
          <w:sz w:val="18"/>
        </w:rPr>
        <w:t xml:space="preserve">FN1. The gesture, also sometimes referred to as "flipping the bird," see New Dictionary of American Slang 133, 141 (1986), is acknowledged by Bad Frog to convey, among other things, the message "fuck you."  The District Court found that the gesture "connotes a patently offensive suggestion," presumably a suggestion to having intercourse with one's self. </w:t>
      </w:r>
    </w:p>
    <w:p w14:paraId="4E50057B" w14:textId="77777777" w:rsidR="00DB2F17" w:rsidRPr="0019267D" w:rsidRDefault="00FC0E5D">
      <w:pPr>
        <w:tabs>
          <w:tab w:val="left" w:pos="720"/>
        </w:tabs>
        <w:jc w:val="both"/>
        <w:rPr>
          <w:rFonts w:ascii="Arial" w:hAnsi="Arial"/>
          <w:sz w:val="18"/>
        </w:rPr>
      </w:pPr>
      <w:r w:rsidRPr="0019267D">
        <w:rPr>
          <w:rFonts w:ascii="Arial" w:hAnsi="Arial"/>
          <w:sz w:val="18"/>
        </w:rPr>
        <w:lastRenderedPageBreak/>
        <w:t>Hand gestures signifying an insult have been in use throughout the world for many centuries.  The gesture of the extended middle finger is said to have been used by Diogenes to insult Demosthenes.  See Betty J. Bauml &amp; Franz H. Bauml, Dictionary of Worldwide Gestures 159 (2d ed.1997).  Other hand gestures regarded as insults in some countries include an extended right thumb, an extended little finger, and raised index and middle fingers, not to mention those effected with two hands.  See id.</w:t>
      </w:r>
    </w:p>
    <w:p w14:paraId="6EEF133A" w14:textId="77777777" w:rsidR="00DB2F17" w:rsidRPr="0019267D" w:rsidRDefault="00FC0E5D">
      <w:pPr>
        <w:tabs>
          <w:tab w:val="left" w:pos="720"/>
        </w:tabs>
        <w:jc w:val="both"/>
        <w:rPr>
          <w:rFonts w:ascii="Arial" w:hAnsi="Arial"/>
          <w:sz w:val="18"/>
        </w:rPr>
      </w:pPr>
      <w:r w:rsidRPr="0019267D">
        <w:rPr>
          <w:rFonts w:ascii="Arial" w:hAnsi="Arial"/>
          <w:sz w:val="18"/>
        </w:rPr>
        <w:t xml:space="preserve">Bad Frog's labels have been approved for use by the Federal Bureau of Alcohol, Tobacco, and Firearms, and by authorities in at least 15 states and the District of Columbia, but have been rejected by authorities in New Jersey, Ohio, and Pennsylvania. In May 1996, Bad Frog's authorized New York distributor, Renaissance Beer Co., made an initial application to NYSLA for brand label approval and registration pursuant to section 107-a(4)(a) of New York's Alcoholic Beverage Control Law. See N.Y. Alco. Bev. Cont. Law § 107-a(4)(a) (McKinney 1987 &amp; Supp.1997).  NYSLA denied that application in July. Bad Frog filed a new application in August, resubmitting the prior labels and slogans, but omitting the label with the slogan "He's mean, green and obscene," a slogan the Authority had previously found rendered the entire label obscene.  That slogan was replaced with a new slogan, "Turning bad into good."  The second application, like the first, included promotional material making the extravagant claim that the frog's gesture, whatever its past meaning in other contexts, now means "I want a Bad Frog beer," and that the company's goal was to claim the gesture as its own and as a symbol of peace, solidarity, and good will. In September 1996, NYSLA denied Bad Frog's second application, finding Bad Frog's contention as to the meaning of the frog's gesture "ludicrous and disingenuous."  NYSLA letter to Renaissance Beer Co. at 2 (Sept. 18, 1996) ("NYSLA Decision").  Explaining its rationale for the rejection, the Authority found that the label "encourages combative behavior" and that the gesture and the slogan, "He just don't care," placed close to and in larger type than a warning concerning potential health problems, </w:t>
      </w:r>
    </w:p>
    <w:p w14:paraId="64C19D37" w14:textId="77777777" w:rsidR="00DB2F17" w:rsidRPr="0019267D" w:rsidRDefault="00FC0E5D">
      <w:pPr>
        <w:tabs>
          <w:tab w:val="left" w:pos="720"/>
        </w:tabs>
        <w:jc w:val="both"/>
        <w:rPr>
          <w:rFonts w:ascii="Arial" w:hAnsi="Arial"/>
          <w:sz w:val="18"/>
        </w:rPr>
      </w:pPr>
      <w:r w:rsidRPr="0019267D">
        <w:rPr>
          <w:rFonts w:ascii="Arial" w:hAnsi="Arial"/>
          <w:sz w:val="18"/>
        </w:rPr>
        <w:t xml:space="preserve">foster a defiance to the health warning on the label, entice underage drinkers, and invite the public not to heed conventional wisdom and to disobey standards of decorum. </w:t>
      </w:r>
    </w:p>
    <w:p w14:paraId="72B93EA3" w14:textId="77777777" w:rsidR="00DB2F17" w:rsidRPr="0019267D" w:rsidRDefault="00FC0E5D">
      <w:pPr>
        <w:tabs>
          <w:tab w:val="left" w:pos="720"/>
        </w:tabs>
        <w:jc w:val="both"/>
        <w:rPr>
          <w:rFonts w:ascii="Arial" w:hAnsi="Arial"/>
          <w:sz w:val="18"/>
        </w:rPr>
      </w:pPr>
      <w:r w:rsidRPr="0019267D">
        <w:rPr>
          <w:rFonts w:ascii="Arial" w:hAnsi="Arial"/>
          <w:sz w:val="18"/>
        </w:rPr>
        <w:t xml:space="preserve"> Id. at 3. In addition, the Authority said that it considered that approval of this label means that the label could appear in grocery and convenience stores, with obvious exposure on the shelf to children of tender age id., and that it is sensitive to and has concern as to [the label's] adverse effects on such a youthful audience. </w:t>
      </w:r>
    </w:p>
    <w:p w14:paraId="47A4F67D" w14:textId="77777777" w:rsidR="00DB2F17" w:rsidRPr="0019267D" w:rsidRDefault="00FC0E5D">
      <w:pPr>
        <w:tabs>
          <w:tab w:val="left" w:pos="720"/>
        </w:tabs>
        <w:jc w:val="both"/>
        <w:rPr>
          <w:rFonts w:ascii="Arial" w:hAnsi="Arial"/>
          <w:sz w:val="18"/>
        </w:rPr>
      </w:pPr>
      <w:r w:rsidRPr="0019267D">
        <w:rPr>
          <w:rFonts w:ascii="Arial" w:hAnsi="Arial"/>
          <w:sz w:val="18"/>
        </w:rPr>
        <w:t xml:space="preserve"> Id. Finally, the Authority said that it has considered that within the state of New York, the gesture of "giving the finger" to someone, has the insulting meaning of "Fuck You," or "Up Yours," ... a confrontational, obscene gesture, known to lead to fights, shootings and homicides ... [,] concludes that the encouraged use of this gesture in licensed premises is akin to *92 yelling "fire" in a crowded theatre, ... [and] finds that to approve this admittedly obscene, provocative confrontational gesture, would not be conducive to proper regulation and control and would tend to adversely affect the health, safety and welfare of the People of the State of New York. </w:t>
      </w:r>
    </w:p>
    <w:p w14:paraId="1E90FC3E" w14:textId="77777777" w:rsidR="00DB2F17" w:rsidRPr="0019267D" w:rsidRDefault="00FC0E5D">
      <w:pPr>
        <w:tabs>
          <w:tab w:val="left" w:pos="720"/>
        </w:tabs>
        <w:jc w:val="both"/>
        <w:rPr>
          <w:rFonts w:ascii="Arial" w:hAnsi="Arial"/>
          <w:sz w:val="18"/>
        </w:rPr>
      </w:pPr>
      <w:r w:rsidRPr="0019267D">
        <w:rPr>
          <w:rFonts w:ascii="Arial" w:hAnsi="Arial"/>
          <w:sz w:val="18"/>
        </w:rPr>
        <w:t xml:space="preserve"> Id.</w:t>
      </w:r>
    </w:p>
    <w:p w14:paraId="3B29A067"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 filed the present action in October 1996 and sought a preliminary injunction barring NYSLA from taking any steps to prohibit the sale of beer by Bad Frog under the controversial labels.  The District Court denied the motion on the ground that Bad Frog had not established a likelihood of success on the merits.  See Bad Frog Brewery, Inc. v. New York State Liquor Authority, No. 96-CV-1668, 1996 WL 705786 (N.D.N.Y. Dec. 5, 1996).  The Court determined that NYSLA's decision appeared to be a permissible restriction on commercial speech under Central Hudson Gas &amp; Electric Corp. v. Public Service Commission, 447 U.S. 557, 100 S.Ct. 2343, 65 L.Ed.2d 341 (1980), and that Bad Frog's state law claims appeared to be barred by the Eleventh Amendment.</w:t>
      </w:r>
    </w:p>
    <w:p w14:paraId="46FB6D01"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parties then filed cross motions for summary judgment, and the District Court granted NYSLA's motion.  See Bad Frog Brewery, Inc. v. New York State Liquor Authority, 973 F.Supp. 280 (N.D.N.Y.1997).  The Court reiterated the views expressed in denying a preliminary injunction that the labels were commercial speech within the meaning of Central Hudson and that the first prong of Central Hudson was satisfied because the labels concerned a lawful activity and were not misleading.  Id. at 282.  Turning to the second prong of Central Hudson, the Court considered two interests, advanced by the State as substantial:  (a) "promoting temperance and respect for the law" and (b) "protecting minors from profane advertising."  Id. at 283.</w:t>
      </w:r>
    </w:p>
    <w:p w14:paraId="3691942F" w14:textId="77777777" w:rsidR="00DB2F17" w:rsidRPr="0019267D" w:rsidRDefault="00FC0E5D">
      <w:pPr>
        <w:tabs>
          <w:tab w:val="left" w:pos="720"/>
        </w:tabs>
        <w:jc w:val="both"/>
        <w:rPr>
          <w:rFonts w:ascii="Arial" w:hAnsi="Arial"/>
          <w:sz w:val="18"/>
        </w:rPr>
      </w:pPr>
      <w:r w:rsidRPr="0019267D">
        <w:rPr>
          <w:rFonts w:ascii="Arial" w:hAnsi="Arial"/>
          <w:sz w:val="18"/>
        </w:rPr>
        <w:t xml:space="preserve"> Assessing these interests under the third prong of Central Hudson, the Court ruled that the State had failed to show that the rejection of Bad Frog's labels "directly and materially advances the substantial governmental interest in temperance and respect for the law."  Id. at 286.  In reaching this conclusion the Court appears to have accepted Bad Frog's contention that marketing gimmicks for beer such as the "Budweiser Frogs," "Spuds Mackenzie," the "Bud-Ice Penguins," and the "Red Dog" of Red Dog Beer ... virtually indistinguishable from the Plaintiff's frog ... promote intemperate behavior in the same way that the Defendants have alleged Plaintiff's label would ... [and therefore the] regulation of the Plaintiff's label will have no tangible effect on underage drinking or intemperate behavior in general. </w:t>
      </w:r>
    </w:p>
    <w:p w14:paraId="09EE9A3B" w14:textId="77777777" w:rsidR="00DB2F17" w:rsidRPr="0019267D" w:rsidRDefault="00FC0E5D">
      <w:pPr>
        <w:tabs>
          <w:tab w:val="left" w:pos="720"/>
        </w:tabs>
        <w:jc w:val="both"/>
        <w:rPr>
          <w:rFonts w:ascii="Arial" w:hAnsi="Arial"/>
          <w:sz w:val="18"/>
        </w:rPr>
      </w:pPr>
      <w:r w:rsidRPr="0019267D">
        <w:rPr>
          <w:rFonts w:ascii="Arial" w:hAnsi="Arial"/>
          <w:sz w:val="18"/>
        </w:rPr>
        <w:t xml:space="preserve"> Id.</w:t>
      </w:r>
    </w:p>
    <w:p w14:paraId="219F8408" w14:textId="77777777" w:rsidR="00DB2F17" w:rsidRPr="0019267D" w:rsidRDefault="00FC0E5D">
      <w:pPr>
        <w:tabs>
          <w:tab w:val="left" w:pos="720"/>
        </w:tabs>
        <w:jc w:val="both"/>
        <w:rPr>
          <w:rFonts w:ascii="Arial" w:hAnsi="Arial"/>
          <w:sz w:val="18"/>
        </w:rPr>
      </w:pPr>
      <w:r w:rsidRPr="0019267D">
        <w:rPr>
          <w:rFonts w:ascii="Arial" w:hAnsi="Arial"/>
          <w:sz w:val="18"/>
        </w:rPr>
        <w:t xml:space="preserve"> However, the Court accepted the State's contention that the label rejection would advance the governmental interest in protecting children from advertising that was "profane," in the sense of "vulgar."  Id. at 285 (citing Webster's II New Riverside Dictionary 559 (1984)).  The Court acknowledged the State's failure to present evidence to show that the label rejection would advance this interest, but ruled that such evidence was required in cases "where the interest advanced by the Government was only incidental </w:t>
      </w:r>
      <w:r w:rsidRPr="0019267D">
        <w:rPr>
          <w:rFonts w:ascii="Arial" w:hAnsi="Arial"/>
          <w:sz w:val="18"/>
        </w:rPr>
        <w:lastRenderedPageBreak/>
        <w:t xml:space="preserve">or tangential to the government's regulation of speech," id. at 285 (citing 44 Liquormart, Inc. v. Rhode Island, 517 U.S. 484, ---- - ----, 116 S.Ct. 1495, 1508-09, 134 L.Ed.2d 711 (1996);  Rubin v. Coors Brewing Co., 514 U.S. 476, 487-88, 115 S.Ct. 1585, 1592, 131 L.Ed.2d 532 (1995);  City of Cincinnati v. Discovery Network, Inc., 507 U.S. 410, 428, 113 S.Ct. 1505, 1516, 123 L.Ed.2d 99 (1993);  Bolger v. Youngs Drug Products Corp., 463 U.S. 60, 73, 103 S.Ct. 2875, 2883-84, 77 L.Ed.2d 469 (1983)), but not in cases "where the link between the regulation and the government interest advanced is self evident," 973 F.Supp. at 285 (citing Florida Bar v. Went for It, Inc., 515 U.S. 618, 625- 27, 115 S.Ct. 2371, 2376-78, 132 L.Ed.2d 541 (1995);  Posadas de Puerto Rico Associates v. Tourism Co., 478 U.S. 328, 341-42, 106 S.Ct. 2968, 2976-77, 92 L.Ed.2d 266 (1986)).  The Court concluded that common sense requires this Court to conclude that the prohibition of the use of the profane image on the label in question will necessarily limit the exposure of minors in *93 New York to that specific profane image. Thus, to that extent, the asserted government interest in protecting children from exposure to profane advertising is directly and materially advanced. </w:t>
      </w:r>
    </w:p>
    <w:p w14:paraId="7F98DC07" w14:textId="77777777" w:rsidR="00DB2F17" w:rsidRPr="0019267D" w:rsidRDefault="00FC0E5D">
      <w:pPr>
        <w:tabs>
          <w:tab w:val="left" w:pos="720"/>
        </w:tabs>
        <w:jc w:val="both"/>
        <w:rPr>
          <w:rFonts w:ascii="Arial" w:hAnsi="Arial"/>
          <w:sz w:val="18"/>
        </w:rPr>
      </w:pPr>
      <w:r w:rsidRPr="0019267D">
        <w:rPr>
          <w:rFonts w:ascii="Arial" w:hAnsi="Arial"/>
          <w:sz w:val="18"/>
        </w:rPr>
        <w:t xml:space="preserve"> 973 F.Supp. at 286.</w:t>
      </w:r>
    </w:p>
    <w:p w14:paraId="263DF06E" w14:textId="77777777" w:rsidR="00DB2F17" w:rsidRPr="0019267D" w:rsidRDefault="00FC0E5D">
      <w:pPr>
        <w:tabs>
          <w:tab w:val="left" w:pos="720"/>
        </w:tabs>
        <w:jc w:val="both"/>
        <w:rPr>
          <w:rFonts w:ascii="Arial" w:hAnsi="Arial"/>
          <w:sz w:val="18"/>
        </w:rPr>
      </w:pPr>
      <w:r w:rsidRPr="0019267D">
        <w:rPr>
          <w:rFonts w:ascii="Arial" w:hAnsi="Arial"/>
          <w:sz w:val="18"/>
        </w:rPr>
        <w:t xml:space="preserve"> Finally, the Court ruled that the fourth prong of Central Hudson--narrow tailoring--was met because other restrictions, such as point-of-sale location limitations would only limit exposure of youth to the labels, whereas rejection of the labels would "completely foreclose the possibility" of their being seen by youth.  Id. at 287.  The Court reasoned that a somewhat relaxed test of narrow tailoring was appropriate because Bad Frog's labels conveyed only a "superficial aspect of commercial advertising of no value to the consumer in making an informed purchase," id., unlike the more exacting tailoring required in cases like 44 Liquormart and Rubin, where the material at issue conveyed significant consumer information.</w:t>
      </w:r>
    </w:p>
    <w:p w14:paraId="313D776A"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Court also rejected Bad Frog's void-for-vagueness challenge, id. at 287-88, which is not renewed on appeal, and then declined to exercise supplemental jurisdiction over Bad Frog's pendent state law claims pursuant to 28 U.S.C. § 1367(c)(3) (1994), id. at 288.</w:t>
      </w:r>
    </w:p>
    <w:p w14:paraId="1E1AF3FA" w14:textId="77777777" w:rsidR="00DB2F17" w:rsidRPr="0019267D" w:rsidRDefault="00FC0E5D">
      <w:pPr>
        <w:tabs>
          <w:tab w:val="left" w:pos="720"/>
        </w:tabs>
        <w:jc w:val="both"/>
        <w:rPr>
          <w:rFonts w:ascii="Arial" w:hAnsi="Arial"/>
          <w:sz w:val="18"/>
        </w:rPr>
      </w:pPr>
      <w:r w:rsidRPr="0019267D">
        <w:rPr>
          <w:rFonts w:ascii="Arial" w:hAnsi="Arial"/>
          <w:sz w:val="18"/>
        </w:rPr>
        <w:t>Discussion</w:t>
      </w:r>
    </w:p>
    <w:p w14:paraId="0B0E88D4" w14:textId="77777777" w:rsidR="00DB2F17" w:rsidRPr="0019267D" w:rsidRDefault="00FC0E5D">
      <w:pPr>
        <w:tabs>
          <w:tab w:val="left" w:pos="720"/>
        </w:tabs>
        <w:jc w:val="both"/>
        <w:rPr>
          <w:rFonts w:ascii="Arial" w:hAnsi="Arial"/>
          <w:sz w:val="18"/>
        </w:rPr>
      </w:pPr>
      <w:r w:rsidRPr="0019267D">
        <w:rPr>
          <w:rFonts w:ascii="Arial" w:hAnsi="Arial"/>
          <w:sz w:val="18"/>
        </w:rPr>
        <w:t xml:space="preserve"> I. New York's Label Approval Regime and Pullman Abstention</w:t>
      </w:r>
    </w:p>
    <w:p w14:paraId="47A3D9AC" w14:textId="77777777" w:rsidR="00DB2F17" w:rsidRPr="0019267D" w:rsidRDefault="00FC0E5D">
      <w:pPr>
        <w:tabs>
          <w:tab w:val="left" w:pos="720"/>
        </w:tabs>
        <w:jc w:val="both"/>
        <w:rPr>
          <w:rFonts w:ascii="Arial" w:hAnsi="Arial"/>
          <w:sz w:val="18"/>
        </w:rPr>
      </w:pPr>
      <w:r w:rsidRPr="0019267D">
        <w:rPr>
          <w:rFonts w:ascii="Arial" w:hAnsi="Arial"/>
          <w:sz w:val="18"/>
        </w:rPr>
        <w:t xml:space="preserve"> Under New York's Alcoholic Beverage Control Law, labels affixed to liquor, wine, and beer products sold in the State must be registered with and approved by NYSLA in advance of use.  See N.Y. Alco. Bev. Cont. Law § 107-a(4)(a). The statute also empowers NYSLA to promulgate regulations "governing the labeling and offering" of alcoholic beverages, id. § 107-a(1), and directs that regulations "shall be calculated to prohibit deception of the consumer;  to afford him adequate information as to quality and identity;  and to achieve national uniformity in this field in so far as possible," id. § 107-a(2).</w:t>
      </w:r>
    </w:p>
    <w:p w14:paraId="73E27F36" w14:textId="77777777" w:rsidR="00DB2F17" w:rsidRPr="0019267D" w:rsidRDefault="00FC0E5D">
      <w:pPr>
        <w:tabs>
          <w:tab w:val="left" w:pos="720"/>
        </w:tabs>
        <w:jc w:val="both"/>
        <w:rPr>
          <w:rFonts w:ascii="Arial" w:hAnsi="Arial"/>
          <w:sz w:val="18"/>
        </w:rPr>
      </w:pPr>
      <w:r w:rsidRPr="0019267D">
        <w:rPr>
          <w:rFonts w:ascii="Arial" w:hAnsi="Arial"/>
          <w:sz w:val="18"/>
        </w:rPr>
        <w:t xml:space="preserve"> Purporting to implement section 107-a, NYSLA promulgated regulations governing both advertising and labeling of alcoholic beverages.  Signs displayed in the interior of premises licensed to sell alcoholic beverages shall not contain "any statement, design, device, matter or representation which is obscene or indecent or which is obnoxious or offensive to the commonly and generally accepted standard of fitness and good taste" or "any illustration which is not dignified, modest and in good taste."  N.Y. Comp.Codes R. &amp; Regs. tit. ix § 83.3 (1996).  Labels on containers of alcoholic beverages "shall not contain any statement or representation, irrespective of truth or falsity, which, in the judgment of [NYSLA], would tend to deceive the consumer."  Id. § 84.1(e).</w:t>
      </w:r>
    </w:p>
    <w:p w14:paraId="533731C1"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NYSLA's actions raise at least three uncertain issues of state law.  First, there is some doubt as to whether section 83.3 of the regulations, concerning designs that are not "in good taste," is authorized by a statute requiring that regulations shall be calculated to prohibit deception of consumers, increase the flow of truthful information, and/or promote national uniformity.  It is questionable whether a restriction on offensive labels serves any of these statutory goals.  Second, there is some doubt as to whether it was appropriate for NYSLA to apply section 83.3, a regulation governing interior signage, to a product label, especially since the regulations appear to establish separate sets of rules for interior signage and labels.  Third, there is some doubt as to whether section 84.1(e) of the regulations, applicable explicitly to labels, authorizes NYSLA to prohibit labels for any reason other than their tendency to deceive consumers.</w:t>
      </w:r>
    </w:p>
    <w:p w14:paraId="077C8BC3" w14:textId="77777777" w:rsidR="00DB2F17" w:rsidRPr="0019267D" w:rsidRDefault="00FC0E5D">
      <w:pPr>
        <w:tabs>
          <w:tab w:val="left" w:pos="720"/>
        </w:tabs>
        <w:jc w:val="both"/>
        <w:rPr>
          <w:rFonts w:ascii="Arial" w:hAnsi="Arial"/>
          <w:sz w:val="18"/>
        </w:rPr>
      </w:pPr>
      <w:r w:rsidRPr="0019267D">
        <w:rPr>
          <w:rFonts w:ascii="Arial" w:hAnsi="Arial"/>
          <w:sz w:val="18"/>
        </w:rPr>
        <w:t xml:space="preserve"> [1][2] It is well settled that federal courts may not grant declaratory or injunctive relief against a state agency based on violations of state law. See Pennhurst State School and Hospital v. Halderman, 465 U.S. 89, 106, 104 S.Ct. 900, 911, 79 L.Ed.2d 67 (1984).  "The scope of authority of a state agency is a question of state law and not within the jurisdiction of federal courts."  Allen v. Cuomo, 100 F.3d 253, 260 (2d Cir.1996) (citing Pennhurst ).  Moreover, where a federal constitutional claim turns on an uncertain issue of state law and the controlling state statute is susceptible to an interpretation that would avoid or modify the federal constitutional *94 question presented, abstention may be appropriate pursuant to the doctrine articulated in Railroad Commission v. Pullman Co., 312 U.S. 496, 61 S.Ct. 643, 85 L.Ed. 971 (1941).  See Ohio Bureau of Employment Services v. Hodory, 431 U.S. 471, 477, 97 S.Ct. 1898, 1902-03, 52 L.Ed.2d 513 (1977);  Planned Parenthood of Dutchess-Ulster, Inc. v. Steinhaus, 60 F.3d 122, 126 (2d Cir.1995).  Were a state court to decide that NYSLA was not authorized to promulgate decency regulations, or that NYSLA erred in applying a regulation purporting to govern interior signs to bottle labels, or that the label regulation applies only to misleading labels, it might become unnecessary for this Court to decide whether NYSLA's actions violate Bad Frog's First Amendment rights.</w:t>
      </w:r>
    </w:p>
    <w:p w14:paraId="500A78BA" w14:textId="77777777" w:rsidR="00DB2F17" w:rsidRPr="0019267D" w:rsidRDefault="00FC0E5D">
      <w:pPr>
        <w:tabs>
          <w:tab w:val="left" w:pos="720"/>
        </w:tabs>
        <w:jc w:val="both"/>
        <w:rPr>
          <w:rFonts w:ascii="Arial" w:hAnsi="Arial"/>
          <w:sz w:val="18"/>
        </w:rPr>
      </w:pPr>
      <w:r w:rsidRPr="0019267D">
        <w:rPr>
          <w:rFonts w:ascii="Arial" w:hAnsi="Arial"/>
          <w:sz w:val="18"/>
        </w:rPr>
        <w:lastRenderedPageBreak/>
        <w:t xml:space="preserve"> [3][4][5][6] However, we have observed that abstention is reserved for "very unusual or exceptional circumstances," Williams v. Lambert, 46 F.3d 1275, 1281 (2d Cir.1995).  In the context of First Amendment claims, Pullman abstention has generally been disfavored where state statutes have been subjected to facial challenges, see Dombrowski v. Pfister, 380 U.S. 479, 489-90, 85 S.Ct. 1116, 1122-23, 14 L.Ed.2d 22 (1965);  see also City of Houston v. Hill, 482 U.S. 451, 467, 107 S.Ct. 2502, 2512-13, 96 L.Ed.2d 398  (1987).  Even where such abstention has been required, despite a claim of facial invalidity, see Babbitt v. United Farm Workers National Union, 442 U.S. 289, 307-12, 99 S.Ct. 2301, 2313-16, 60 L.Ed.2d 895 (1979), the plaintiffs, unlike Bad Frog, were not challenging the application of state law to prohibit a specific example of allegedly protected expression.  If abstention is normally unwarranted where an allegedly overbroad state statute, challenged facially, will inhibit allegedly protected speech, it is even less appropriate here, where such speech has been specifically prohibited. Abstention would risk substantial delay while Bad Frog litigated its state law issues in the state courts.  See Zwickler v. Koota, 389 U.S. 241, 252, 88 S.Ct. 391, 397-98, 19 L.Ed.2d 444 (1967);  Baggett v. Bullitt, 377 U.S. 360, 378-79, 84 S.Ct. 1316, 1326-27, 12 L.Ed.2d 377 (1964).</w:t>
      </w:r>
    </w:p>
    <w:p w14:paraId="3CC65CF3" w14:textId="77777777" w:rsidR="00DB2F17" w:rsidRPr="0019267D" w:rsidRDefault="00FC0E5D">
      <w:pPr>
        <w:tabs>
          <w:tab w:val="left" w:pos="720"/>
        </w:tabs>
        <w:jc w:val="both"/>
        <w:rPr>
          <w:rFonts w:ascii="Arial" w:hAnsi="Arial"/>
          <w:sz w:val="18"/>
        </w:rPr>
      </w:pPr>
      <w:r w:rsidRPr="0019267D">
        <w:rPr>
          <w:rFonts w:ascii="Arial" w:hAnsi="Arial"/>
          <w:sz w:val="18"/>
        </w:rPr>
        <w:t xml:space="preserve"> II. Commercial or Noncommercial Speech?</w:t>
      </w:r>
    </w:p>
    <w:p w14:paraId="20E8A6E7" w14:textId="77777777" w:rsidR="00DB2F17" w:rsidRPr="0019267D" w:rsidRDefault="00FC0E5D">
      <w:pPr>
        <w:tabs>
          <w:tab w:val="left" w:pos="720"/>
        </w:tabs>
        <w:jc w:val="both"/>
        <w:rPr>
          <w:rFonts w:ascii="Arial" w:hAnsi="Arial"/>
          <w:sz w:val="18"/>
        </w:rPr>
      </w:pPr>
      <w:r w:rsidRPr="0019267D">
        <w:rPr>
          <w:rFonts w:ascii="Arial" w:hAnsi="Arial"/>
          <w:sz w:val="18"/>
        </w:rPr>
        <w:t xml:space="preserve"> [7] Bad Frog contends directly and NYSLA contends obliquely that Bad Frog's labels do not constitute commercial speech, but their common contentions lead them to entirely different conclusions.  In Bad Frog's view, the commercial speech that receives reduced First Amendment protection is expression that conveys commercial information.  The frog labels, it contends, do not purport to convey such information, but instead communicate only a "joke," [FN2] Brief for Appellant at 12 n. 5. As such, the argument continues, the labels enjoy full First Amendment protection, rather than the somewhat reduced protection accorded commercial speech.</w:t>
      </w:r>
    </w:p>
    <w:p w14:paraId="1857B07B" w14:textId="77777777" w:rsidR="00DB2F17" w:rsidRPr="0019267D" w:rsidRDefault="00FC0E5D">
      <w:pPr>
        <w:tabs>
          <w:tab w:val="left" w:pos="720"/>
        </w:tabs>
        <w:jc w:val="both"/>
        <w:rPr>
          <w:rFonts w:ascii="Arial" w:hAnsi="Arial"/>
          <w:sz w:val="18"/>
        </w:rPr>
      </w:pPr>
      <w:r w:rsidRPr="0019267D">
        <w:rPr>
          <w:rFonts w:ascii="Arial" w:hAnsi="Arial"/>
          <w:sz w:val="18"/>
        </w:rPr>
        <w:t>FN2. Bad Frog also describes the "message" of its labels as "parody," Brief for Appellant at 12, but does not identify any particular prior work of art, literature, advertising, or labeling that is claimed to be the target of the parody.  If Bad Frog means that its depiction of an insolent frog on its labels is intended as a general commentary on an aspect of contemporary culture, the "message" of its labels would more aptly be described as satire rather than parody.  See generally Campbell v. Acuff-Rose Music, Inc., 510 U.S. 569, 580-81, 114 S.Ct. 1164, 1171-73, 127 L.Ed.2d 500 (1994) (explaining that "[p]arody needs to mimic an original to make its point").</w:t>
      </w:r>
    </w:p>
    <w:p w14:paraId="771A19E0" w14:textId="77777777" w:rsidR="00DB2F17" w:rsidRPr="0019267D" w:rsidRDefault="00FC0E5D">
      <w:pPr>
        <w:tabs>
          <w:tab w:val="left" w:pos="720"/>
        </w:tabs>
        <w:jc w:val="both"/>
        <w:rPr>
          <w:rFonts w:ascii="Arial" w:hAnsi="Arial"/>
          <w:sz w:val="18"/>
        </w:rPr>
      </w:pPr>
      <w:r w:rsidRPr="0019267D">
        <w:rPr>
          <w:rFonts w:ascii="Arial" w:hAnsi="Arial"/>
          <w:sz w:val="18"/>
        </w:rPr>
        <w:t>NYSLA shares Bad Frog's premise that "the speech at issue conveys no useful consumer information," but concludes from this premise that "it was reasonable for [NYSLA] to question whether the speech enjoys any First Amendment protection whatsoever."  Brief for Appellees at 24-25 n. 5. Ultimately, however, NYSLA agrees with the District Court that the labels enjoy some First Amendment protection, but are to be assessed by the somewhat reduced standards applicable to commercial speech.</w:t>
      </w:r>
    </w:p>
    <w:p w14:paraId="3F5F933F"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parties' differing views as to the degree of First Amendment protection to which Bad Frog's labels are entitled, if any, stem from doctrinal uncertainties left in the wake of Supreme Court decisions from which the modern commercial speech doctrine has evolved.  In particular, these decisions have created some uncertainty as to the degree of protection for commercial advertising that lacks precise informational content.</w:t>
      </w:r>
    </w:p>
    <w:p w14:paraId="50A0AEE1" w14:textId="77777777" w:rsidR="00DB2F17" w:rsidRPr="0019267D" w:rsidRDefault="00FC0E5D">
      <w:pPr>
        <w:tabs>
          <w:tab w:val="left" w:pos="720"/>
        </w:tabs>
        <w:jc w:val="both"/>
        <w:rPr>
          <w:rFonts w:ascii="Arial" w:hAnsi="Arial"/>
          <w:sz w:val="18"/>
        </w:rPr>
      </w:pPr>
      <w:r w:rsidRPr="0019267D">
        <w:rPr>
          <w:rFonts w:ascii="Arial" w:hAnsi="Arial"/>
          <w:sz w:val="18"/>
        </w:rPr>
        <w:t xml:space="preserve"> *95 In 1942, the Court was "clear that the Constitution imposes no [First Amendment] restraint on government as respects purely commercial advertising."  Valentine v. Chrestensen, 316 U.S. 52, 54, 62 S.Ct. 920, 921, 86 L.Ed. 1262 (1942).  In Chrestensen, the Court sustained the validity of an ordinance banning the distribution on public streets of handbills advertising a tour of a submarine.  Twenty-two years later, in New York Times Co. v. Sullivan, 376 U.S. 254, 84 S.Ct. 710, 11 L.Ed.2d 686 (1964), the Court characterized Chrestensen as resting on "the factual conclusion [ ] that the handbill was 'purely commercial advertising,' " id. at 266, 84 S.Ct. at 718 (quoting Chrestensen, 316 U.S. at 54, 62 S.Ct. at 921), and noted that Chrestensen itself had "reaffirmed the constitutional protection for 'the freedom of communicating information and disseminating opinion,' " id. at 265-66, 84 S.Ct. at 718 (quoting Chrestensen, 316 U.S. at 54, 62 S.Ct. at 921) (emphasis added).  The famously protected advertisement for the Committee to Defend Martin Luther King was distinguished from the unprotected Chrestensen handbill: </w:t>
      </w:r>
    </w:p>
    <w:p w14:paraId="3F61C328" w14:textId="77777777" w:rsidR="00DB2F17" w:rsidRPr="0019267D" w:rsidRDefault="00FC0E5D">
      <w:pPr>
        <w:tabs>
          <w:tab w:val="left" w:pos="720"/>
        </w:tabs>
        <w:jc w:val="both"/>
        <w:rPr>
          <w:rFonts w:ascii="Arial" w:hAnsi="Arial"/>
          <w:sz w:val="18"/>
        </w:rPr>
      </w:pPr>
      <w:r w:rsidRPr="0019267D">
        <w:rPr>
          <w:rFonts w:ascii="Arial" w:hAnsi="Arial"/>
          <w:sz w:val="18"/>
        </w:rPr>
        <w:t xml:space="preserve">The publication here was not a "commercial" advertisement in the sense in which the word was used in Chrestensen.  It communicated information, expressed opinion, recited grievances, protested claimed abuses, and sought financial support on behalf of a movement whose existence and objectives are matters of the highest public interest and concern. </w:t>
      </w:r>
    </w:p>
    <w:p w14:paraId="2488B212" w14:textId="77777777" w:rsidR="00DB2F17" w:rsidRPr="0019267D" w:rsidRDefault="00FC0E5D">
      <w:pPr>
        <w:tabs>
          <w:tab w:val="left" w:pos="720"/>
        </w:tabs>
        <w:jc w:val="both"/>
        <w:rPr>
          <w:rFonts w:ascii="Arial" w:hAnsi="Arial"/>
          <w:sz w:val="18"/>
        </w:rPr>
      </w:pPr>
      <w:r w:rsidRPr="0019267D">
        <w:rPr>
          <w:rFonts w:ascii="Arial" w:hAnsi="Arial"/>
          <w:sz w:val="18"/>
        </w:rPr>
        <w:t xml:space="preserve"> Id. at 266, 84 S.Ct. at 718 (emphasis added).  The implication of this distinction between the King Committee advertisement and the submarine tour handbill was that the handbill's solicitation of customers for the tour was not "information" entitled to First Amendment protection.</w:t>
      </w:r>
    </w:p>
    <w:p w14:paraId="2B241C88" w14:textId="77777777" w:rsidR="00DB2F17" w:rsidRPr="0019267D" w:rsidRDefault="00FC0E5D">
      <w:pPr>
        <w:tabs>
          <w:tab w:val="left" w:pos="720"/>
        </w:tabs>
        <w:jc w:val="both"/>
        <w:rPr>
          <w:rFonts w:ascii="Arial" w:hAnsi="Arial"/>
          <w:sz w:val="18"/>
        </w:rPr>
      </w:pPr>
      <w:r w:rsidRPr="0019267D">
        <w:rPr>
          <w:rFonts w:ascii="Arial" w:hAnsi="Arial"/>
          <w:sz w:val="18"/>
        </w:rPr>
        <w:t xml:space="preserve"> In 1973, the Court referred to Chrestensen as supporting the argument that  "commercial speech [is] unprotected by the First Amendment."  Pittsburgh Press Co. v. Pittsburgh Commission on Human Relations, 413 U.S. 376, 384, 93 S.Ct. 2553, 2558, 37 L.Ed.2d 669 (1973).  Pittsburgh Press also endeavored to give content to the then "unprotected" category of "commercial speech" by noting that "[t]he critical feature of the advertisement in Valentine v. Chrestensen was that, in the Court's view, it did no more than propose a commercial transaction."  Id. at 385, 93 S.Ct. at 2558.  Similarly, the gender-separate help-wanted ads in Pittsburgh Press were regarded as "no more than a proposal of possible employment," which rendered them "classic examples of commercial speech."  Id. The Court rejected the newspaper's argument that commercial speech should receive some degree of </w:t>
      </w:r>
      <w:r w:rsidRPr="0019267D">
        <w:rPr>
          <w:rFonts w:ascii="Arial" w:hAnsi="Arial"/>
          <w:sz w:val="18"/>
        </w:rPr>
        <w:lastRenderedPageBreak/>
        <w:t>First Amendment protection, concluding that the contention was unpersuasive where the commercial activity was illegal.  See id. at 388-89, 93 S.Ct. at 2560-61.</w:t>
      </w:r>
    </w:p>
    <w:p w14:paraId="23674588" w14:textId="77777777" w:rsidR="00DB2F17" w:rsidRPr="0019267D" w:rsidRDefault="00FC0E5D">
      <w:pPr>
        <w:tabs>
          <w:tab w:val="left" w:pos="720"/>
        </w:tabs>
        <w:jc w:val="both"/>
        <w:rPr>
          <w:rFonts w:ascii="Arial" w:hAnsi="Arial"/>
          <w:sz w:val="18"/>
        </w:rPr>
      </w:pPr>
      <w:r w:rsidRPr="0019267D">
        <w:rPr>
          <w:rFonts w:ascii="Arial" w:hAnsi="Arial"/>
          <w:sz w:val="18"/>
        </w:rPr>
        <w:t xml:space="preserve"> Just two years later, Chrestensen was relegated to a decision upholding only the "manner in which commercial advertising could be distributed." Bigelow v. Virginia, 421 U.S. 809, 819, 95 S.Ct. 2222, 2231, 44 L.Ed.2d 600 (1975) (emphasis added).  Bigelow somewhat generously read Pittsburgh Press as "indicat[ing] that the advertisements would have received some degree of First Amendment protection if the commercial proposal had been legal." Id. at 821, 95 S.Ct. at 2232.  However, in according protection to a newspaper advertisement for out-of-state abortion services, the Court was careful to note that the protected ad "did more than simply propose a commercial transaction."  Id. at 822, 95 S.Ct. at 2232.  Though it was now clear that some forms of commercial speech enjoyed some degree of First Amendment protection, it remained uncertain whether protection would be available for an ad that only "propose[d] a commercial transaction."</w:t>
      </w:r>
    </w:p>
    <w:p w14:paraId="4BE327C1" w14:textId="77777777" w:rsidR="00DB2F17" w:rsidRPr="0019267D" w:rsidRDefault="00FC0E5D">
      <w:pPr>
        <w:tabs>
          <w:tab w:val="left" w:pos="720"/>
        </w:tabs>
        <w:jc w:val="both"/>
        <w:rPr>
          <w:rFonts w:ascii="Arial" w:hAnsi="Arial"/>
          <w:sz w:val="18"/>
        </w:rPr>
      </w:pPr>
      <w:r w:rsidRPr="0019267D">
        <w:rPr>
          <w:rFonts w:ascii="Arial" w:hAnsi="Arial"/>
          <w:sz w:val="18"/>
        </w:rPr>
        <w:t xml:space="preserve"> That uncertainty was resolved just one year later in Virginia State Board of Pharmacy v. Virginia Citizens Consumer Council, 425 U.S. 748, 96 S.Ct. 1817, 48 L.Ed.2d 346 (1976).  Framing the question as "whether speech which does 'no more than propose a commercial transaction' ... is so removed from [categories of expression enjoying First Amendment protection] that it lacks all protection," id. at 762, 96 S.Ct. at 1825-26, the Court said, "Our answer is that it is not," id.  Though Virginia State Board interred the notion that "commercial speech" enjoyed no First Amendment protection, it arguably kept alive the idea that protection was available *96 only for commercial speech that conveyed information: </w:t>
      </w:r>
    </w:p>
    <w:p w14:paraId="6478FD8A" w14:textId="77777777" w:rsidR="00DB2F17" w:rsidRPr="0019267D" w:rsidRDefault="00FC0E5D">
      <w:pPr>
        <w:tabs>
          <w:tab w:val="left" w:pos="720"/>
        </w:tabs>
        <w:jc w:val="both"/>
        <w:rPr>
          <w:rFonts w:ascii="Arial" w:hAnsi="Arial"/>
          <w:sz w:val="18"/>
        </w:rPr>
      </w:pPr>
      <w:r w:rsidRPr="0019267D">
        <w:rPr>
          <w:rFonts w:ascii="Arial" w:hAnsi="Arial"/>
          <w:sz w:val="18"/>
        </w:rPr>
        <w:t xml:space="preserve">Advertising, however tasteless and excessive it sometimes may seem, is nonetheless dissemination of information as to who is producing and selling what product, for what reason, and at what price. </w:t>
      </w:r>
    </w:p>
    <w:p w14:paraId="10A37C97" w14:textId="77777777" w:rsidR="00DB2F17" w:rsidRPr="0019267D" w:rsidRDefault="00FC0E5D">
      <w:pPr>
        <w:tabs>
          <w:tab w:val="left" w:pos="720"/>
        </w:tabs>
        <w:jc w:val="both"/>
        <w:rPr>
          <w:rFonts w:ascii="Arial" w:hAnsi="Arial"/>
          <w:sz w:val="18"/>
        </w:rPr>
      </w:pPr>
      <w:r w:rsidRPr="0019267D">
        <w:rPr>
          <w:rFonts w:ascii="Arial" w:hAnsi="Arial"/>
          <w:sz w:val="18"/>
        </w:rPr>
        <w:t xml:space="preserve"> Id. at 765, 96 S.Ct. at 1827;  see id. at 763, 96 S.Ct. at 1826-27  (emphasizing the "consumer's interest in the free flow of commercial information").</w:t>
      </w:r>
    </w:p>
    <w:p w14:paraId="6AEF5E15" w14:textId="77777777" w:rsidR="00DB2F17" w:rsidRPr="0019267D" w:rsidRDefault="00FC0E5D">
      <w:pPr>
        <w:tabs>
          <w:tab w:val="left" w:pos="720"/>
        </w:tabs>
        <w:jc w:val="both"/>
        <w:rPr>
          <w:rFonts w:ascii="Arial" w:hAnsi="Arial"/>
          <w:sz w:val="18"/>
        </w:rPr>
      </w:pPr>
      <w:r w:rsidRPr="0019267D">
        <w:rPr>
          <w:rFonts w:ascii="Arial" w:hAnsi="Arial"/>
          <w:sz w:val="18"/>
        </w:rPr>
        <w:t xml:space="preserve"> Supreme Court commercial speech cases upholding First Amendment protection since Virginia State Board have all involved the dissemination of information.  See, e.g., 44 Liquormart, 517 U.S. 484, 116 S.Ct. 1495 (price of beer);  Rubin, 514 U.S. 476, 115 S.Ct. 1585 (alcoholic content of beer);  Central Hudson, 447 U.S. 557, 100 S.Ct. 2343 (benefits of using electricity);  Bates v. State Bar of Arizona, 433 U.S. 350, 97 S.Ct. 2691, 53 L.Ed.2d 810 (1977) (availability of lawyer services);  Linmark Associates, Inc. v. Willingboro, 431 U.S. 85, 97 S.Ct. 1614, 52 L.Ed.2d 155 (1977) (residential "for sale" signs).  In the one case since Virginia State Board where First Amendment protection was sought for commercial speech that contained minimal information--the trade name of an optometry business--the Court sustained a governmental prohibition.  See Friedman v. Rogers, 440 U.S. 1, 99 S.Ct. 887, 59 L.Ed.2d 100 (1979).  Acknowledging that a trade name "is used as part of a proposal of a commercial transaction," id. at 11, 99 S.Ct. at 895, and "is a form of commercial speech," id., the Court pointed out "[a] trade name conveys no information about the price and nature of the services offered by an optometrist until it acquires meaning over a period of time...."  Id. at 12, 99 S.Ct. at 895.  Moreover, the Court noted, "the factual information associated with trade names may be communicated freely and explicitly to the public," id. at 16, 99 S.Ct. at 897, presumably through the type of informational advertising protected in Virginia State Board. The trade name prohibition was ultimately upheld because use of the trade name had permitted misleading practices, such as claiming standardized care, see id. at 14, 99 S.Ct. at 896, but the Court added that the prohibition was sustainable just because of the "opportunity" for misleading practices, see id. at 15, 99 S.Ct. at 896-97.</w:t>
      </w:r>
    </w:p>
    <w:p w14:paraId="7BF9326D" w14:textId="77777777" w:rsidR="00DB2F17" w:rsidRPr="0019267D" w:rsidRDefault="00FC0E5D">
      <w:pPr>
        <w:tabs>
          <w:tab w:val="left" w:pos="720"/>
        </w:tabs>
        <w:jc w:val="both"/>
        <w:rPr>
          <w:rFonts w:ascii="Arial" w:hAnsi="Arial"/>
          <w:sz w:val="18"/>
        </w:rPr>
      </w:pPr>
      <w:r w:rsidRPr="0019267D">
        <w:rPr>
          <w:rFonts w:ascii="Arial" w:hAnsi="Arial"/>
          <w:sz w:val="18"/>
        </w:rPr>
        <w:t xml:space="preserve"> [8] Prior to Friedman, it was arguable from language in Virginia State Board that a trademark would enjoy commercial speech protection since, "however tasteless," its use is the "dissemination of information as to who is producing and selling what product...."  425 U.S. at 765, 96 S.Ct. at 1827.  But the prohibition against trademark use in Friedman puts the matter in considerable doubt, unless Friedman is to be limited to trademarks that either have been used to mislead or have a clear potential to mislead.  Since Friedman, the Supreme Court has not explicitly clarified whether commercial speech, such as a logo or a slogan that conveys no information, other than identifying the source of the product, but that serves, to some degree, to "propose a commercial transaction," enjoys any First Amendment protection.  The Court's opinion in Posadas, however, points in favor of protection. Adjudicating a prohibition on some forms of casino advertising, the Court did not pause to inquire whether the advertising conveyed information.  Instead, viewing the case as involving "the restriction of pure commercial speech which does 'no more than propose a commercial transaction,' " Posadas, 478 U.S. at 340, 106 S.Ct. at 2976 (quoting Virginia State Board, 425 U.S. at 762, 96 S.Ct. at 1825-26), the Court applied the standards set forth in Central Hudson, see id.</w:t>
      </w:r>
    </w:p>
    <w:p w14:paraId="221087E5"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Frog's label attempts to function, like a trademark, to identify the source of the product.  The picture on a beer bottle of a frog behaving badly is reasonably to be understood as attempting to identify to consumers a product of the Bad Frog Brewery. [FN3]  In addition, the label serves to propose a commercial transaction.  Though the label communicates no information beyond the source *97 of the product, we think that minimal information, conveyed in the context of a proposal of a commercial transaction, suffices to invoke the protections for commercial speech, articulated in Central Hudson. [FN4]</w:t>
      </w:r>
    </w:p>
    <w:p w14:paraId="6F3A1F40" w14:textId="77777777" w:rsidR="00DB2F17" w:rsidRPr="0019267D" w:rsidRDefault="00FC0E5D">
      <w:pPr>
        <w:tabs>
          <w:tab w:val="left" w:pos="720"/>
        </w:tabs>
        <w:jc w:val="both"/>
        <w:rPr>
          <w:rFonts w:ascii="Arial" w:hAnsi="Arial"/>
          <w:sz w:val="18"/>
        </w:rPr>
      </w:pPr>
      <w:r w:rsidRPr="0019267D">
        <w:rPr>
          <w:rFonts w:ascii="Arial" w:hAnsi="Arial"/>
          <w:sz w:val="18"/>
        </w:rPr>
        <w:t>FN3. The attempt to identify the product's source suffices to render the ad the type of proposal for a commercial transaction that receives the First Amendment protection for commercial speech.  We intimate no view on whether the plaintiff's mark has acquired secondary meaning for trademark law purposes.</w:t>
      </w:r>
    </w:p>
    <w:p w14:paraId="23CDC9E5" w14:textId="77777777" w:rsidR="00DB2F17" w:rsidRPr="0019267D" w:rsidRDefault="00FC0E5D">
      <w:pPr>
        <w:tabs>
          <w:tab w:val="left" w:pos="720"/>
        </w:tabs>
        <w:jc w:val="both"/>
        <w:rPr>
          <w:rFonts w:ascii="Arial" w:hAnsi="Arial"/>
          <w:sz w:val="18"/>
        </w:rPr>
      </w:pPr>
      <w:r w:rsidRPr="0019267D">
        <w:rPr>
          <w:rFonts w:ascii="Arial" w:hAnsi="Arial"/>
          <w:sz w:val="18"/>
        </w:rPr>
        <w:lastRenderedPageBreak/>
        <w:t>FN4. Since we conclude that Bad Frog's label is entitled to the protection available for commercial speech, we need not resolve the parties' dispute as to whether a label without much (or any) information receives no protection because it is commercial speech that lacks protectable information, or full protection because it is commercial speech that lacks the potential to be misleading.  Cf. Rubin, 514 U.S. at 491, 115 S.Ct. at 1593-94 (Stevens, J., concurring in the judgment) (contending that label statement with no capacity to mislead because it is indisputably truthful should not be subjected to reduced standards of protection applicable to commercial speech);  Discovery Network, 507 U.S. at 436, 113 S.Ct. at 1520 (Blackmun, J., concurring) ("[T]ruthful, noncoercive commercial speech concerning lawful activities is entitled to full First Amendment protection.").  Even if its labels convey sufficient information concerning source of the product to warrant at least protection as commercial speech (rather than remain totally unprotected), Bad Frog contends that its labels deserve full First Amendment protection because their proposal of a commercial transaction is combined with what is claimed to be political, or at least societal, commentary.</w:t>
      </w:r>
    </w:p>
    <w:p w14:paraId="28C7228C" w14:textId="77777777" w:rsidR="00DB2F17" w:rsidRPr="0019267D" w:rsidRDefault="00FC0E5D">
      <w:pPr>
        <w:tabs>
          <w:tab w:val="left" w:pos="720"/>
        </w:tabs>
        <w:jc w:val="both"/>
        <w:rPr>
          <w:rFonts w:ascii="Arial" w:hAnsi="Arial"/>
          <w:sz w:val="18"/>
        </w:rPr>
      </w:pPr>
      <w:r w:rsidRPr="0019267D">
        <w:rPr>
          <w:rFonts w:ascii="Arial" w:hAnsi="Arial"/>
          <w:sz w:val="18"/>
        </w:rPr>
        <w:t xml:space="preserve"> [9] The "core notion" of commercial speech includes "speech which does no more than propose a commercial transaction."  Bolger, 463 U.S. at 66, 103 S.Ct. at 2880 (citations and internal quotation marks omitted).  Outside this so-called "core" lie various forms of speech that combine commercial and noncommercial elements.  Whether a communication combining those elements is to be treated as commercial speech depends on factors such as whether the communication is an advertisement, whether the communication makes reference to a specific product, and whether the speaker has an economic motivation for the communication.  See id. at 66-67, 103 S.Ct. at 2879-81.  Bolger explained that while none of these factors alone would render the speech in question commercial, the presence of all three factors provides "strong support" for such a determination.  Id.;  see also New York State Association of Realtors, Inc. v. Shaffer, 27 F.3d 834, 840 (2d Cir.1994) (considering proper classification of speech combining commercial and noncommercial elements).</w:t>
      </w:r>
    </w:p>
    <w:p w14:paraId="7A850BDA" w14:textId="77777777" w:rsidR="00DB2F17" w:rsidRPr="0019267D" w:rsidRDefault="00FC0E5D">
      <w:pPr>
        <w:tabs>
          <w:tab w:val="left" w:pos="720"/>
        </w:tabs>
        <w:jc w:val="both"/>
        <w:rPr>
          <w:rFonts w:ascii="Arial" w:hAnsi="Arial"/>
          <w:sz w:val="18"/>
        </w:rPr>
      </w:pPr>
      <w:r w:rsidRPr="0019267D">
        <w:rPr>
          <w:rFonts w:ascii="Arial" w:hAnsi="Arial"/>
          <w:sz w:val="18"/>
        </w:rPr>
        <w:t xml:space="preserve"> [10] We are unpersuaded by Bad Frog's attempt to separate the purported social commentary in the labels from the hawking of beer.  Bad Frog's labels meet the three criteria identified in Bolger:  the labels are a form of advertising, identify a specific product, and serve the economic interest of the speaker.  Moreover, the purported noncommercial message is not so "inextricably intertwined" with the commercial speech as to require a finding that the entire label must be treated as "pure" speech.  See Board of Trustees of the State University of New York v. Fox, 492 U.S. 469, 474, 109 S.Ct. 3028, 3031, 106 L.Ed.2d 388 (1989).  Even viewed generously, Bad Frog's labels at most "link[ ] a product to a current debate," Central Hudson, 447 U.S. at 563 n. 5, 100 S.Ct. at 2350 n. 5, which is not enough to convert a proposal for a commercial transaction into "pure" noncommercial speech, see id.  Indeed, the Supreme Court considered and rejected a similar argument in Fox, when it determined that the discussion of the noncommercial topics of "how to be financially responsible and how to run an efficient home" in the course of a Tupperware demonstration did not take the demonstration out of the domain of commercial speech.  See Fox, 492 U.S. at 473-74, 109 S.Ct. at 3030-31.</w:t>
      </w:r>
    </w:p>
    <w:p w14:paraId="5D24B6D6" w14:textId="77777777" w:rsidR="00DB2F17" w:rsidRPr="0019267D" w:rsidRDefault="00FC0E5D">
      <w:pPr>
        <w:tabs>
          <w:tab w:val="left" w:pos="720"/>
        </w:tabs>
        <w:jc w:val="both"/>
        <w:rPr>
          <w:rFonts w:ascii="Arial" w:hAnsi="Arial"/>
          <w:sz w:val="18"/>
        </w:rPr>
      </w:pPr>
      <w:r w:rsidRPr="0019267D">
        <w:rPr>
          <w:rFonts w:ascii="Arial" w:hAnsi="Arial"/>
          <w:sz w:val="18"/>
        </w:rPr>
        <w:t xml:space="preserve"> We thus assess the prohibition of Bad Frog's labels under the commercial speech standards outlined in Central Hudson.</w:t>
      </w:r>
    </w:p>
    <w:p w14:paraId="64870755" w14:textId="77777777" w:rsidR="00DB2F17" w:rsidRPr="0019267D" w:rsidRDefault="00FC0E5D">
      <w:pPr>
        <w:tabs>
          <w:tab w:val="left" w:pos="720"/>
        </w:tabs>
        <w:jc w:val="both"/>
        <w:rPr>
          <w:rFonts w:ascii="Arial" w:hAnsi="Arial"/>
          <w:sz w:val="18"/>
        </w:rPr>
      </w:pPr>
      <w:r w:rsidRPr="0019267D">
        <w:rPr>
          <w:rFonts w:ascii="Arial" w:hAnsi="Arial"/>
          <w:sz w:val="18"/>
        </w:rPr>
        <w:t xml:space="preserve"> III. The Central Hudson Test</w:t>
      </w:r>
    </w:p>
    <w:p w14:paraId="2B312EAF" w14:textId="77777777" w:rsidR="00DB2F17" w:rsidRPr="0019267D" w:rsidRDefault="00FC0E5D">
      <w:pPr>
        <w:tabs>
          <w:tab w:val="left" w:pos="720"/>
        </w:tabs>
        <w:jc w:val="both"/>
        <w:rPr>
          <w:rFonts w:ascii="Arial" w:hAnsi="Arial"/>
          <w:sz w:val="18"/>
        </w:rPr>
      </w:pPr>
      <w:r w:rsidRPr="0019267D">
        <w:rPr>
          <w:rFonts w:ascii="Arial" w:hAnsi="Arial"/>
          <w:sz w:val="18"/>
        </w:rPr>
        <w:t xml:space="preserve"> [11][12][13] Central Hudson sets forth the analytical framework for assessing governmental restrictions on commercial speech: </w:t>
      </w:r>
    </w:p>
    <w:p w14:paraId="18D8AB25" w14:textId="77777777" w:rsidR="00DB2F17" w:rsidRPr="0019267D" w:rsidRDefault="00FC0E5D">
      <w:pPr>
        <w:tabs>
          <w:tab w:val="left" w:pos="720"/>
        </w:tabs>
        <w:jc w:val="both"/>
        <w:rPr>
          <w:rFonts w:ascii="Arial" w:hAnsi="Arial"/>
          <w:sz w:val="18"/>
        </w:rPr>
      </w:pPr>
      <w:r w:rsidRPr="0019267D">
        <w:rPr>
          <w:rFonts w:ascii="Arial" w:hAnsi="Arial"/>
          <w:sz w:val="18"/>
        </w:rPr>
        <w:t xml:space="preserve">At the outset, we must determine whether the expression is protected by the First Amendment.  For commercial speech to come within that provision, it at least must concern lawful activity and not be misleading.  Next, we ask whether the asserted government interest is substantial.  If both inquiries yield positive answers, we must determine whether the regulation directly*98 advances the government interest asserted, and whether it is not more extensive than is necessary to serve that interest. </w:t>
      </w:r>
    </w:p>
    <w:p w14:paraId="4B2A6D6D" w14:textId="77777777" w:rsidR="00DB2F17" w:rsidRPr="0019267D" w:rsidRDefault="00FC0E5D">
      <w:pPr>
        <w:tabs>
          <w:tab w:val="left" w:pos="720"/>
        </w:tabs>
        <w:jc w:val="both"/>
        <w:rPr>
          <w:rFonts w:ascii="Arial" w:hAnsi="Arial"/>
          <w:sz w:val="18"/>
        </w:rPr>
      </w:pPr>
      <w:r w:rsidRPr="0019267D">
        <w:rPr>
          <w:rFonts w:ascii="Arial" w:hAnsi="Arial"/>
          <w:sz w:val="18"/>
        </w:rPr>
        <w:t xml:space="preserve"> 447 U.S. at 566, 100 S.Ct. at 2351.  The last two steps in the analysis have been considered, somewhat in tandem, to determine if there is a sufficient " 'fit' between the [regulator's] ends and the means chosen to accomplish those ends."  Posadas, 478 U.S. at 341, 106 S.Ct. at 2977.  The burden to establish that "reasonable fit" is on the governmental agency defending its regulation, see Discovery Network, 507 U.S. at 416, 113 S.Ct. at 1509-10, though the fit need not satisfy a least-restrictive-means standard, see Fox, 492 U.S. at 476-81, 109 S.Ct. at 3032-35.</w:t>
      </w:r>
    </w:p>
    <w:p w14:paraId="35B4D746" w14:textId="77777777" w:rsidR="00DB2F17" w:rsidRPr="0019267D" w:rsidRDefault="00FC0E5D">
      <w:pPr>
        <w:tabs>
          <w:tab w:val="left" w:pos="720"/>
        </w:tabs>
        <w:jc w:val="both"/>
        <w:rPr>
          <w:rFonts w:ascii="Arial" w:hAnsi="Arial"/>
          <w:sz w:val="18"/>
        </w:rPr>
      </w:pPr>
      <w:r w:rsidRPr="0019267D">
        <w:rPr>
          <w:rFonts w:ascii="Arial" w:hAnsi="Arial"/>
          <w:sz w:val="18"/>
        </w:rPr>
        <w:t xml:space="preserve"> A. Lawful Activity and Not Deceptive</w:t>
      </w:r>
    </w:p>
    <w:p w14:paraId="75B368C0" w14:textId="77777777" w:rsidR="00DB2F17" w:rsidRPr="0019267D" w:rsidRDefault="00FC0E5D">
      <w:pPr>
        <w:tabs>
          <w:tab w:val="left" w:pos="720"/>
        </w:tabs>
        <w:jc w:val="both"/>
        <w:rPr>
          <w:rFonts w:ascii="Arial" w:hAnsi="Arial"/>
          <w:sz w:val="18"/>
        </w:rPr>
      </w:pPr>
      <w:r w:rsidRPr="0019267D">
        <w:rPr>
          <w:rFonts w:ascii="Arial" w:hAnsi="Arial"/>
          <w:sz w:val="18"/>
        </w:rPr>
        <w:t xml:space="preserve"> We agree with the District Court that Bad Frog's labels pass Central Hudson 's threshold requirement that the speech "must concern lawful activity and not be misleading."  See Bad Frog, 973 F.Supp. at 283 n. 4. The consumption of beer (at least by adults) is legal in New York, and the labels cannot be said to be deceptive, even if they are offensive.  Indeed, although NYSLA argues that the labels convey no useful information, it concedes that "the commercial speech at issue ... may not be characterized as misleading or related to illegal activity."  Brief for Defendants-Appellees at 24.</w:t>
      </w:r>
    </w:p>
    <w:p w14:paraId="7EC68329" w14:textId="77777777" w:rsidR="00DB2F17" w:rsidRPr="0019267D" w:rsidRDefault="00FC0E5D">
      <w:pPr>
        <w:tabs>
          <w:tab w:val="left" w:pos="720"/>
        </w:tabs>
        <w:jc w:val="both"/>
        <w:rPr>
          <w:rFonts w:ascii="Arial" w:hAnsi="Arial"/>
          <w:sz w:val="18"/>
        </w:rPr>
      </w:pPr>
      <w:r w:rsidRPr="0019267D">
        <w:rPr>
          <w:rFonts w:ascii="Arial" w:hAnsi="Arial"/>
          <w:sz w:val="18"/>
        </w:rPr>
        <w:t xml:space="preserve"> B. Substantial State Interests</w:t>
      </w:r>
    </w:p>
    <w:p w14:paraId="20A2AE03"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 advances two interests to support its asserted power to ban Bad Frog's labels:  (i) the State's interest in "protecting children from vulgar and profane advertising," and (ii) the State's interest "in acting consistently to promote temperance, i.e., the moderate and responsible use of alcohol among those above the legal drinking age and abstention among those below the legal drinking age."  Id. at 26.</w:t>
      </w:r>
    </w:p>
    <w:p w14:paraId="1BFA7525" w14:textId="77777777" w:rsidR="00DB2F17" w:rsidRPr="0019267D" w:rsidRDefault="00FC0E5D">
      <w:pPr>
        <w:tabs>
          <w:tab w:val="left" w:pos="720"/>
        </w:tabs>
        <w:jc w:val="both"/>
        <w:rPr>
          <w:rFonts w:ascii="Arial" w:hAnsi="Arial"/>
          <w:sz w:val="18"/>
        </w:rPr>
      </w:pPr>
      <w:r w:rsidRPr="0019267D">
        <w:rPr>
          <w:rFonts w:ascii="Arial" w:hAnsi="Arial"/>
          <w:sz w:val="18"/>
        </w:rPr>
        <w:t xml:space="preserve"> Both of the asserted interests are "substantial" within the meaning of  Central Hudson.  States have "a compelling interest in protecting the physical and psychological well-being of minors," and "[t]his interest extends to shielding minors from the influence </w:t>
      </w:r>
      <w:r w:rsidRPr="0019267D">
        <w:rPr>
          <w:rFonts w:ascii="Arial" w:hAnsi="Arial"/>
          <w:sz w:val="18"/>
        </w:rPr>
        <w:lastRenderedPageBreak/>
        <w:t>of literature that is not obscene by adult standards."  Sable Communications of California, Inc. v. Federal Communications Commission, 492 U.S. 115, 126, 109 S.Ct. 2829, 2836-37, 106 L.Ed.2d 93 (1989);  see also Reno v. American Civil Liberties Union, --- U.S. ----, ----, 117 S.Ct. 2329, 2346, 138 L.Ed.2d 874 (1997) ("[W]e have repeatedly recognized the governmental interest in protecting children from harmful materials.").</w:t>
      </w:r>
    </w:p>
    <w:p w14:paraId="726CCDED" w14:textId="77777777" w:rsidR="00DB2F17" w:rsidRPr="0019267D" w:rsidRDefault="00FC0E5D">
      <w:pPr>
        <w:tabs>
          <w:tab w:val="left" w:pos="720"/>
        </w:tabs>
        <w:jc w:val="both"/>
        <w:rPr>
          <w:rFonts w:ascii="Arial" w:hAnsi="Arial"/>
          <w:sz w:val="18"/>
        </w:rPr>
      </w:pPr>
      <w:r w:rsidRPr="0019267D">
        <w:rPr>
          <w:rFonts w:ascii="Arial" w:hAnsi="Arial"/>
          <w:sz w:val="18"/>
        </w:rPr>
        <w:t>The Supreme Court also has recognized that states have a substantial interest in regulating alcohol consumption.  See, e.g., 44 Liquormart, 517 U.S. at ----, 116 S.Ct. at 1509;  Rubin, 514 U.S. at 485, 115 S.Ct. at 1591.  We agree with the District Court that New York's asserted concern for "temperance" is also a substantial state interest.  See Bad Frog, 973 F.Supp. at 284.</w:t>
      </w:r>
    </w:p>
    <w:p w14:paraId="5324F3DC" w14:textId="77777777" w:rsidR="00DB2F17" w:rsidRPr="0019267D" w:rsidRDefault="00FC0E5D">
      <w:pPr>
        <w:tabs>
          <w:tab w:val="left" w:pos="720"/>
        </w:tabs>
        <w:jc w:val="both"/>
        <w:rPr>
          <w:rFonts w:ascii="Arial" w:hAnsi="Arial"/>
          <w:sz w:val="18"/>
        </w:rPr>
      </w:pPr>
      <w:r w:rsidRPr="0019267D">
        <w:rPr>
          <w:rFonts w:ascii="Arial" w:hAnsi="Arial"/>
          <w:sz w:val="18"/>
        </w:rPr>
        <w:t xml:space="preserve"> C. Direct Advancement of the State Interest</w:t>
      </w:r>
    </w:p>
    <w:p w14:paraId="4BAC1504" w14:textId="77777777" w:rsidR="00DB2F17" w:rsidRPr="0019267D" w:rsidRDefault="00FC0E5D">
      <w:pPr>
        <w:tabs>
          <w:tab w:val="left" w:pos="720"/>
        </w:tabs>
        <w:jc w:val="both"/>
        <w:rPr>
          <w:rFonts w:ascii="Arial" w:hAnsi="Arial"/>
          <w:sz w:val="18"/>
        </w:rPr>
      </w:pPr>
      <w:r w:rsidRPr="0019267D">
        <w:rPr>
          <w:rFonts w:ascii="Arial" w:hAnsi="Arial"/>
          <w:sz w:val="18"/>
        </w:rPr>
        <w:t xml:space="preserve"> [14] To meet the "direct advancement" requirement, a state must demonstrate that "the harms it recites are real and that its restriction will in fact alleviate them to a material degree."  Edenfield v. Fane, 507 U.S. 761, 771, 113 S.Ct. 1792, 1800, 123 L.Ed.2d 543 (1993) (emphasis added).  A restriction will fail this third part of the Central Hudson test if it "provides only ineffective or remote support for the government's purpose."  Central Hudson, 447 U.S. at 564, 100 S.Ct. at 2350. [FN5]</w:t>
      </w:r>
    </w:p>
    <w:p w14:paraId="23AF08FB" w14:textId="77777777" w:rsidR="00DB2F17" w:rsidRPr="0019267D" w:rsidRDefault="00FC0E5D">
      <w:pPr>
        <w:tabs>
          <w:tab w:val="left" w:pos="720"/>
        </w:tabs>
        <w:jc w:val="both"/>
        <w:rPr>
          <w:rFonts w:ascii="Arial" w:hAnsi="Arial"/>
          <w:sz w:val="18"/>
        </w:rPr>
      </w:pPr>
      <w:r w:rsidRPr="0019267D">
        <w:rPr>
          <w:rFonts w:ascii="Arial" w:hAnsi="Arial"/>
          <w:sz w:val="18"/>
        </w:rPr>
        <w:t>FN5. In Central Hudson, the Supreme Court held that a regulation prohibiting advertising by public utilities promoting the use of electricity directly advanced New York State's substantial interest in energy conservation.  See Central Hudson,447 U.S. at 569, 100 S.Ct. at 2353.  In contrast, the Court determined that the regulation did not directly advance the state's interest in the maintenance of fair and efficient utility rates, because "the impact of promotional advertising on the equity of [the utility]'s rates [was] highly speculative."  Id.</w:t>
      </w:r>
    </w:p>
    <w:p w14:paraId="0CF84673" w14:textId="77777777" w:rsidR="00DB2F17" w:rsidRPr="0019267D" w:rsidRDefault="00FC0E5D">
      <w:pPr>
        <w:tabs>
          <w:tab w:val="left" w:pos="720"/>
        </w:tabs>
        <w:jc w:val="both"/>
        <w:rPr>
          <w:rFonts w:ascii="Arial" w:hAnsi="Arial"/>
          <w:sz w:val="18"/>
        </w:rPr>
      </w:pPr>
      <w:r w:rsidRPr="0019267D">
        <w:rPr>
          <w:rFonts w:ascii="Arial" w:hAnsi="Arial"/>
          <w:sz w:val="18"/>
        </w:rPr>
        <w:t>(1) Advancing the interest in protecting children from vulgarity.  Whether the prohibition of Bad Frog's labels can be said to materially advance the state interest in protecting minors from vulgarity depends on the extent to which underinclusiveness of regulation is pertinent to the relevant inquiry.  The *99 Supreme Court has made it clear in the commercial speech context that underinclusiveness of regulation will not necessarily defeat a claim that a state interest has been materially advanced.  Thus, in Metromedia, Inc. v. City of San Diego, 453 U.S. 490, 101 S.Ct. 2882, 69 L.Ed.2d 800 (1981), the Court upheld a prohibition of all offsite advertising, adopted to advance a state interest in traffic safety and esthetics, notwithstanding the absence of a prohibition of onsite advertising.  See id. at 510-12, 101 S.Ct. at 2893- 95 (plurality opinion).  Though not a complete ban on outdoor advertising, the prohibition of all offsite advertising made a substantial contribution to the state interests in traffic safety and esthetics.  In United States v. Edge Broadcasting Co., 509 U.S. 418, 113 S.Ct. 2696, 125 L.Ed.2d 345 (1993), the Court upheld a prohibition on broadcasting lottery information as applied to a broadcaster in a state that bars lotteries, notwithstanding the lottery information lawfully being broadcast by broadcasters in a neighboring state. Though this prohibition, like that in Metromedia, was not total, the record disclosed that the prohibition of broadcasting lottery information by North Carolina stations reduced the percentage of listening time carrying such material in the relevant area from 49 percent to 38 percent, see Edge Broadcasting, 509 U.S. at 432, 113 S.Ct. at 2706, a reduction the Court considered to have "significance," id. at 433, 113 S.Ct. at 2706-07. [FN6]</w:t>
      </w:r>
    </w:p>
    <w:p w14:paraId="2BB36546" w14:textId="77777777" w:rsidR="00DB2F17" w:rsidRPr="0019267D" w:rsidRDefault="00FC0E5D">
      <w:pPr>
        <w:tabs>
          <w:tab w:val="left" w:pos="720"/>
        </w:tabs>
        <w:jc w:val="both"/>
        <w:rPr>
          <w:rFonts w:ascii="Arial" w:hAnsi="Arial"/>
          <w:sz w:val="18"/>
        </w:rPr>
      </w:pPr>
      <w:r w:rsidRPr="0019267D">
        <w:rPr>
          <w:rFonts w:ascii="Arial" w:hAnsi="Arial"/>
          <w:sz w:val="18"/>
        </w:rPr>
        <w:t>FN6. Though not in the context of commercial speech, the Federal Communications Commission's regulation of indecent programming, upheld in Pacifica as to afternoon programming, was thought to make a substantial contribution to the asserted governmental interest because of the "uniquely pervasive presence in the lives of all Americans" achieved by broadcast media, 438 U.S. at 748, 98 S.Ct. at 3040.  The pervasiveness of beer labels is not remotely comparable.</w:t>
      </w:r>
    </w:p>
    <w:p w14:paraId="1C40EA73" w14:textId="77777777" w:rsidR="00DB2F17" w:rsidRPr="0019267D" w:rsidRDefault="00FC0E5D">
      <w:pPr>
        <w:tabs>
          <w:tab w:val="left" w:pos="720"/>
        </w:tabs>
        <w:jc w:val="both"/>
        <w:rPr>
          <w:rFonts w:ascii="Arial" w:hAnsi="Arial"/>
          <w:sz w:val="18"/>
        </w:rPr>
      </w:pPr>
      <w:r w:rsidRPr="0019267D">
        <w:rPr>
          <w:rFonts w:ascii="Arial" w:hAnsi="Arial"/>
          <w:sz w:val="18"/>
        </w:rPr>
        <w:t>On the other hand, a prohibition that makes only a minute contribution to the advancement of a state interest can hardly be considered to have advanced the interest "to a material degree."  Edenfield, 507 U.S. at 771, 113 S.Ct. at 1800.  Thus, In Bolger, the Court invalidated a prohibition on mailing literature concerning contraceptives, alleged to support a governmental interest in aiding parents' efforts to discuss birth control with their children, because the restriction "provides only the most limited incremental support for the interest asserted."  463 U.S. at 73, 103 S.Ct. at 2884.  In Linmark, a town's prohibition of "For Sale" signs was invalidated in part on the ground that the record failed to indicate "that proscribing such signs will reduce public awareness of realty sales."  431 U.S. at 96, 97 S.Ct. at 1620.  In Rubin, the Government's asserted interest in preventing alcoholic strength wars was held not to be significantly advanced by a prohibition on displaying alcoholic content on labels while permitting such displays in advertising (in the absence of state prohibitions).  514 U.S. at 488, 115 S.Ct. at 1592.  Moreover, the Court noted that the asserted purpose was sought to be achieved by barring alcoholic content only from beer labels, while permitting such information on labels for distilled spirits and wine.  See id. [FN7]</w:t>
      </w:r>
    </w:p>
    <w:p w14:paraId="016F0437" w14:textId="77777777" w:rsidR="00DB2F17" w:rsidRPr="0019267D" w:rsidRDefault="00FC0E5D">
      <w:pPr>
        <w:tabs>
          <w:tab w:val="left" w:pos="720"/>
        </w:tabs>
        <w:jc w:val="both"/>
        <w:rPr>
          <w:rFonts w:ascii="Arial" w:hAnsi="Arial"/>
          <w:sz w:val="18"/>
        </w:rPr>
      </w:pPr>
      <w:r w:rsidRPr="0019267D">
        <w:rPr>
          <w:rFonts w:ascii="Arial" w:hAnsi="Arial"/>
          <w:sz w:val="18"/>
        </w:rPr>
        <w:t>FN7. Posadas contains language on both sides of the underinclusiveness issue.  The Court first pointed out that a ban on advertising for casinos was not underinclusive just because advertising for other forms of gambling were permitted, 478 U.S. at 342, 106 S.Ct. at 2977;  however, compliance with Central Hudson 's third criterion was ultimately upheld because of the legislature's legitimate reasons for seeking to reduce demand only for casino gambling, id. at 342-43, 106 S.Ct. at 2977-78, an interest the casino advertising ban plainly advanced.</w:t>
      </w:r>
    </w:p>
    <w:p w14:paraId="1B015B91" w14:textId="77777777" w:rsidR="00DB2F17" w:rsidRPr="0019267D" w:rsidRDefault="00FC0E5D">
      <w:pPr>
        <w:tabs>
          <w:tab w:val="left" w:pos="720"/>
        </w:tabs>
        <w:jc w:val="both"/>
        <w:rPr>
          <w:rFonts w:ascii="Arial" w:hAnsi="Arial"/>
          <w:sz w:val="18"/>
        </w:rPr>
      </w:pPr>
      <w:r w:rsidRPr="0019267D">
        <w:rPr>
          <w:rFonts w:ascii="Arial" w:hAnsi="Arial"/>
          <w:sz w:val="18"/>
        </w:rPr>
        <w:t xml:space="preserve">In the pending case, NYSLA endeavors to advance the state interest in preventing exposure of children to vulgar displays by taking only the limited step of barring such displays from the labels of alcoholic beverages.  In view of the wide currency of vulgar displays throughout contemporary society, including comic books targeted directly at children, [FN8] barring such displays from </w:t>
      </w:r>
      <w:r w:rsidRPr="0019267D">
        <w:rPr>
          <w:rFonts w:ascii="Arial" w:hAnsi="Arial"/>
          <w:sz w:val="18"/>
        </w:rPr>
        <w:lastRenderedPageBreak/>
        <w:t>labels for alcoholic beverages cannot realistically be expected to reduce children's exposure to such displays to any significant degree.</w:t>
      </w:r>
    </w:p>
    <w:p w14:paraId="1E229C40" w14:textId="77777777" w:rsidR="00DB2F17" w:rsidRPr="0019267D" w:rsidRDefault="00FC0E5D">
      <w:pPr>
        <w:tabs>
          <w:tab w:val="left" w:pos="720"/>
        </w:tabs>
        <w:jc w:val="both"/>
        <w:rPr>
          <w:rFonts w:ascii="Arial" w:hAnsi="Arial"/>
          <w:sz w:val="18"/>
        </w:rPr>
      </w:pPr>
      <w:r w:rsidRPr="0019267D">
        <w:rPr>
          <w:rFonts w:ascii="Arial" w:hAnsi="Arial"/>
          <w:sz w:val="18"/>
        </w:rPr>
        <w:t>FN8. Appellant has included several examples in the record.</w:t>
      </w:r>
    </w:p>
    <w:p w14:paraId="30D108AC" w14:textId="77777777" w:rsidR="00DB2F17" w:rsidRPr="0019267D" w:rsidRDefault="00FC0E5D">
      <w:pPr>
        <w:tabs>
          <w:tab w:val="left" w:pos="720"/>
        </w:tabs>
        <w:jc w:val="both"/>
        <w:rPr>
          <w:rFonts w:ascii="Arial" w:hAnsi="Arial"/>
          <w:sz w:val="18"/>
        </w:rPr>
      </w:pPr>
      <w:r w:rsidRPr="0019267D">
        <w:rPr>
          <w:rFonts w:ascii="Arial" w:hAnsi="Arial"/>
          <w:sz w:val="18"/>
        </w:rPr>
        <w:t>We appreciate that NYSLA has no authority to prohibit vulgar displays appearing beyond the marketing of alcoholic beverages, but a state may not avoid the criterion of materially advancing its interest by authorizing only one component of its regulatory *100 machinery to attack a narrow manifestation of a perceived problem.  If New York decides to make a substantial effort to insulate children from vulgar displays in some significant sphere of activity, at least with respect to materials likely to be seen by children, NYSLA's label prohibition might well be found to make a justifiable contribution to the material advancement of such an effort, but its currently isolated response to the perceived problem, applicable only to labels on a product that children cannot purchase, does not suffice.  We do not mean that a state must attack a problem with a total effort or fail the third criterion of a valid commercial speech limitation.  See Edge Broadcasting, 509 U.S. at 434, 113 S.Ct. at 2707 ("Nor do we require that the Government make progress on every front before it can make progress on any front.").  Our point is that a state must demonstrate that its commercial speech limitation is part of a substantial effort to advance a valid state interest, not merely the removal of a few grains of offensive sand from a beach of vulgarity. [FN9]</w:t>
      </w:r>
    </w:p>
    <w:p w14:paraId="5E468044" w14:textId="77777777" w:rsidR="00DB2F17" w:rsidRPr="0019267D" w:rsidRDefault="00FC0E5D">
      <w:pPr>
        <w:tabs>
          <w:tab w:val="left" w:pos="720"/>
        </w:tabs>
        <w:jc w:val="both"/>
        <w:rPr>
          <w:rFonts w:ascii="Arial" w:hAnsi="Arial"/>
          <w:sz w:val="18"/>
        </w:rPr>
      </w:pPr>
      <w:r w:rsidRPr="0019267D">
        <w:rPr>
          <w:rFonts w:ascii="Arial" w:hAnsi="Arial"/>
          <w:sz w:val="18"/>
        </w:rPr>
        <w:t>FN9. Though Edge Broadcasting recognized (in a discussion of the fourth Central Hudson factor) that the inquiry as to a reasonable fit is not to be judged merely by the extent to which the government interest is advanced in the particular case, 509 U.S. at 430-31, 113 S.Ct. at 2705- 06, the Court made clear that what remains relevant is the relation of the restriction to the "general problem" sought to be dealt with, id. at 430, 113 S.Ct. at 2705.  Thus, in the pending case, the pertinent point is not how little effect the prohibition of Bad Frog's labels will have in shielding children from indecent displays, it is how little effect NYSLA's authority to ban indecency from labels of all alcoholic beverages will have on the "general problem" of insulating children from vulgarity.The District Court ruled that the third criterion was met because the prohibition of Bad Frog's labels indisputably achieved the result of keeping these labels from being seen by children.  That approach takes too narrow a view of the third criterion.  Under that approach, any regulation that makes any contribution to achieving a state objective would pass muster. Edenfield, however, requires that the regulation advance the state interest "in a material way."  The prohibition of "For Sale" signs in Linmark succeeded in keeping those signs from public view, but that limited prohibition was held not to advance the asserted interest in reducing public awareness of realty sales.  The prohibition of alcoholic strength on labels in Rubin succeeded in keeping that information off of beer labels, but that limited prohibition was held not to advance the asserted interest in preventing strength wars since the information appeared on labels for other alcoholic beverages.  The valid state interest here is not insulating children from these labels, or even insulating them from vulgar displays on labels for alcoholic beverages;  it is insulating children from displays of vulgarity.</w:t>
      </w:r>
    </w:p>
    <w:p w14:paraId="51B3A7BA" w14:textId="77777777" w:rsidR="00DB2F17" w:rsidRPr="0019267D" w:rsidRDefault="00FC0E5D">
      <w:pPr>
        <w:tabs>
          <w:tab w:val="left" w:pos="720"/>
        </w:tabs>
        <w:jc w:val="both"/>
        <w:rPr>
          <w:rFonts w:ascii="Arial" w:hAnsi="Arial"/>
          <w:sz w:val="18"/>
        </w:rPr>
      </w:pPr>
      <w:r w:rsidRPr="0019267D">
        <w:rPr>
          <w:rFonts w:ascii="Arial" w:hAnsi="Arial"/>
          <w:sz w:val="18"/>
        </w:rPr>
        <w:t xml:space="preserve"> (2) Advancing the state interest in temperance.  We agree with the District Court that NYSLA has not established that its rejection of Bad Frog's application directly advances the state's interest in "temperance."  See Bad Frog, 973 F.Supp. at 286.  NYSLA maintains that the raised finger gesture and the slogan "He just don't care" urge consumers generally to defy authority and particularly to disregard the Surgeon General's warning, which appears on the label next to the gesturing frog.  See Brief for Defendants-Appellees at 30.  NYSLA also contends that the frog appeals to youngsters and promotes underage drinking.  See id.</w:t>
      </w:r>
    </w:p>
    <w:p w14:paraId="743665D5" w14:textId="77777777" w:rsidR="00DB2F17" w:rsidRPr="0019267D" w:rsidRDefault="00FC0E5D">
      <w:pPr>
        <w:tabs>
          <w:tab w:val="left" w:pos="720"/>
        </w:tabs>
        <w:jc w:val="both"/>
        <w:rPr>
          <w:rFonts w:ascii="Arial" w:hAnsi="Arial"/>
          <w:sz w:val="18"/>
        </w:rPr>
      </w:pPr>
      <w:r w:rsidRPr="0019267D">
        <w:rPr>
          <w:rFonts w:ascii="Arial" w:hAnsi="Arial"/>
          <w:sz w:val="18"/>
        </w:rPr>
        <w:t xml:space="preserve"> The truth of these propositions is not so self-evident as to relieve the state of the burden of marshalling some empirical evidence to support its assumptions.  All that is clear is that the gesture of "giving the finger" is offensive.  Whether viewing that gesture on a beer label will encourage disregard of health warnings or encourage underage drinking remain matters of speculation.</w:t>
      </w:r>
    </w:p>
    <w:p w14:paraId="65ED7F5B"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 has not shown that its denial of Bad Frog's application directly and materially advances either of its asserted state interests.</w:t>
      </w:r>
    </w:p>
    <w:p w14:paraId="633BC450" w14:textId="77777777" w:rsidR="00DB2F17" w:rsidRPr="0019267D" w:rsidRDefault="00FC0E5D">
      <w:pPr>
        <w:tabs>
          <w:tab w:val="left" w:pos="720"/>
        </w:tabs>
        <w:jc w:val="both"/>
        <w:rPr>
          <w:rFonts w:ascii="Arial" w:hAnsi="Arial"/>
          <w:sz w:val="18"/>
        </w:rPr>
      </w:pPr>
      <w:r w:rsidRPr="0019267D">
        <w:rPr>
          <w:rFonts w:ascii="Arial" w:hAnsi="Arial"/>
          <w:sz w:val="18"/>
        </w:rPr>
        <w:t xml:space="preserve"> D. Narrow Tailoring</w:t>
      </w:r>
    </w:p>
    <w:p w14:paraId="06E70D61" w14:textId="77777777" w:rsidR="00DB2F17" w:rsidRPr="0019267D" w:rsidRDefault="00FC0E5D">
      <w:pPr>
        <w:tabs>
          <w:tab w:val="left" w:pos="720"/>
        </w:tabs>
        <w:jc w:val="both"/>
        <w:rPr>
          <w:rFonts w:ascii="Arial" w:hAnsi="Arial"/>
          <w:sz w:val="18"/>
        </w:rPr>
      </w:pPr>
      <w:r w:rsidRPr="0019267D">
        <w:rPr>
          <w:rFonts w:ascii="Arial" w:hAnsi="Arial"/>
          <w:sz w:val="18"/>
        </w:rPr>
        <w:t xml:space="preserve"> [15] Central Hudson 's fourth criterion, sometimes referred to as "narrow tailoring," Edge Broadcasting, 509 U.S. at 430, 113 S.Ct. at 2705;  Fox, 492 U.S. at 480, 109 S.Ct. *101 at 3034-35 ("narrowly tailored"), [FN10] requires consideration of whether the prohibition is more extensive than necessary to serve the asserted state interest.  Since NYSLA's prohibition of Bad Frog's labels has not been shown to make even an arguable advancement of the state interest in temperance, we consider here only whether the prohibition is more extensive than necessary to serve the asserted interest in insulating children from vulgarity.</w:t>
      </w:r>
    </w:p>
    <w:p w14:paraId="68F8ED52" w14:textId="77777777" w:rsidR="00DB2F17" w:rsidRPr="0019267D" w:rsidRDefault="00FC0E5D">
      <w:pPr>
        <w:tabs>
          <w:tab w:val="left" w:pos="720"/>
        </w:tabs>
        <w:jc w:val="both"/>
        <w:rPr>
          <w:rFonts w:ascii="Arial" w:hAnsi="Arial"/>
          <w:sz w:val="18"/>
        </w:rPr>
      </w:pPr>
      <w:r w:rsidRPr="0019267D">
        <w:rPr>
          <w:rFonts w:ascii="Arial" w:hAnsi="Arial"/>
          <w:sz w:val="18"/>
        </w:rPr>
        <w:t>FN10. The metaphor of "narrow tailoring" as the fourth Central Hudson factor for commercial speech restrictions was adapted from standards applicable to time, place, and manner restrictions on political speech, see Edge Broadcasting, 509 U.S. at 430, 113 S.Ct. at 2705 (citing Ward v. Rock Against Racism, 491 U.S. 781, 799, 109 S.Ct. 2746, 2758, 105 L.Ed.2d 661 (1989)).</w:t>
      </w:r>
    </w:p>
    <w:p w14:paraId="30B54DA3" w14:textId="77777777" w:rsidR="00DB2F17" w:rsidRPr="0019267D" w:rsidRDefault="00FC0E5D">
      <w:pPr>
        <w:tabs>
          <w:tab w:val="left" w:pos="720"/>
        </w:tabs>
        <w:jc w:val="both"/>
        <w:rPr>
          <w:rFonts w:ascii="Arial" w:hAnsi="Arial"/>
          <w:sz w:val="18"/>
        </w:rPr>
      </w:pPr>
      <w:r w:rsidRPr="0019267D">
        <w:rPr>
          <w:rFonts w:ascii="Arial" w:hAnsi="Arial"/>
          <w:sz w:val="18"/>
        </w:rPr>
        <w:t xml:space="preserve">In its most recent commercial speech decisions, the Supreme Court has placed renewed emphasis on the need for narrow tailoring of restrictions on commercial speech.  In 44 Liquormart, where retail liquor price advertising was banned to advance an asserted state interest in temperance, the Court noted that several less restrictive and equally effective measures were available to the state, including increased taxation, limits on purchases, and educational campaigns.  See 517 U.S. at ----, 116 S.Ct. at 1510.  Similarly in Rubin, where display of alcoholic content on beer labels was banned to advance an asserted interest in preventing </w:t>
      </w:r>
      <w:r w:rsidRPr="0019267D">
        <w:rPr>
          <w:rFonts w:ascii="Arial" w:hAnsi="Arial"/>
          <w:sz w:val="18"/>
        </w:rPr>
        <w:lastRenderedPageBreak/>
        <w:t>alcoholic strength wars, the Court pointed out "the availability of alternatives that would prove less intrusive to the First Amendment's protections for commercial speech."  514 U.S. at 491, 115 S.Ct. at 1594.</w:t>
      </w:r>
    </w:p>
    <w:p w14:paraId="367040CE" w14:textId="77777777" w:rsidR="00DB2F17" w:rsidRPr="0019267D" w:rsidRDefault="00FC0E5D">
      <w:pPr>
        <w:tabs>
          <w:tab w:val="left" w:pos="720"/>
        </w:tabs>
        <w:jc w:val="both"/>
        <w:rPr>
          <w:rFonts w:ascii="Arial" w:hAnsi="Arial"/>
          <w:sz w:val="18"/>
        </w:rPr>
      </w:pPr>
      <w:r w:rsidRPr="0019267D">
        <w:rPr>
          <w:rFonts w:ascii="Arial" w:hAnsi="Arial"/>
          <w:sz w:val="18"/>
        </w:rPr>
        <w:t xml:space="preserve"> In this case, Bad Frog has suggested numerous less intrusive alternatives to advance the asserted state interest in protecting children from vulgarity, short of a complete statewide ban on its labels.  Appellant suggests "the restriction of advertising to point-of-sale locations;  limitations on billboard advertising;  restrictions on over-the-air advertising;  and segregation of the product in the store."  Appellant's Brief at 39.  Even if we were to assume that the state materially advances its asserted interest by shielding children from viewing the Bad Frog labels, it is plainly excessive to prohibit the labels from all use, including placement on bottles displayed in bars and taverns where parental supervision of children is to be expected. Moreover, to whatever extent NYSLA is concerned that children will be harmfully exposed to the Bad Frog labels when wandering without parental supervision around grocery and convenience stores where beer is sold, that concern could be less intrusively dealt with by placing restrictions on the permissible locations where the appellant's products may be displayed within such stores. Or, with the labels permitted, restrictions might be imposed on placement of the frog illustration on the outside of six-packs or cases, sold in such stores.</w:t>
      </w:r>
    </w:p>
    <w:p w14:paraId="0B72E978"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NYSLA's complete statewide ban on the use of Bad Frog's labels lacks a  "reasonable fit" with the state's asserted interest in shielding minors from vulgarity, and NYSLA gave inadequate consideration to alternatives to this blanket suppression of commercial speech.  Cf. Bolger, 463 U.S. at 73, 103 S.Ct. at 2883-84 ("[T]he government may not 'reduce the adult population ... to reading only what is fit for children.' ") (quoting Butler v. Michigan, 352 U.S. 380, 383, 77 S.Ct. 524, 526, 1 L.Ed.2d 412 (1957)) (footnote omitted).</w:t>
      </w:r>
    </w:p>
    <w:p w14:paraId="527350C6" w14:textId="77777777" w:rsidR="00DB2F17" w:rsidRPr="0019267D" w:rsidRDefault="00FC0E5D">
      <w:pPr>
        <w:tabs>
          <w:tab w:val="left" w:pos="720"/>
        </w:tabs>
        <w:jc w:val="both"/>
        <w:rPr>
          <w:rFonts w:ascii="Arial" w:hAnsi="Arial"/>
          <w:sz w:val="18"/>
        </w:rPr>
      </w:pPr>
      <w:r w:rsidRPr="0019267D">
        <w:rPr>
          <w:rFonts w:ascii="Arial" w:hAnsi="Arial"/>
          <w:sz w:val="18"/>
        </w:rPr>
        <w:t xml:space="preserve"> E. Relief</w:t>
      </w:r>
    </w:p>
    <w:p w14:paraId="2CEE8DE7" w14:textId="77777777" w:rsidR="00DB2F17" w:rsidRPr="0019267D" w:rsidRDefault="00FC0E5D">
      <w:pPr>
        <w:tabs>
          <w:tab w:val="left" w:pos="720"/>
        </w:tabs>
        <w:jc w:val="both"/>
        <w:rPr>
          <w:rFonts w:ascii="Arial" w:hAnsi="Arial"/>
          <w:sz w:val="18"/>
        </w:rPr>
      </w:pPr>
      <w:r w:rsidRPr="0019267D">
        <w:rPr>
          <w:rFonts w:ascii="Arial" w:hAnsi="Arial"/>
          <w:sz w:val="18"/>
        </w:rPr>
        <w:t xml:space="preserve"> [16] Since we conclude that NYSLA has unlawfully rejected Bad Frog's application for approval of its labels, we face an initial issue concerning relief as to whether the matter should be remanded to the Authority for further consideration of Bad Frog's application or whether the complaint's request for an injunction barring prohibition of the labels should be granted.</w:t>
      </w:r>
    </w:p>
    <w:p w14:paraId="56C6A5D1" w14:textId="77777777" w:rsidR="00DB2F17" w:rsidRPr="0019267D" w:rsidRDefault="00FC0E5D">
      <w:pPr>
        <w:tabs>
          <w:tab w:val="left" w:pos="720"/>
        </w:tabs>
        <w:jc w:val="both"/>
        <w:rPr>
          <w:rFonts w:ascii="Arial" w:hAnsi="Arial"/>
          <w:sz w:val="18"/>
        </w:rPr>
      </w:pPr>
      <w:r w:rsidRPr="0019267D">
        <w:rPr>
          <w:rFonts w:ascii="Arial" w:hAnsi="Arial"/>
          <w:sz w:val="18"/>
        </w:rPr>
        <w:t xml:space="preserve"> NYSLA's unconstitutional prohibition of Bad Frog's labels has been in effect since September 1996.  The duration of that prohibition weighs in favor of immediate relief.  Despite the duration of the prohibition, if it were preventing the serious impairment of a state interest, we might well leave it in force while the Authority is afforded a further opportunity to attempt to fashion some regulation of Bad Frog's labels that accords with First Amendment requirements.  But this case presents no such threat of serious impairment *102 of state interests.  The possibility that some children in supermarkets might see a label depicting a frog displaying a well known gesture of insult, observable throughout contemporary society, does not remotely pose the sort of threat to their well-being that would justify maintenance of the prohibition pending further proceedings before NYSLA.  We will therefore direct the District Court to enjoin NYSLA from rejecting Bad Frog's label application, without prejudice to such further consideration and possible modification of Bad Frog's authority to use its labels as New York may deem appropriate, consistent with this opinion.</w:t>
      </w:r>
    </w:p>
    <w:p w14:paraId="1DD42708" w14:textId="77777777" w:rsidR="00DB2F17" w:rsidRPr="0019267D" w:rsidRDefault="00FC0E5D">
      <w:pPr>
        <w:tabs>
          <w:tab w:val="left" w:pos="720"/>
        </w:tabs>
        <w:jc w:val="both"/>
        <w:rPr>
          <w:rFonts w:ascii="Arial" w:hAnsi="Arial"/>
          <w:sz w:val="18"/>
        </w:rPr>
      </w:pPr>
      <w:r w:rsidRPr="0019267D">
        <w:rPr>
          <w:rFonts w:ascii="Arial" w:hAnsi="Arial"/>
          <w:sz w:val="18"/>
        </w:rPr>
        <w:t xml:space="preserve"> [17] Though we conclude that Bad Frog's First Amendment challenge entitles it to equitable relief, we reject its claim for damages against the NYSLA commissioners in their individual capacities.  The District Court's decision upholding the denial of the application, though erroneous in our view, sufficiently demonstrates that it was reasonable for the commissioners to believe that they were entitled to reject the application, and they are consequently entitled to qualified immunity as a matter of law.</w:t>
      </w:r>
    </w:p>
    <w:p w14:paraId="6EEA2B28" w14:textId="77777777" w:rsidR="00DB2F17" w:rsidRPr="0019267D" w:rsidRDefault="00FC0E5D">
      <w:pPr>
        <w:tabs>
          <w:tab w:val="left" w:pos="720"/>
        </w:tabs>
        <w:jc w:val="both"/>
        <w:rPr>
          <w:rFonts w:ascii="Arial" w:hAnsi="Arial"/>
          <w:sz w:val="18"/>
        </w:rPr>
      </w:pPr>
      <w:r w:rsidRPr="0019267D">
        <w:rPr>
          <w:rFonts w:ascii="Arial" w:hAnsi="Arial"/>
          <w:sz w:val="18"/>
        </w:rPr>
        <w:t xml:space="preserve"> IV. State Law Claims</w:t>
      </w:r>
    </w:p>
    <w:p w14:paraId="288681C9" w14:textId="77777777" w:rsidR="00DB2F17" w:rsidRPr="0019267D" w:rsidRDefault="00FC0E5D">
      <w:pPr>
        <w:tabs>
          <w:tab w:val="left" w:pos="720"/>
        </w:tabs>
        <w:jc w:val="both"/>
        <w:rPr>
          <w:rFonts w:ascii="Arial" w:hAnsi="Arial"/>
          <w:sz w:val="18"/>
        </w:rPr>
      </w:pPr>
      <w:r w:rsidRPr="0019267D">
        <w:rPr>
          <w:rFonts w:ascii="Arial" w:hAnsi="Arial"/>
          <w:sz w:val="18"/>
        </w:rPr>
        <w:t xml:space="preserve"> Bad Frog has asserted state law claims based on violations of the New York State Constitution and the Alcoholic Beverage Control Law. See Complaint ¶¶ 40- 46.  In its opinion denying Bad Frog's request for a preliminary injunction, the District Court stated that Bad Frog's state law claims appeared to be barred by the Eleventh Amendment.  See Bad Frog, 1996 WL 705786, at *5. In its summary judgment opinion, however, the District Court declined to retain supplemental jurisdiction over the state law claims, see 28 U.S.C. § 1367(c)(3), after dismissing all federal claims.  See Bad Frog, 973 F.Supp. at 288.</w:t>
      </w:r>
    </w:p>
    <w:p w14:paraId="4B2DD75B" w14:textId="77777777" w:rsidR="00DB2F17" w:rsidRPr="0019267D" w:rsidRDefault="00FC0E5D">
      <w:pPr>
        <w:tabs>
          <w:tab w:val="left" w:pos="720"/>
        </w:tabs>
        <w:jc w:val="both"/>
        <w:rPr>
          <w:rFonts w:ascii="Arial" w:hAnsi="Arial"/>
          <w:sz w:val="18"/>
        </w:rPr>
      </w:pPr>
      <w:r w:rsidRPr="0019267D">
        <w:rPr>
          <w:rFonts w:ascii="Arial" w:hAnsi="Arial"/>
          <w:sz w:val="18"/>
        </w:rPr>
        <w:t xml:space="preserve"> [18] Contrary to the suggestion in the District Court's preliminary injunction opinion, we think that at least some of Bad Frog's state law claims are not barred by the Eleventh Amendment.  The jurisdictional limitation recognized in Pennhurst does not apply to an individual capacity claim seeking damages against a state official, even if the claim is based on state law.  See Ying Jing Gan v. City of New York, 996 F.2d 522, 529 (2d Cir.1993);  Wilson v. UT Health Center, 973 F.2d 1263, 1271 (5th Cir.1992) ( "Pennhurst and the Eleventh Amendment do not deprive federal courts of jurisdiction over state law claims against state officials strictly in their individual capacities.").  Bad Frog purports to sue the NYSLA commissioners in part in their individual capacities, and seeks damages for their alleged violations of state law.  See Complaint ¶¶ 5-7 and "Demand for Judgment" ¶ (3).</w:t>
      </w:r>
    </w:p>
    <w:p w14:paraId="38ABA802" w14:textId="77777777" w:rsidR="00DB2F17" w:rsidRPr="0019267D" w:rsidRDefault="00FC0E5D">
      <w:pPr>
        <w:tabs>
          <w:tab w:val="left" w:pos="720"/>
        </w:tabs>
        <w:jc w:val="both"/>
        <w:rPr>
          <w:rFonts w:ascii="Arial" w:hAnsi="Arial"/>
          <w:sz w:val="18"/>
        </w:rPr>
      </w:pPr>
      <w:r w:rsidRPr="0019267D">
        <w:rPr>
          <w:rFonts w:ascii="Arial" w:hAnsi="Arial"/>
          <w:sz w:val="18"/>
        </w:rPr>
        <w:t xml:space="preserve"> [19] Nevertheless, we think that this is an appropriate case for declining to exercise supplemental jurisdiction over these claims in view of the numerous novel and complex issues of state law they raise.  See 28 U.S.C. § 1367(c)(1).  As noted above, there is significant uncertainty as to whether NYSLA exceeded the scope of its statutory mandate in enacting a decency regulation and in applying to labels a regulation governing interior signs. Bad Frog's claims for damages raise additional difficult issues such as whether the pertinent state constitutional and statutory provisions imply a private right of action for damages, and whether the commissioners might be entitled to state law immunity for their actions.</w:t>
      </w:r>
    </w:p>
    <w:p w14:paraId="2C59286C" w14:textId="77777777" w:rsidR="00DB2F17" w:rsidRPr="0019267D" w:rsidRDefault="00FC0E5D">
      <w:pPr>
        <w:tabs>
          <w:tab w:val="left" w:pos="720"/>
        </w:tabs>
        <w:jc w:val="both"/>
        <w:rPr>
          <w:rFonts w:ascii="Arial" w:hAnsi="Arial"/>
          <w:sz w:val="18"/>
        </w:rPr>
      </w:pPr>
      <w:r w:rsidRPr="0019267D">
        <w:rPr>
          <w:rFonts w:ascii="Arial" w:hAnsi="Arial"/>
          <w:sz w:val="18"/>
        </w:rPr>
        <w:t xml:space="preserve"> In the absence of First Amendment concerns, these uncertain state law issues would have provided a strong basis for Pullman abstention.  Because First Amendment concerns for speech restriction during the pendency of a lawsuit are not implicated by Bad </w:t>
      </w:r>
      <w:r w:rsidRPr="0019267D">
        <w:rPr>
          <w:rFonts w:ascii="Arial" w:hAnsi="Arial"/>
          <w:sz w:val="18"/>
        </w:rPr>
        <w:lastRenderedPageBreak/>
        <w:t>Frog's claims for monetary relief, the interests of comity and federalism are best served by the presentation of these uncertain state law issues to a state court.  We thus affirm the District Court's dismissal of Bad Frog's state law claims for damages, but do so in reliance on section 1367(c)(1) (permitting declination of supplemental jurisdiction over claim "that raises a novel or complex issue of State law").</w:t>
      </w:r>
    </w:p>
    <w:p w14:paraId="73708CF3" w14:textId="77777777" w:rsidR="00DB2F17" w:rsidRPr="0019267D" w:rsidRDefault="00FC0E5D">
      <w:pPr>
        <w:tabs>
          <w:tab w:val="left" w:pos="720"/>
        </w:tabs>
        <w:jc w:val="both"/>
        <w:rPr>
          <w:rFonts w:ascii="Arial" w:hAnsi="Arial"/>
          <w:sz w:val="18"/>
        </w:rPr>
      </w:pPr>
      <w:r w:rsidRPr="0019267D">
        <w:rPr>
          <w:rFonts w:ascii="Arial" w:hAnsi="Arial"/>
          <w:sz w:val="18"/>
        </w:rPr>
        <w:t>Conclusion</w:t>
      </w:r>
    </w:p>
    <w:p w14:paraId="3FDC3EB0" w14:textId="77777777" w:rsidR="00DB2F17" w:rsidRPr="0019267D" w:rsidRDefault="00FC0E5D">
      <w:pPr>
        <w:tabs>
          <w:tab w:val="left" w:pos="720"/>
        </w:tabs>
        <w:jc w:val="both"/>
        <w:rPr>
          <w:rFonts w:ascii="Arial" w:hAnsi="Arial"/>
          <w:sz w:val="18"/>
        </w:rPr>
      </w:pPr>
      <w:r w:rsidRPr="0019267D">
        <w:rPr>
          <w:rFonts w:ascii="Arial" w:hAnsi="Arial"/>
          <w:sz w:val="18"/>
        </w:rPr>
        <w:t>The judgment of the District Court is reversed, and the case is remanded for entry of judgment in favor of Bad Frog on its claim *103 for injunctive relief;  the injunction shall prohibit NYSLA from rejecting Bad Frog's label application, without prejudice to such further consideration and possible modification of Bad Frog's authority to use its labels as New York may deem appropriate, consistent with this opinion.  Dismissal of the federal law claim for damages against the NYSLA commissioners is affirmed on the ground of immunity.  Dismissal of the state law claim for damages is affirmed pursuant to 28 U.S.C. § 1367(c)(1).  Upon remand, the District Court shall consider the claim for attorney's fees to the extent warranted with respect to the federal law equitable claim.</w:t>
      </w:r>
    </w:p>
    <w:p w14:paraId="7F5DBBE0" w14:textId="77777777" w:rsidR="00DB2F17" w:rsidRPr="0019267D" w:rsidRDefault="00DB2F17">
      <w:pPr>
        <w:widowControl w:val="0"/>
        <w:autoSpaceDE w:val="0"/>
        <w:autoSpaceDN w:val="0"/>
        <w:adjustRightInd w:val="0"/>
        <w:rPr>
          <w:rFonts w:ascii="Arial" w:hAnsi="Arial"/>
          <w:sz w:val="18"/>
        </w:rPr>
      </w:pPr>
    </w:p>
    <w:p w14:paraId="49FD8DB1" w14:textId="77777777" w:rsidR="00DB2F17" w:rsidRPr="0019267D" w:rsidRDefault="00DB2F17">
      <w:pPr>
        <w:widowControl w:val="0"/>
        <w:autoSpaceDE w:val="0"/>
        <w:autoSpaceDN w:val="0"/>
        <w:adjustRightInd w:val="0"/>
        <w:rPr>
          <w:rFonts w:ascii="Arial" w:hAnsi="Arial"/>
          <w:sz w:val="18"/>
        </w:rPr>
      </w:pPr>
    </w:p>
    <w:p w14:paraId="1F3188F5" w14:textId="77777777" w:rsidR="00DB2F17" w:rsidRPr="0019267D" w:rsidRDefault="00FC0E5D">
      <w:pPr>
        <w:rPr>
          <w:rFonts w:ascii="Arial" w:hAnsi="Arial"/>
        </w:rPr>
      </w:pPr>
      <w:r w:rsidRPr="0019267D">
        <w:rPr>
          <w:rFonts w:ascii="Arial" w:hAnsi="Arial"/>
          <w:b/>
          <w:i/>
          <w:sz w:val="72"/>
        </w:rPr>
        <w:t>Case 2.3</w:t>
      </w:r>
    </w:p>
    <w:p w14:paraId="664AB8D5" w14:textId="77777777" w:rsidR="005724DA" w:rsidRPr="0019267D" w:rsidRDefault="005724DA" w:rsidP="005724DA">
      <w:pPr>
        <w:rPr>
          <w:rFonts w:ascii="Arial" w:hAnsi="Arial"/>
        </w:rPr>
      </w:pPr>
      <w:bookmarkStart w:id="1" w:name="last-page"/>
      <w:bookmarkEnd w:id="1"/>
    </w:p>
    <w:p w14:paraId="47DA1D10"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U.S.,2015.</w:t>
      </w:r>
    </w:p>
    <w:p w14:paraId="1599CCA0"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Holt v. Hobbs</w:t>
      </w:r>
    </w:p>
    <w:p w14:paraId="484BD97C"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135 S.Ct. 853, 15 Cal. Daily Op. Serv. 6827, 2015 Daily Journal D.A.R. 734</w:t>
      </w:r>
    </w:p>
    <w:p w14:paraId="20E34F34" w14:textId="77777777" w:rsidR="00002EE5" w:rsidRPr="0019267D" w:rsidRDefault="00002EE5" w:rsidP="00002EE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Supreme Court of the United States</w:t>
      </w:r>
    </w:p>
    <w:p w14:paraId="4B62399C" w14:textId="77777777" w:rsidR="00002EE5" w:rsidRPr="0019267D" w:rsidRDefault="00002EE5" w:rsidP="00002EE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Gregory Houston HOLT, aka Abdul Maalik Muhammad, Petitioner</w:t>
      </w:r>
    </w:p>
    <w:p w14:paraId="1248E699" w14:textId="77777777" w:rsidR="00002EE5" w:rsidRPr="0019267D" w:rsidRDefault="00002EE5" w:rsidP="00002EE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v.</w:t>
      </w:r>
    </w:p>
    <w:p w14:paraId="11C335A8" w14:textId="77777777" w:rsidR="00002EE5" w:rsidRPr="0019267D" w:rsidRDefault="00002EE5" w:rsidP="00002EE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Ray HOBBS, Director, Arkansas Department of Correction, et al.</w:t>
      </w:r>
    </w:p>
    <w:p w14:paraId="08EE18BE"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No. 13–6827.</w:t>
      </w:r>
    </w:p>
    <w:p w14:paraId="3137F908"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Argued Oct. 7, 2014.</w:t>
      </w:r>
    </w:p>
    <w:p w14:paraId="4B5970BC"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Decided Jan. 20, 2015.</w:t>
      </w:r>
    </w:p>
    <w:p w14:paraId="4146CB6A"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 xml:space="preserve">Justice </w:t>
      </w:r>
      <w:hyperlink r:id="rId7" w:history="1">
        <w:r w:rsidRPr="0019267D">
          <w:rPr>
            <w:rFonts w:ascii="Arial" w:hAnsi="Arial" w:cs="Arial"/>
            <w:color w:val="0000FF"/>
            <w:sz w:val="20"/>
          </w:rPr>
          <w:t>ALITO</w:t>
        </w:r>
      </w:hyperlink>
      <w:r w:rsidRPr="0019267D">
        <w:rPr>
          <w:rFonts w:ascii="Arial" w:hAnsi="Arial" w:cs="Arial"/>
          <w:color w:val="000000"/>
          <w:sz w:val="20"/>
        </w:rPr>
        <w:t xml:space="preserve"> delivered the opinion of the Court.</w:t>
      </w:r>
    </w:p>
    <w:p w14:paraId="53F689A8"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Petitioner Gregory Holt, also known as Abdul Maalik Muhammad, is an Arkansas inmate and a devout Muslim who wishes to grow a 1/2 –inch beard in accordance with his religious beliefs. Petitioner's objection to shaving his beard clashes with the Arkansas Department of Correction's grooming policy, which prohibits inmates from growing beards unless they have a particular dermatological condition. We hold that the Department's policy, as applied in this case, violates the Religious Land Use and Institutionalized Persons Act of 2000 (RLUIPA), 114 Stat. 803, </w:t>
      </w:r>
      <w:hyperlink r:id="rId8" w:history="1">
        <w:r w:rsidRPr="0019267D">
          <w:rPr>
            <w:rFonts w:ascii="Arial" w:hAnsi="Arial" w:cs="Arial"/>
            <w:color w:val="0000FF"/>
            <w:sz w:val="20"/>
          </w:rPr>
          <w:t xml:space="preserve">42 U.S.C. § 2000cc </w:t>
        </w:r>
      </w:hyperlink>
      <w:hyperlink r:id="rId9" w:history="1">
        <w:r w:rsidRPr="0019267D">
          <w:rPr>
            <w:rFonts w:ascii="Arial" w:hAnsi="Arial" w:cs="Arial"/>
            <w:i/>
            <w:iCs/>
            <w:color w:val="0000FF"/>
            <w:sz w:val="20"/>
          </w:rPr>
          <w:t>et seq.,</w:t>
        </w:r>
      </w:hyperlink>
      <w:r w:rsidRPr="0019267D">
        <w:rPr>
          <w:rFonts w:ascii="Arial" w:hAnsi="Arial" w:cs="Arial"/>
          <w:i/>
          <w:iCs/>
          <w:color w:val="000000"/>
          <w:sz w:val="20"/>
        </w:rPr>
        <w:t xml:space="preserve"> </w:t>
      </w:r>
      <w:r w:rsidRPr="0019267D">
        <w:rPr>
          <w:rFonts w:ascii="Arial" w:hAnsi="Arial" w:cs="Arial"/>
          <w:color w:val="000000"/>
          <w:sz w:val="20"/>
        </w:rPr>
        <w:t>which prohibits a state or local government from taking any action that substantially burdens the religious exercise of an institutionalized person unless the government demonstrates that the action constitutes the least restrictive means of furthering a compelling governmental interest.</w:t>
      </w:r>
    </w:p>
    <w:p w14:paraId="340BDE4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65C1BDF"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conclude in this case that the Department's policy substantially burdens petitioner's religious exercise. Although we do not question the importance of the Department's interests in stopping the flow of contraband and facilitating prisoner identification, we do doubt whether the prohibition against petitioner's beard furthers its compelling interest about contraband. And we conclude that the Department has failed to show that its policy is the least restrictive means of furthering its compelling interests. We thus reverse the decision of the United States Court of Appeals for the Eighth Circuit.</w:t>
      </w:r>
    </w:p>
    <w:p w14:paraId="56A60311"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9D080D6"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w:t>
      </w:r>
    </w:p>
    <w:p w14:paraId="0EEB6D88"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A</w:t>
      </w:r>
    </w:p>
    <w:p w14:paraId="78D5C16F"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2035298235" w:history="1">
        <w:r w:rsidR="00002EE5" w:rsidRPr="0019267D">
          <w:rPr>
            <w:rFonts w:ascii="Arial" w:hAnsi="Arial" w:cs="Arial"/>
            <w:color w:val="0000FF"/>
            <w:sz w:val="20"/>
          </w:rPr>
          <w:t>[1]</w:t>
        </w:r>
      </w:hyperlink>
      <w:bookmarkStart w:id="2" w:name="Document1zzB12035298235"/>
      <w:bookmarkEnd w:id="2"/>
      <w:r w:rsidR="00002EE5" w:rsidRPr="0019267D">
        <w:rPr>
          <w:rFonts w:ascii="Arial" w:hAnsi="Arial" w:cs="Arial"/>
          <w:color w:val="000000"/>
          <w:sz w:val="20"/>
        </w:rPr>
        <w:t xml:space="preserve"> Congress enacted RLUIPA and its sister statute, the Religious Freedom Restoration Act of 1993 (RFRA), 107 Stat. 1488, </w:t>
      </w:r>
      <w:hyperlink r:id="rId10" w:history="1">
        <w:r w:rsidR="00002EE5" w:rsidRPr="0019267D">
          <w:rPr>
            <w:rFonts w:ascii="Arial" w:hAnsi="Arial" w:cs="Arial"/>
            <w:color w:val="0000FF"/>
            <w:sz w:val="20"/>
          </w:rPr>
          <w:t xml:space="preserve">42 U.S.C. § 2000bb </w:t>
        </w:r>
      </w:hyperlink>
      <w:hyperlink r:id="rId11" w:history="1">
        <w:r w:rsidR="00002EE5" w:rsidRPr="0019267D">
          <w:rPr>
            <w:rFonts w:ascii="Arial" w:hAnsi="Arial" w:cs="Arial"/>
            <w:i/>
            <w:iCs/>
            <w:color w:val="0000FF"/>
            <w:sz w:val="20"/>
          </w:rPr>
          <w:t>et seq.,</w:t>
        </w:r>
      </w:hyperlink>
      <w:r w:rsidR="00002EE5" w:rsidRPr="0019267D">
        <w:rPr>
          <w:rFonts w:ascii="Arial" w:hAnsi="Arial" w:cs="Arial"/>
          <w:color w:val="000000"/>
          <w:sz w:val="20"/>
        </w:rPr>
        <w:t xml:space="preserve"> “in order to provide very broad protection for religious liberty.” </w:t>
      </w:r>
      <w:hyperlink r:id="rId12" w:history="1">
        <w:r w:rsidR="00002EE5" w:rsidRPr="0019267D">
          <w:rPr>
            <w:rFonts w:ascii="Arial" w:hAnsi="Arial" w:cs="Arial"/>
            <w:i/>
            <w:iCs/>
            <w:color w:val="0000FF"/>
            <w:sz w:val="20"/>
          </w:rPr>
          <w:t xml:space="preserve">Burwell v. </w:t>
        </w:r>
        <w:r w:rsidR="00002EE5" w:rsidRPr="0019267D">
          <w:rPr>
            <w:rFonts w:ascii="Arial" w:hAnsi="Arial" w:cs="Arial"/>
            <w:i/>
            <w:iCs/>
            <w:color w:val="0000FF"/>
            <w:sz w:val="20"/>
          </w:rPr>
          <w:lastRenderedPageBreak/>
          <w:t>Hobby Lobby Stores, Inc.,</w:t>
        </w:r>
      </w:hyperlink>
      <w:hyperlink r:id="rId13" w:history="1">
        <w:r w:rsidR="00002EE5" w:rsidRPr="0019267D">
          <w:rPr>
            <w:rFonts w:ascii="Arial" w:hAnsi="Arial" w:cs="Arial"/>
            <w:color w:val="0000FF"/>
            <w:sz w:val="20"/>
          </w:rPr>
          <w:t xml:space="preserve"> 573 U.S. ––––, ––––, 134 S.Ct. 2751, 2760, 189 L.Ed.2d 675 (2014)</w:t>
        </w:r>
      </w:hyperlink>
      <w:r w:rsidR="00002EE5" w:rsidRPr="0019267D">
        <w:rPr>
          <w:rFonts w:ascii="Arial" w:hAnsi="Arial" w:cs="Arial"/>
          <w:color w:val="000000"/>
          <w:sz w:val="20"/>
        </w:rPr>
        <w:t xml:space="preserve">. RFRA was enacted three years after our decision in </w:t>
      </w:r>
      <w:hyperlink r:id="rId14" w:history="1">
        <w:r w:rsidR="00002EE5" w:rsidRPr="0019267D">
          <w:rPr>
            <w:rFonts w:ascii="Arial" w:hAnsi="Arial" w:cs="Arial"/>
            <w:i/>
            <w:iCs/>
            <w:color w:val="0000FF"/>
            <w:sz w:val="20"/>
          </w:rPr>
          <w:t>Employment Div., Dept. of Human Resources of Ore. v. Smith,</w:t>
        </w:r>
      </w:hyperlink>
      <w:hyperlink r:id="rId15" w:history="1">
        <w:r w:rsidR="00002EE5" w:rsidRPr="0019267D">
          <w:rPr>
            <w:rFonts w:ascii="Arial" w:hAnsi="Arial" w:cs="Arial"/>
            <w:color w:val="0000FF"/>
            <w:sz w:val="20"/>
          </w:rPr>
          <w:t xml:space="preserve"> 494 U.S. 872, 110 S.Ct. 1595, 108 L.Ed.2d 876 (1990)</w:t>
        </w:r>
      </w:hyperlink>
      <w:r w:rsidR="00002EE5" w:rsidRPr="0019267D">
        <w:rPr>
          <w:rFonts w:ascii="Arial" w:hAnsi="Arial" w:cs="Arial"/>
          <w:color w:val="000000"/>
          <w:sz w:val="20"/>
        </w:rPr>
        <w:t xml:space="preserve">, which held that neutral, generally applicable laws that incidentally burden the exercise of religion usually do not violate the Free Exercise Clause of the First Amendment. </w:t>
      </w:r>
      <w:hyperlink r:id="rId16" w:history="1">
        <w:r w:rsidR="00002EE5" w:rsidRPr="0019267D">
          <w:rPr>
            <w:rFonts w:ascii="Arial" w:hAnsi="Arial" w:cs="Arial"/>
            <w:i/>
            <w:iCs/>
            <w:color w:val="0000FF"/>
            <w:sz w:val="20"/>
          </w:rPr>
          <w:t>Id.,</w:t>
        </w:r>
      </w:hyperlink>
      <w:hyperlink r:id="rId17" w:history="1">
        <w:r w:rsidR="00002EE5" w:rsidRPr="0019267D">
          <w:rPr>
            <w:rFonts w:ascii="Arial" w:hAnsi="Arial" w:cs="Arial"/>
            <w:color w:val="0000FF"/>
            <w:sz w:val="20"/>
          </w:rPr>
          <w:t xml:space="preserve"> at 878–882, 110 S.Ct. 1595</w:t>
        </w:r>
      </w:hyperlink>
      <w:r w:rsidR="00002EE5" w:rsidRPr="0019267D">
        <w:rPr>
          <w:rFonts w:ascii="Arial" w:hAnsi="Arial" w:cs="Arial"/>
          <w:color w:val="000000"/>
          <w:sz w:val="20"/>
        </w:rPr>
        <w:t xml:space="preserve">. </w:t>
      </w:r>
      <w:r w:rsidR="00002EE5" w:rsidRPr="0019267D">
        <w:rPr>
          <w:rFonts w:ascii="Arial" w:hAnsi="Arial" w:cs="Arial"/>
          <w:i/>
          <w:iCs/>
          <w:color w:val="000000"/>
          <w:sz w:val="20"/>
        </w:rPr>
        <w:t>Smith</w:t>
      </w:r>
      <w:r w:rsidR="00002EE5" w:rsidRPr="0019267D">
        <w:rPr>
          <w:rFonts w:ascii="Arial" w:hAnsi="Arial" w:cs="Arial"/>
          <w:color w:val="000000"/>
          <w:sz w:val="20"/>
        </w:rPr>
        <w:t xml:space="preserve"> largely repudiated the method of analysis used in prior free exercise cases like </w:t>
      </w:r>
      <w:hyperlink r:id="rId18" w:history="1">
        <w:r w:rsidR="00002EE5" w:rsidRPr="0019267D">
          <w:rPr>
            <w:rFonts w:ascii="Arial" w:hAnsi="Arial" w:cs="Arial"/>
            <w:i/>
            <w:iCs/>
            <w:color w:val="0000FF"/>
            <w:sz w:val="20"/>
          </w:rPr>
          <w:t>Wisconsin v. Yoder,</w:t>
        </w:r>
      </w:hyperlink>
      <w:hyperlink r:id="rId19" w:history="1">
        <w:r w:rsidR="00002EE5" w:rsidRPr="0019267D">
          <w:rPr>
            <w:rFonts w:ascii="Arial" w:hAnsi="Arial" w:cs="Arial"/>
            <w:color w:val="0000FF"/>
            <w:sz w:val="20"/>
          </w:rPr>
          <w:t xml:space="preserve"> 406 U.S. 205, 92 S.Ct. 1526, 32 L.Ed.2d 15 (1972)</w:t>
        </w:r>
      </w:hyperlink>
      <w:r w:rsidR="00002EE5" w:rsidRPr="0019267D">
        <w:rPr>
          <w:rFonts w:ascii="Arial" w:hAnsi="Arial" w:cs="Arial"/>
          <w:color w:val="000000"/>
          <w:sz w:val="20"/>
        </w:rPr>
        <w:t xml:space="preserve">, and </w:t>
      </w:r>
      <w:hyperlink r:id="rId20" w:history="1">
        <w:r w:rsidR="00002EE5" w:rsidRPr="0019267D">
          <w:rPr>
            <w:rFonts w:ascii="Arial" w:hAnsi="Arial" w:cs="Arial"/>
            <w:i/>
            <w:iCs/>
            <w:color w:val="0000FF"/>
            <w:sz w:val="20"/>
          </w:rPr>
          <w:t>Sherbert v. Verner,</w:t>
        </w:r>
      </w:hyperlink>
      <w:hyperlink r:id="rId21" w:history="1">
        <w:r w:rsidR="00002EE5" w:rsidRPr="0019267D">
          <w:rPr>
            <w:rFonts w:ascii="Arial" w:hAnsi="Arial" w:cs="Arial"/>
            <w:color w:val="0000FF"/>
            <w:sz w:val="20"/>
          </w:rPr>
          <w:t xml:space="preserve"> 374 U.S. 398, 83 S.Ct. 1790, 10 L.Ed.2d 965 (1963)</w:t>
        </w:r>
      </w:hyperlink>
      <w:r w:rsidR="00002EE5" w:rsidRPr="0019267D">
        <w:rPr>
          <w:rFonts w:ascii="Arial" w:hAnsi="Arial" w:cs="Arial"/>
          <w:color w:val="000000"/>
          <w:sz w:val="20"/>
        </w:rPr>
        <w:t xml:space="preserve">. In those cases, we employed a balancing test that considered whether a challenged government action that substantially burdened the exercise of religion was necessary to further a compelling state interest. See </w:t>
      </w:r>
      <w:hyperlink r:id="rId22" w:history="1">
        <w:r w:rsidR="00002EE5" w:rsidRPr="0019267D">
          <w:rPr>
            <w:rFonts w:ascii="Arial" w:hAnsi="Arial" w:cs="Arial"/>
            <w:i/>
            <w:iCs/>
            <w:color w:val="0000FF"/>
            <w:sz w:val="20"/>
          </w:rPr>
          <w:t>Yoder,</w:t>
        </w:r>
      </w:hyperlink>
      <w:hyperlink r:id="rId23" w:history="1">
        <w:r w:rsidR="00002EE5" w:rsidRPr="0019267D">
          <w:rPr>
            <w:rFonts w:ascii="Arial" w:hAnsi="Arial" w:cs="Arial"/>
            <w:color w:val="0000FF"/>
            <w:sz w:val="20"/>
            <w:u w:val="single"/>
          </w:rPr>
          <w:t> </w:t>
        </w:r>
      </w:hyperlink>
      <w:hyperlink r:id="rId24" w:history="1">
        <w:r w:rsidR="00002EE5" w:rsidRPr="0019267D">
          <w:rPr>
            <w:rFonts w:ascii="Arial" w:hAnsi="Arial" w:cs="Arial"/>
            <w:i/>
            <w:iCs/>
            <w:color w:val="0000FF"/>
            <w:sz w:val="20"/>
          </w:rPr>
          <w:t>supra,</w:t>
        </w:r>
      </w:hyperlink>
      <w:hyperlink r:id="rId25" w:history="1">
        <w:r w:rsidR="00002EE5" w:rsidRPr="0019267D">
          <w:rPr>
            <w:rFonts w:ascii="Arial" w:hAnsi="Arial" w:cs="Arial"/>
            <w:color w:val="0000FF"/>
            <w:sz w:val="20"/>
          </w:rPr>
          <w:t xml:space="preserve"> at 214, 219, 92 S.Ct. 1526</w:t>
        </w:r>
      </w:hyperlink>
      <w:r w:rsidR="00002EE5" w:rsidRPr="0019267D">
        <w:rPr>
          <w:rFonts w:ascii="Arial" w:hAnsi="Arial" w:cs="Arial"/>
          <w:color w:val="000000"/>
          <w:sz w:val="20"/>
        </w:rPr>
        <w:t xml:space="preserve">; </w:t>
      </w:r>
      <w:hyperlink r:id="rId26" w:history="1">
        <w:r w:rsidR="00002EE5" w:rsidRPr="0019267D">
          <w:rPr>
            <w:rFonts w:ascii="Arial" w:hAnsi="Arial" w:cs="Arial"/>
            <w:i/>
            <w:iCs/>
            <w:color w:val="0000FF"/>
            <w:sz w:val="20"/>
          </w:rPr>
          <w:t>Sherbert, supra,</w:t>
        </w:r>
      </w:hyperlink>
      <w:hyperlink r:id="rId27" w:history="1">
        <w:r w:rsidR="00002EE5" w:rsidRPr="0019267D">
          <w:rPr>
            <w:rFonts w:ascii="Arial" w:hAnsi="Arial" w:cs="Arial"/>
            <w:color w:val="0000FF"/>
            <w:sz w:val="20"/>
          </w:rPr>
          <w:t xml:space="preserve"> at 403, 406, 83 S.Ct. 1790</w:t>
        </w:r>
      </w:hyperlink>
      <w:r w:rsidR="00002EE5" w:rsidRPr="0019267D">
        <w:rPr>
          <w:rFonts w:ascii="Arial" w:hAnsi="Arial" w:cs="Arial"/>
          <w:color w:val="000000"/>
          <w:sz w:val="20"/>
        </w:rPr>
        <w:t>.</w:t>
      </w:r>
    </w:p>
    <w:p w14:paraId="3B6AC70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A61E2DC"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22035298235" w:history="1">
        <w:r w:rsidR="00002EE5" w:rsidRPr="0019267D">
          <w:rPr>
            <w:rFonts w:ascii="Arial" w:hAnsi="Arial" w:cs="Arial"/>
            <w:color w:val="0000FF"/>
            <w:sz w:val="20"/>
          </w:rPr>
          <w:t>[2]</w:t>
        </w:r>
      </w:hyperlink>
      <w:bookmarkStart w:id="3" w:name="Document1zzB22035298235"/>
      <w:bookmarkEnd w:id="3"/>
      <w:r w:rsidR="00002EE5" w:rsidRPr="0019267D">
        <w:rPr>
          <w:rFonts w:ascii="Arial" w:hAnsi="Arial" w:cs="Arial"/>
          <w:color w:val="000000"/>
          <w:sz w:val="20"/>
        </w:rPr>
        <w:t xml:space="preserve"> Following our decision in </w:t>
      </w:r>
      <w:r w:rsidR="00002EE5" w:rsidRPr="0019267D">
        <w:rPr>
          <w:rFonts w:ascii="Arial" w:hAnsi="Arial" w:cs="Arial"/>
          <w:i/>
          <w:iCs/>
          <w:color w:val="000000"/>
          <w:sz w:val="20"/>
        </w:rPr>
        <w:t>Smith,</w:t>
      </w:r>
      <w:r w:rsidR="00002EE5" w:rsidRPr="0019267D">
        <w:rPr>
          <w:rFonts w:ascii="Arial" w:hAnsi="Arial" w:cs="Arial"/>
          <w:color w:val="000000"/>
          <w:sz w:val="20"/>
        </w:rPr>
        <w:t xml:space="preserve"> Congress enacted RFRA in order to provide greater protection for religious exercise than is available under the First Amendment. See </w:t>
      </w:r>
      <w:hyperlink r:id="rId28" w:history="1">
        <w:r w:rsidR="00002EE5" w:rsidRPr="0019267D">
          <w:rPr>
            <w:rFonts w:ascii="Arial" w:hAnsi="Arial" w:cs="Arial"/>
            <w:i/>
            <w:iCs/>
            <w:color w:val="0000FF"/>
            <w:sz w:val="20"/>
          </w:rPr>
          <w:t>Hobby Lobby, supra,</w:t>
        </w:r>
      </w:hyperlink>
      <w:hyperlink r:id="rId29" w:history="1">
        <w:r w:rsidR="00002EE5" w:rsidRPr="0019267D">
          <w:rPr>
            <w:rFonts w:ascii="Arial" w:hAnsi="Arial" w:cs="Arial"/>
            <w:color w:val="0000FF"/>
            <w:sz w:val="20"/>
          </w:rPr>
          <w:t xml:space="preserve"> at –––– – ––––, 134 S.Ct., at 2760–2761</w:t>
        </w:r>
      </w:hyperlink>
      <w:r w:rsidR="00002EE5" w:rsidRPr="0019267D">
        <w:rPr>
          <w:rFonts w:ascii="Arial" w:hAnsi="Arial" w:cs="Arial"/>
          <w:color w:val="000000"/>
          <w:sz w:val="20"/>
        </w:rPr>
        <w:t xml:space="preserve">. RFRA provides that “[g]overnment shall not substantially burden a person's exercise of religion even if the burden results from a rule of general applicability,” unless the government “demonstrates that application of the burden to the person—(1) is in furtherance of a compelling governmental interest; and (2) is the least restrictive means of furthering that compelling governmental interest.” </w:t>
      </w:r>
      <w:hyperlink r:id="rId30" w:history="1">
        <w:r w:rsidR="00002EE5" w:rsidRPr="0019267D">
          <w:rPr>
            <w:rFonts w:ascii="Arial" w:hAnsi="Arial" w:cs="Arial"/>
            <w:color w:val="0000FF"/>
            <w:sz w:val="20"/>
          </w:rPr>
          <w:t>42 U.S.C. §§ 2000bb–1(a)</w:t>
        </w:r>
      </w:hyperlink>
      <w:r w:rsidR="00002EE5" w:rsidRPr="0019267D">
        <w:rPr>
          <w:rFonts w:ascii="Arial" w:hAnsi="Arial" w:cs="Arial"/>
          <w:color w:val="000000"/>
          <w:sz w:val="20"/>
        </w:rPr>
        <w:t xml:space="preserve">, </w:t>
      </w:r>
      <w:hyperlink r:id="rId31" w:history="1">
        <w:r w:rsidR="00002EE5" w:rsidRPr="0019267D">
          <w:rPr>
            <w:rFonts w:ascii="Arial" w:hAnsi="Arial" w:cs="Arial"/>
            <w:color w:val="0000FF"/>
            <w:sz w:val="20"/>
          </w:rPr>
          <w:t>(b)</w:t>
        </w:r>
      </w:hyperlink>
      <w:r w:rsidR="00002EE5" w:rsidRPr="0019267D">
        <w:rPr>
          <w:rFonts w:ascii="Arial" w:hAnsi="Arial" w:cs="Arial"/>
          <w:color w:val="000000"/>
          <w:sz w:val="20"/>
        </w:rPr>
        <w:t xml:space="preserve">. In making RFRA applicable to the States and their subdivisions, Congress relied on Section 5 of the Fourteenth Amendment, but in </w:t>
      </w:r>
      <w:hyperlink r:id="rId32" w:history="1">
        <w:r w:rsidR="00002EE5" w:rsidRPr="0019267D">
          <w:rPr>
            <w:rFonts w:ascii="Arial" w:hAnsi="Arial" w:cs="Arial"/>
            <w:i/>
            <w:iCs/>
            <w:color w:val="0000FF"/>
            <w:sz w:val="20"/>
          </w:rPr>
          <w:t>City of Boerne v. Flores,</w:t>
        </w:r>
      </w:hyperlink>
      <w:hyperlink r:id="rId33" w:history="1">
        <w:r w:rsidR="00002EE5" w:rsidRPr="0019267D">
          <w:rPr>
            <w:rFonts w:ascii="Arial" w:hAnsi="Arial" w:cs="Arial"/>
            <w:color w:val="0000FF"/>
            <w:sz w:val="20"/>
          </w:rPr>
          <w:t xml:space="preserve"> 521 U.S. 507, 117 S.Ct. 2157, 138 L.Ed.2d 624 (1997)</w:t>
        </w:r>
      </w:hyperlink>
      <w:r w:rsidR="00002EE5" w:rsidRPr="0019267D">
        <w:rPr>
          <w:rFonts w:ascii="Arial" w:hAnsi="Arial" w:cs="Arial"/>
          <w:color w:val="000000"/>
          <w:sz w:val="20"/>
        </w:rPr>
        <w:t xml:space="preserve">, this Court held that RFRA exceeded Congress' powers under that provision. </w:t>
      </w:r>
      <w:hyperlink r:id="rId34" w:history="1">
        <w:r w:rsidR="00002EE5" w:rsidRPr="0019267D">
          <w:rPr>
            <w:rFonts w:ascii="Arial" w:hAnsi="Arial" w:cs="Arial"/>
            <w:i/>
            <w:iCs/>
            <w:color w:val="0000FF"/>
            <w:sz w:val="20"/>
          </w:rPr>
          <w:t>Id.,</w:t>
        </w:r>
      </w:hyperlink>
      <w:hyperlink r:id="rId35" w:history="1">
        <w:r w:rsidR="00002EE5" w:rsidRPr="0019267D">
          <w:rPr>
            <w:rFonts w:ascii="Arial" w:hAnsi="Arial" w:cs="Arial"/>
            <w:color w:val="0000FF"/>
            <w:sz w:val="20"/>
          </w:rPr>
          <w:t xml:space="preserve"> at 532–536, 117 S.Ct. 2157</w:t>
        </w:r>
      </w:hyperlink>
      <w:r w:rsidR="00002EE5" w:rsidRPr="0019267D">
        <w:rPr>
          <w:rFonts w:ascii="Arial" w:hAnsi="Arial" w:cs="Arial"/>
          <w:color w:val="000000"/>
          <w:sz w:val="20"/>
        </w:rPr>
        <w:t>.</w:t>
      </w:r>
    </w:p>
    <w:p w14:paraId="6848D5C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D3F2F67"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32035298235" w:history="1">
        <w:r w:rsidR="00002EE5" w:rsidRPr="0019267D">
          <w:rPr>
            <w:rFonts w:ascii="Arial" w:hAnsi="Arial" w:cs="Arial"/>
            <w:color w:val="0000FF"/>
            <w:sz w:val="20"/>
          </w:rPr>
          <w:t>[3]</w:t>
        </w:r>
      </w:hyperlink>
      <w:bookmarkStart w:id="4" w:name="Document1zzB32035298235"/>
      <w:bookmarkEnd w:id="4"/>
      <w:r w:rsidR="00002EE5" w:rsidRPr="0019267D">
        <w:rPr>
          <w:rFonts w:ascii="Arial" w:hAnsi="Arial" w:cs="Arial"/>
          <w:color w:val="000000"/>
          <w:sz w:val="20"/>
        </w:rPr>
        <w:t xml:space="preserve"> Congress responded to </w:t>
      </w:r>
      <w:r w:rsidR="00002EE5" w:rsidRPr="0019267D">
        <w:rPr>
          <w:rFonts w:ascii="Arial" w:hAnsi="Arial" w:cs="Arial"/>
          <w:i/>
          <w:iCs/>
          <w:color w:val="000000"/>
          <w:sz w:val="20"/>
        </w:rPr>
        <w:t>City of Boerne</w:t>
      </w:r>
      <w:r w:rsidR="00002EE5" w:rsidRPr="0019267D">
        <w:rPr>
          <w:rFonts w:ascii="Arial" w:hAnsi="Arial" w:cs="Arial"/>
          <w:color w:val="000000"/>
          <w:sz w:val="20"/>
        </w:rPr>
        <w:t xml:space="preserve"> by enacting RLUIPA, which applies to the States and their subdivisions and invokes congressional authority under the Spending and Commerce Clauses. See </w:t>
      </w:r>
      <w:hyperlink r:id="rId36" w:history="1">
        <w:r w:rsidR="00002EE5" w:rsidRPr="0019267D">
          <w:rPr>
            <w:rFonts w:ascii="Arial" w:hAnsi="Arial" w:cs="Arial"/>
            <w:color w:val="0000FF"/>
            <w:sz w:val="20"/>
          </w:rPr>
          <w:t>§ 2000cc–1(b)</w:t>
        </w:r>
      </w:hyperlink>
      <w:r w:rsidR="00002EE5" w:rsidRPr="0019267D">
        <w:rPr>
          <w:rFonts w:ascii="Arial" w:hAnsi="Arial" w:cs="Arial"/>
          <w:color w:val="000000"/>
          <w:sz w:val="20"/>
        </w:rPr>
        <w:t xml:space="preserve">. RLUIPA concerns two areas of government activity: Section 2 governs land-use regulation, </w:t>
      </w:r>
      <w:hyperlink r:id="rId37" w:history="1">
        <w:r w:rsidR="00002EE5" w:rsidRPr="0019267D">
          <w:rPr>
            <w:rFonts w:ascii="Arial" w:hAnsi="Arial" w:cs="Arial"/>
            <w:color w:val="0000FF"/>
            <w:sz w:val="20"/>
          </w:rPr>
          <w:t>§ 2000cc</w:t>
        </w:r>
      </w:hyperlink>
      <w:r w:rsidR="00002EE5" w:rsidRPr="0019267D">
        <w:rPr>
          <w:rFonts w:ascii="Arial" w:hAnsi="Arial" w:cs="Arial"/>
          <w:color w:val="000000"/>
          <w:sz w:val="20"/>
        </w:rPr>
        <w:t xml:space="preserve">; and Section 3—the provision at issue in this case—governs religious exercise by institutionalized persons, </w:t>
      </w:r>
      <w:hyperlink r:id="rId38" w:history="1">
        <w:r w:rsidR="00002EE5" w:rsidRPr="0019267D">
          <w:rPr>
            <w:rFonts w:ascii="Arial" w:hAnsi="Arial" w:cs="Arial"/>
            <w:color w:val="0000FF"/>
            <w:sz w:val="20"/>
          </w:rPr>
          <w:t>§ 2000cc–1</w:t>
        </w:r>
      </w:hyperlink>
      <w:r w:rsidR="00002EE5" w:rsidRPr="0019267D">
        <w:rPr>
          <w:rFonts w:ascii="Arial" w:hAnsi="Arial" w:cs="Arial"/>
          <w:color w:val="000000"/>
          <w:sz w:val="20"/>
        </w:rPr>
        <w:t xml:space="preserve">. Section 3 mirrors RFRA and provides that “[n]o government shall impose a substantial burden on the religious exercise of a person residing in or confined to an institution ... even if the burden results from a rule of general applicability, unless the government demonstrates that imposition of the burden on that person—(1) is in furtherance of a compelling governmental interest; and (2) is the least restrictive means of furthering that compelling governmental interest.” </w:t>
      </w:r>
      <w:hyperlink r:id="rId39" w:history="1">
        <w:r w:rsidR="00002EE5" w:rsidRPr="0019267D">
          <w:rPr>
            <w:rFonts w:ascii="Arial" w:hAnsi="Arial" w:cs="Arial"/>
            <w:color w:val="0000FF"/>
            <w:sz w:val="20"/>
          </w:rPr>
          <w:t>§ 2000cc–1(a)</w:t>
        </w:r>
      </w:hyperlink>
      <w:r w:rsidR="00002EE5" w:rsidRPr="0019267D">
        <w:rPr>
          <w:rFonts w:ascii="Arial" w:hAnsi="Arial" w:cs="Arial"/>
          <w:color w:val="000000"/>
          <w:sz w:val="20"/>
        </w:rPr>
        <w:t xml:space="preserve">. RLUIPA thus allows prisoners “to seek religious accommodations pursuant to the same standard as set forth in RFRA.” </w:t>
      </w:r>
      <w:hyperlink r:id="rId40" w:history="1">
        <w:r w:rsidR="00002EE5" w:rsidRPr="0019267D">
          <w:rPr>
            <w:rFonts w:ascii="Arial" w:hAnsi="Arial" w:cs="Arial"/>
            <w:i/>
            <w:iCs/>
            <w:color w:val="0000FF"/>
            <w:sz w:val="20"/>
          </w:rPr>
          <w:t>Gonzales v. O Centro Espírita Beneficente Uniõ do Vegetal,</w:t>
        </w:r>
      </w:hyperlink>
      <w:hyperlink r:id="rId41" w:history="1">
        <w:r w:rsidR="00002EE5" w:rsidRPr="0019267D">
          <w:rPr>
            <w:rFonts w:ascii="Arial" w:hAnsi="Arial" w:cs="Arial"/>
            <w:color w:val="0000FF"/>
            <w:sz w:val="20"/>
          </w:rPr>
          <w:t xml:space="preserve"> 546 U.S. 418, 436, 126 S.Ct. 1211, 163 L.Ed.2d 1017 (2006)</w:t>
        </w:r>
      </w:hyperlink>
      <w:r w:rsidR="00002EE5" w:rsidRPr="0019267D">
        <w:rPr>
          <w:rFonts w:ascii="Arial" w:hAnsi="Arial" w:cs="Arial"/>
          <w:color w:val="000000"/>
          <w:sz w:val="20"/>
        </w:rPr>
        <w:t>.</w:t>
      </w:r>
    </w:p>
    <w:p w14:paraId="0C0A6E0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72B630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Several provisions of RLUIPA underscore its expansive protection for religious liberty. Congress defined “religious exercise” capaciously to include “any exercise of religion, whether or not compelled by, or central to, a system of religious belief.” </w:t>
      </w:r>
      <w:hyperlink r:id="rId42" w:history="1">
        <w:r w:rsidRPr="0019267D">
          <w:rPr>
            <w:rFonts w:ascii="Arial" w:hAnsi="Arial" w:cs="Arial"/>
            <w:color w:val="0000FF"/>
            <w:sz w:val="20"/>
          </w:rPr>
          <w:t>§ 2000cc–5(7)(A)</w:t>
        </w:r>
      </w:hyperlink>
      <w:r w:rsidRPr="0019267D">
        <w:rPr>
          <w:rFonts w:ascii="Arial" w:hAnsi="Arial" w:cs="Arial"/>
          <w:color w:val="000000"/>
          <w:sz w:val="20"/>
        </w:rPr>
        <w:t xml:space="preserve">. Congress mandated that this concept “shall be construed in favor of a broad protection of religious exercise, to the maximum extent permitted by the terms of this chapter and the Constitution.” § 2000cc–3(g). And Congress stated that RLUIPA “may require a government to incur expenses in its own operations to avoid imposing a substantial burden on religious exercise.” § 2000cc–3(c). See </w:t>
      </w:r>
      <w:hyperlink r:id="rId43" w:history="1">
        <w:r w:rsidRPr="0019267D">
          <w:rPr>
            <w:rFonts w:ascii="Arial" w:hAnsi="Arial" w:cs="Arial"/>
            <w:i/>
            <w:iCs/>
            <w:color w:val="0000FF"/>
            <w:sz w:val="20"/>
          </w:rPr>
          <w:t>Hobby Lobby, supra,</w:t>
        </w:r>
      </w:hyperlink>
      <w:hyperlink r:id="rId44" w:history="1">
        <w:r w:rsidRPr="0019267D">
          <w:rPr>
            <w:rFonts w:ascii="Arial" w:hAnsi="Arial" w:cs="Arial"/>
            <w:color w:val="0000FF"/>
            <w:sz w:val="20"/>
          </w:rPr>
          <w:t xml:space="preserve"> at –––– – ––––, ––––, 134 S.Ct., at 2761–2762, 2781–2782</w:t>
        </w:r>
      </w:hyperlink>
      <w:r w:rsidRPr="0019267D">
        <w:rPr>
          <w:rFonts w:ascii="Arial" w:hAnsi="Arial" w:cs="Arial"/>
          <w:color w:val="000000"/>
          <w:sz w:val="20"/>
        </w:rPr>
        <w:t>.</w:t>
      </w:r>
    </w:p>
    <w:p w14:paraId="2681BEC8"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A80D8F2"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B</w:t>
      </w:r>
    </w:p>
    <w:p w14:paraId="1C0F9109"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Petitioner, as noted, is in the custody of the Arkansas Department of Correction and he objects on religious grounds to the Department's grooming policy, which provides that “[n]o inmates will be permitted to wear facial hair other than a neatly trimmed mustache that does not extend beyond the corner of the mouth or over the lip.” App. to Brief for Petitioner 11a. The policy makes no exception for inmates who object on religious grounds, but it does contain an exemption for prisoners with medical needs: “Medical staff may prescribe that inmates with a diagnosed dermatological problem may wear facial hair no longer than one quarter of an inch.” </w:t>
      </w:r>
      <w:r w:rsidRPr="0019267D">
        <w:rPr>
          <w:rFonts w:ascii="Arial" w:hAnsi="Arial" w:cs="Arial"/>
          <w:i/>
          <w:iCs/>
          <w:color w:val="000000"/>
          <w:sz w:val="20"/>
        </w:rPr>
        <w:t>Ibid.</w:t>
      </w:r>
      <w:r w:rsidRPr="0019267D">
        <w:rPr>
          <w:rFonts w:ascii="Arial" w:hAnsi="Arial" w:cs="Arial"/>
          <w:color w:val="000000"/>
          <w:sz w:val="20"/>
        </w:rPr>
        <w:t xml:space="preserve"> The policy provides that “[f]ailure to abide by [the Department's] grooming standards is grounds for disciplinary action.” </w:t>
      </w:r>
      <w:r w:rsidRPr="0019267D">
        <w:rPr>
          <w:rFonts w:ascii="Arial" w:hAnsi="Arial" w:cs="Arial"/>
          <w:i/>
          <w:iCs/>
          <w:color w:val="000000"/>
          <w:sz w:val="20"/>
        </w:rPr>
        <w:t>Id.,</w:t>
      </w:r>
      <w:r w:rsidRPr="0019267D">
        <w:rPr>
          <w:rFonts w:ascii="Arial" w:hAnsi="Arial" w:cs="Arial"/>
          <w:color w:val="000000"/>
          <w:sz w:val="20"/>
        </w:rPr>
        <w:t xml:space="preserve"> at 12a.</w:t>
      </w:r>
    </w:p>
    <w:p w14:paraId="1C3BC6E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C4B8F4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lastRenderedPageBreak/>
        <w:t>Petitioner sought permission to grow a beard and, although he believes that his faith requires him not to trim his beard at all, he proposed a “compromise” under which he would grow only a 1/2 –inch beard. App. 164. Prison officials denied his request, and the warden told him: “[Y]ou will abide by [Arkansas Department of Correction] policies and if you choose to disobey, you can suffer the consequences.” No. 5:11–cv–00164 (ED Ark., July 21, 2011), Doc. 13, p. 6 (Letter from Gaylon Lay to Gregory Holt (July 19, 2011)).</w:t>
      </w:r>
    </w:p>
    <w:p w14:paraId="39C53399"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D593804"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Petitioner filed a </w:t>
      </w:r>
      <w:r w:rsidRPr="0019267D">
        <w:rPr>
          <w:rFonts w:ascii="Arial" w:hAnsi="Arial" w:cs="Arial"/>
          <w:i/>
          <w:iCs/>
          <w:color w:val="000000"/>
          <w:sz w:val="20"/>
        </w:rPr>
        <w:t xml:space="preserve">pro se </w:t>
      </w:r>
      <w:r w:rsidRPr="0019267D">
        <w:rPr>
          <w:rFonts w:ascii="Arial" w:hAnsi="Arial" w:cs="Arial"/>
          <w:color w:val="000000"/>
          <w:sz w:val="20"/>
        </w:rPr>
        <w:t>complaint in Federal District Court challenging the grooming policy under RLUIPA. We refer to the respondent prison officials collectively as the Department. In October 2011, the District Court granted petitioner a preliminary injunction and remanded to a Magistrate Judge for an evidentiary hearing. At the hearing, the Department called two witnesses. Both expressed the belief that inmates could hide contraband in even a 1/2 –inch beard, but neither pointed to any instances in which this had been done in Arkansas or elsewhere. Both witnesses also acknowledged that inmates could hide items in many other places, such as in the hair on their heads or their clothing. In addition, one of the witnesses—Gaylon Lay, the warden of petitioner's prison—testified that a prisoner who escaped could change his appearance by shaving his beard, and that a prisoner could shave his beard to disguise himself and enter a restricted area of the prison. Neither witness, however, was able to explain why these problems could not be addressed by taking a photograph of an inmate without a beard, a practice followed in other prison systems. Lay voiced concern that the Department would be unable to monitor the length of a prisoner's beard to ensure that it did not exceed one-half inch, but he acknowledged that the Department kept track of the length of the beards of those inmates who are allowed to wear a 1/4 –inch beard for medical reasons.</w:t>
      </w:r>
    </w:p>
    <w:p w14:paraId="42C6DD93"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22F2E5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As a result of the preliminary injunction, petitioner had a short beard at the time of the hearing, and the Magistrate Judge commented: “I look at your particular circumstance and I say, you know, it's almost preposterous to think that you could hide contraband in your beard.” App. 155. Nevertheless, the Magistrate Judge recommended that the preliminary injunction be vacated and that petitioner's complaint be dismissed for failure to state a claim on which relief can be granted. The Magistrate Judge emphasized that “the prison officials are entitled to deference,” </w:t>
      </w:r>
      <w:r w:rsidRPr="0019267D">
        <w:rPr>
          <w:rFonts w:ascii="Arial" w:hAnsi="Arial" w:cs="Arial"/>
          <w:i/>
          <w:iCs/>
          <w:color w:val="000000"/>
          <w:sz w:val="20"/>
        </w:rPr>
        <w:t>id.,</w:t>
      </w:r>
      <w:r w:rsidRPr="0019267D">
        <w:rPr>
          <w:rFonts w:ascii="Arial" w:hAnsi="Arial" w:cs="Arial"/>
          <w:color w:val="000000"/>
          <w:sz w:val="20"/>
        </w:rPr>
        <w:t xml:space="preserve"> at 168, and that the grooming policy allowed petitioner to exercise his religion in other ways, such as by praying on a prayer rug, maintaining the diet required by his faith, and observing religious holidays.</w:t>
      </w:r>
    </w:p>
    <w:p w14:paraId="4712771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A6F3D8B"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The District Court adopted the Magistrate Judge's recommendation in full, and the Court of Appeals for the Eighth Circuit affirmed in a brief </w:t>
      </w:r>
      <w:r w:rsidRPr="0019267D">
        <w:rPr>
          <w:rFonts w:ascii="Arial" w:hAnsi="Arial" w:cs="Arial"/>
          <w:i/>
          <w:iCs/>
          <w:color w:val="000000"/>
          <w:sz w:val="20"/>
        </w:rPr>
        <w:t>per curiam</w:t>
      </w:r>
      <w:r w:rsidRPr="0019267D">
        <w:rPr>
          <w:rFonts w:ascii="Arial" w:hAnsi="Arial" w:cs="Arial"/>
          <w:color w:val="000000"/>
          <w:sz w:val="20"/>
        </w:rPr>
        <w:t xml:space="preserve"> opinion, holding that the Department had satisfied its burden of showing that the grooming policy was the least restrictive means of furthering its compelling security interests. </w:t>
      </w:r>
      <w:hyperlink r:id="rId45" w:history="1">
        <w:r w:rsidRPr="0019267D">
          <w:rPr>
            <w:rFonts w:ascii="Arial" w:hAnsi="Arial" w:cs="Arial"/>
            <w:color w:val="0000FF"/>
            <w:sz w:val="20"/>
          </w:rPr>
          <w:t>509 Fed.Appx. 561 (2013)</w:t>
        </w:r>
      </w:hyperlink>
      <w:r w:rsidRPr="0019267D">
        <w:rPr>
          <w:rFonts w:ascii="Arial" w:hAnsi="Arial" w:cs="Arial"/>
          <w:color w:val="000000"/>
          <w:sz w:val="20"/>
        </w:rPr>
        <w:t xml:space="preserve">. The Court of Appeals stated that “courts should ordinarily defer to [prison officials'] expert judgment” in security matters unless there is substantial evidence that a prison's response is exaggerated. </w:t>
      </w:r>
      <w:hyperlink r:id="rId46" w:history="1">
        <w:r w:rsidRPr="0019267D">
          <w:rPr>
            <w:rFonts w:ascii="Arial" w:hAnsi="Arial" w:cs="Arial"/>
            <w:i/>
            <w:iCs/>
            <w:color w:val="0000FF"/>
            <w:sz w:val="20"/>
          </w:rPr>
          <w:t>Id.,</w:t>
        </w:r>
      </w:hyperlink>
      <w:hyperlink r:id="rId47" w:history="1">
        <w:r w:rsidRPr="0019267D">
          <w:rPr>
            <w:rFonts w:ascii="Arial" w:hAnsi="Arial" w:cs="Arial"/>
            <w:color w:val="0000FF"/>
            <w:sz w:val="20"/>
          </w:rPr>
          <w:t xml:space="preserve"> at 562</w:t>
        </w:r>
      </w:hyperlink>
      <w:r w:rsidRPr="0019267D">
        <w:rPr>
          <w:rFonts w:ascii="Arial" w:hAnsi="Arial" w:cs="Arial"/>
          <w:color w:val="000000"/>
          <w:sz w:val="20"/>
        </w:rPr>
        <w:t xml:space="preserve">. And while acknowledging that other prisons allow inmates to maintain facial hair, the Eighth Circuit held that this evidence “does not outweigh deference owed to [the] expert judgment of prison officials who are more familiar with their own institutions.” </w:t>
      </w:r>
      <w:r w:rsidRPr="0019267D">
        <w:rPr>
          <w:rFonts w:ascii="Arial" w:hAnsi="Arial" w:cs="Arial"/>
          <w:i/>
          <w:iCs/>
          <w:color w:val="000000"/>
          <w:sz w:val="20"/>
        </w:rPr>
        <w:t>Ibid.</w:t>
      </w:r>
    </w:p>
    <w:p w14:paraId="0898B9F8"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623029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We entered an injunction pending resolution of petitioner's petition for writ of certiorari, </w:t>
      </w:r>
      <w:hyperlink r:id="rId48" w:history="1">
        <w:r w:rsidRPr="0019267D">
          <w:rPr>
            <w:rFonts w:ascii="Arial" w:hAnsi="Arial" w:cs="Arial"/>
            <w:color w:val="0000FF"/>
            <w:sz w:val="20"/>
          </w:rPr>
          <w:t>571 U.S. ––––, 134 S.Ct. 635, 187 L.Ed.2d 414 (2013)</w:t>
        </w:r>
      </w:hyperlink>
      <w:r w:rsidRPr="0019267D">
        <w:rPr>
          <w:rFonts w:ascii="Arial" w:hAnsi="Arial" w:cs="Arial"/>
          <w:color w:val="000000"/>
          <w:sz w:val="20"/>
        </w:rPr>
        <w:t xml:space="preserve">, and we then granted certiorari, </w:t>
      </w:r>
      <w:hyperlink r:id="rId49" w:history="1">
        <w:r w:rsidRPr="0019267D">
          <w:rPr>
            <w:rFonts w:ascii="Arial" w:hAnsi="Arial" w:cs="Arial"/>
            <w:color w:val="0000FF"/>
            <w:sz w:val="20"/>
          </w:rPr>
          <w:t>571 U.S. ––––, 134 S.Ct. 1490, 188 L.Ed.2d 391 (2014)</w:t>
        </w:r>
      </w:hyperlink>
      <w:r w:rsidRPr="0019267D">
        <w:rPr>
          <w:rFonts w:ascii="Arial" w:hAnsi="Arial" w:cs="Arial"/>
          <w:color w:val="000000"/>
          <w:sz w:val="20"/>
        </w:rPr>
        <w:t>.</w:t>
      </w:r>
    </w:p>
    <w:p w14:paraId="6827F841"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06BD0CB"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II</w:t>
      </w:r>
    </w:p>
    <w:p w14:paraId="2335ED44"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42035298235" w:history="1">
        <w:r w:rsidR="00002EE5" w:rsidRPr="0019267D">
          <w:rPr>
            <w:rFonts w:ascii="Arial" w:hAnsi="Arial" w:cs="Arial"/>
            <w:color w:val="0000FF"/>
            <w:sz w:val="20"/>
          </w:rPr>
          <w:t>[4]</w:t>
        </w:r>
      </w:hyperlink>
      <w:bookmarkStart w:id="5" w:name="Document1zzB42035298235"/>
      <w:bookmarkEnd w:id="5"/>
      <w:r w:rsidR="00002EE5" w:rsidRPr="0019267D">
        <w:rPr>
          <w:rFonts w:ascii="Arial" w:hAnsi="Arial" w:cs="Arial"/>
          <w:color w:val="000000"/>
          <w:sz w:val="20"/>
        </w:rPr>
        <w:t xml:space="preserve"> Under RLUIPA, petitioner bore the initial burden of proving that the Department's grooming policy implicates his religious exercise. RLUIPA protects “any exercise of religion, whether or not compelled by, or central to, a system of religious belief,” </w:t>
      </w:r>
      <w:hyperlink r:id="rId50" w:history="1">
        <w:r w:rsidR="00002EE5" w:rsidRPr="0019267D">
          <w:rPr>
            <w:rFonts w:ascii="Arial" w:hAnsi="Arial" w:cs="Arial"/>
            <w:color w:val="0000FF"/>
            <w:sz w:val="20"/>
          </w:rPr>
          <w:t>§ 2000cc–5(7)(A)</w:t>
        </w:r>
      </w:hyperlink>
      <w:r w:rsidR="00002EE5" w:rsidRPr="0019267D">
        <w:rPr>
          <w:rFonts w:ascii="Arial" w:hAnsi="Arial" w:cs="Arial"/>
          <w:color w:val="000000"/>
          <w:sz w:val="20"/>
        </w:rPr>
        <w:t xml:space="preserve">, but, of course, a prisoner's request for an accommodation must be sincerely based on a religious belief and not some other motivation, see </w:t>
      </w:r>
      <w:hyperlink r:id="rId51" w:history="1">
        <w:r w:rsidR="00002EE5" w:rsidRPr="0019267D">
          <w:rPr>
            <w:rFonts w:ascii="Arial" w:hAnsi="Arial" w:cs="Arial"/>
            <w:i/>
            <w:iCs/>
            <w:color w:val="0000FF"/>
            <w:sz w:val="20"/>
          </w:rPr>
          <w:t>Hobby Lobby,</w:t>
        </w:r>
      </w:hyperlink>
      <w:hyperlink r:id="rId52" w:history="1">
        <w:r w:rsidR="00002EE5" w:rsidRPr="0019267D">
          <w:rPr>
            <w:rFonts w:ascii="Arial" w:hAnsi="Arial" w:cs="Arial"/>
            <w:color w:val="0000FF"/>
            <w:sz w:val="20"/>
          </w:rPr>
          <w:t xml:space="preserve"> 573 U.S., at ––––, n. 28, 134 S.Ct., at 2774, n. 28</w:t>
        </w:r>
      </w:hyperlink>
      <w:r w:rsidR="00002EE5" w:rsidRPr="0019267D">
        <w:rPr>
          <w:rFonts w:ascii="Arial" w:hAnsi="Arial" w:cs="Arial"/>
          <w:color w:val="000000"/>
          <w:sz w:val="20"/>
        </w:rPr>
        <w:t>. Here, the religious exercise at issue is the growing of a beard, which petitioner believes is a dictate of his religious faith, and the Department does not dispute the sincerity of petitioner's belief.</w:t>
      </w:r>
    </w:p>
    <w:p w14:paraId="66DC044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19DB319"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52035298235" w:history="1">
        <w:r w:rsidR="00002EE5" w:rsidRPr="0019267D">
          <w:rPr>
            <w:rFonts w:ascii="Arial" w:hAnsi="Arial" w:cs="Arial"/>
            <w:color w:val="0000FF"/>
            <w:sz w:val="20"/>
          </w:rPr>
          <w:t>[5]</w:t>
        </w:r>
      </w:hyperlink>
      <w:bookmarkStart w:id="6" w:name="Document1zzB52035298235"/>
      <w:bookmarkEnd w:id="6"/>
      <w:r w:rsidR="00002EE5" w:rsidRPr="0019267D">
        <w:rPr>
          <w:rFonts w:ascii="Arial" w:hAnsi="Arial" w:cs="Arial"/>
          <w:color w:val="000000"/>
          <w:sz w:val="20"/>
        </w:rPr>
        <w:t xml:space="preserve"> In addition to showing that the relevant exercise of religion is grounded in a sincerely held religious belief, </w:t>
      </w:r>
      <w:r w:rsidR="00002EE5" w:rsidRPr="0019267D">
        <w:rPr>
          <w:rFonts w:ascii="Arial" w:hAnsi="Arial" w:cs="Arial"/>
          <w:color w:val="000000"/>
          <w:sz w:val="20"/>
        </w:rPr>
        <w:lastRenderedPageBreak/>
        <w:t xml:space="preserve">petitioner also bore the burden of proving that the Department's grooming policy substantially burdened that exercise of religion. Petitioner easily satisfied that obligation. The Department's grooming policy requires petitioner to shave his beard and thus to “engage in conduct that seriously violates [his] religious beliefs.” </w:t>
      </w:r>
      <w:hyperlink r:id="rId53" w:history="1">
        <w:r w:rsidR="00002EE5" w:rsidRPr="0019267D">
          <w:rPr>
            <w:rFonts w:ascii="Arial" w:hAnsi="Arial" w:cs="Arial"/>
            <w:i/>
            <w:iCs/>
            <w:color w:val="0000FF"/>
            <w:sz w:val="20"/>
          </w:rPr>
          <w:t>Id.,</w:t>
        </w:r>
      </w:hyperlink>
      <w:hyperlink r:id="rId54" w:history="1">
        <w:r w:rsidR="00002EE5" w:rsidRPr="0019267D">
          <w:rPr>
            <w:rFonts w:ascii="Arial" w:hAnsi="Arial" w:cs="Arial"/>
            <w:color w:val="0000FF"/>
            <w:sz w:val="20"/>
          </w:rPr>
          <w:t xml:space="preserve"> at ––––, 134 S.Ct., at 2775</w:t>
        </w:r>
      </w:hyperlink>
      <w:r w:rsidR="00002EE5" w:rsidRPr="0019267D">
        <w:rPr>
          <w:rFonts w:ascii="Arial" w:hAnsi="Arial" w:cs="Arial"/>
          <w:color w:val="000000"/>
          <w:sz w:val="20"/>
        </w:rPr>
        <w:t>. If petitioner contravenes that policy and grows his beard, he will face serious disciplinary action. Because the grooming policy puts petitioner to this choice, it substantially burdens his religious exercise. Indeed, the Department does not argue otherwise.</w:t>
      </w:r>
    </w:p>
    <w:p w14:paraId="39EC979B"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480E0C3"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62035298235" w:history="1">
        <w:r w:rsidR="00002EE5" w:rsidRPr="0019267D">
          <w:rPr>
            <w:rFonts w:ascii="Arial" w:hAnsi="Arial" w:cs="Arial"/>
            <w:color w:val="0000FF"/>
            <w:sz w:val="20"/>
          </w:rPr>
          <w:t>[6]</w:t>
        </w:r>
      </w:hyperlink>
      <w:bookmarkStart w:id="7" w:name="Document1zzB62035298235"/>
      <w:bookmarkEnd w:id="7"/>
      <w:r w:rsidR="00002EE5" w:rsidRPr="0019267D">
        <w:rPr>
          <w:rFonts w:ascii="Arial" w:hAnsi="Arial" w:cs="Arial"/>
          <w:color w:val="000000"/>
          <w:sz w:val="20"/>
        </w:rPr>
        <w:t xml:space="preserve"> The District Court reached the opposite conclusion, but its reasoning (adopted from the recommendation of the Magistrate Judge) misunderstood the analysis that RLUIPA demands. First, the District Court erred by concluding that the grooming policy did not substantially burden petitioner's religious exercise because “he had been provided a prayer rug and a list of distributors of Islamic material, he was allowed to correspond with a religious advisor, and was allowed to maintain the required diet and observe religious holidays.” App. 177. In taking this approach, the District Court improperly imported a strand of reasoning from cases involving prisoners' First Amendment rights. See, </w:t>
      </w:r>
      <w:r w:rsidR="00002EE5" w:rsidRPr="0019267D">
        <w:rPr>
          <w:rFonts w:ascii="Arial" w:hAnsi="Arial" w:cs="Arial"/>
          <w:i/>
          <w:iCs/>
          <w:color w:val="000000"/>
          <w:sz w:val="20"/>
        </w:rPr>
        <w:t>e.g.,</w:t>
      </w:r>
      <w:r w:rsidR="00002EE5" w:rsidRPr="0019267D">
        <w:rPr>
          <w:rFonts w:ascii="Arial" w:hAnsi="Arial" w:cs="Arial"/>
          <w:color w:val="000000"/>
          <w:sz w:val="20"/>
        </w:rPr>
        <w:t xml:space="preserve"> </w:t>
      </w:r>
      <w:hyperlink r:id="rId55" w:history="1">
        <w:r w:rsidR="00002EE5" w:rsidRPr="0019267D">
          <w:rPr>
            <w:rFonts w:ascii="Arial" w:hAnsi="Arial" w:cs="Arial"/>
            <w:i/>
            <w:iCs/>
            <w:color w:val="0000FF"/>
            <w:sz w:val="20"/>
          </w:rPr>
          <w:t>O'Lone v. Estate of Shabazz,</w:t>
        </w:r>
      </w:hyperlink>
      <w:hyperlink r:id="rId56" w:history="1">
        <w:r w:rsidR="00002EE5" w:rsidRPr="0019267D">
          <w:rPr>
            <w:rFonts w:ascii="Arial" w:hAnsi="Arial" w:cs="Arial"/>
            <w:color w:val="0000FF"/>
            <w:sz w:val="20"/>
          </w:rPr>
          <w:t xml:space="preserve"> 482 U.S. 342, 351–352, 107 S.Ct. 2400, 96 L.Ed.2d 282 (1987)</w:t>
        </w:r>
      </w:hyperlink>
      <w:r w:rsidR="00002EE5" w:rsidRPr="0019267D">
        <w:rPr>
          <w:rFonts w:ascii="Arial" w:hAnsi="Arial" w:cs="Arial"/>
          <w:color w:val="000000"/>
          <w:sz w:val="20"/>
        </w:rPr>
        <w:t xml:space="preserve">; see also </w:t>
      </w:r>
      <w:hyperlink r:id="rId57" w:history="1">
        <w:r w:rsidR="00002EE5" w:rsidRPr="0019267D">
          <w:rPr>
            <w:rFonts w:ascii="Arial" w:hAnsi="Arial" w:cs="Arial"/>
            <w:i/>
            <w:iCs/>
            <w:color w:val="0000FF"/>
            <w:sz w:val="20"/>
          </w:rPr>
          <w:t>Turner v. Safley,</w:t>
        </w:r>
      </w:hyperlink>
      <w:hyperlink r:id="rId58" w:history="1">
        <w:r w:rsidR="00002EE5" w:rsidRPr="0019267D">
          <w:rPr>
            <w:rFonts w:ascii="Arial" w:hAnsi="Arial" w:cs="Arial"/>
            <w:color w:val="0000FF"/>
            <w:sz w:val="20"/>
          </w:rPr>
          <w:t xml:space="preserve"> 482 U.S. 78, 90, 107 S.Ct. 2254, 96 L.Ed.2d 64 (1987)</w:t>
        </w:r>
      </w:hyperlink>
      <w:r w:rsidR="00002EE5" w:rsidRPr="0019267D">
        <w:rPr>
          <w:rFonts w:ascii="Arial" w:hAnsi="Arial" w:cs="Arial"/>
          <w:color w:val="000000"/>
          <w:sz w:val="20"/>
        </w:rPr>
        <w:t>. Under those cases, the availability of alternative means of practicing religion is a relevant consideration, but RLUIPA provides greater protection. RLUIPA's “substantial burden” inquiry asks whether the government has substantially burdened religious exercise (here, the growing of a 1/2 –inch beard), not whether the RLUIPA claimant is able to engage in other forms of religious exercise.</w:t>
      </w:r>
    </w:p>
    <w:p w14:paraId="1F3B6F4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629F4B4"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Second, the District Court committed a similar error in suggesting that the burden on petitioner's religious exercise was slight because, according to petitioner's testimony, his religion would “credit” him for attempting to follow his religious beliefs, even if that attempt proved to be unsuccessful. RLUIPA, however, applies to an exercise of religion regardless of whether it is “compelled.” </w:t>
      </w:r>
      <w:hyperlink r:id="rId59" w:history="1">
        <w:r w:rsidRPr="0019267D">
          <w:rPr>
            <w:rFonts w:ascii="Arial" w:hAnsi="Arial" w:cs="Arial"/>
            <w:color w:val="0000FF"/>
            <w:sz w:val="20"/>
          </w:rPr>
          <w:t>§ 2000cc–5(7)(A)</w:t>
        </w:r>
      </w:hyperlink>
      <w:r w:rsidRPr="0019267D">
        <w:rPr>
          <w:rFonts w:ascii="Arial" w:hAnsi="Arial" w:cs="Arial"/>
          <w:color w:val="000000"/>
          <w:sz w:val="20"/>
        </w:rPr>
        <w:t>.</w:t>
      </w:r>
    </w:p>
    <w:p w14:paraId="529D7069"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CEE4FDF"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72035298235" w:history="1">
        <w:r w:rsidR="00002EE5" w:rsidRPr="0019267D">
          <w:rPr>
            <w:rFonts w:ascii="Arial" w:hAnsi="Arial" w:cs="Arial"/>
            <w:color w:val="0000FF"/>
            <w:sz w:val="20"/>
          </w:rPr>
          <w:t>[7]</w:t>
        </w:r>
      </w:hyperlink>
      <w:bookmarkStart w:id="8" w:name="Document1zzB72035298235"/>
      <w:bookmarkEnd w:id="8"/>
      <w:r w:rsidR="00002EE5" w:rsidRPr="0019267D">
        <w:rPr>
          <w:rFonts w:ascii="Arial" w:hAnsi="Arial" w:cs="Arial"/>
          <w:color w:val="000000"/>
          <w:sz w:val="20"/>
        </w:rPr>
        <w:t xml:space="preserve"> Finally, the District Court went astray when it relied on petitioner's testimony that not all Muslims believe that men must grow beards. Petitioner's belief is by no means idiosyncratic. See Brief for Islamic Law Scholars as </w:t>
      </w:r>
      <w:r w:rsidR="00002EE5" w:rsidRPr="0019267D">
        <w:rPr>
          <w:rFonts w:ascii="Arial" w:hAnsi="Arial" w:cs="Arial"/>
          <w:i/>
          <w:iCs/>
          <w:color w:val="000000"/>
          <w:sz w:val="20"/>
        </w:rPr>
        <w:t>Amici Curiae</w:t>
      </w:r>
      <w:r w:rsidR="00002EE5" w:rsidRPr="0019267D">
        <w:rPr>
          <w:rFonts w:ascii="Arial" w:hAnsi="Arial" w:cs="Arial"/>
          <w:color w:val="000000"/>
          <w:sz w:val="20"/>
        </w:rPr>
        <w:t xml:space="preserve"> 2 (“hadith requiring beards ... are widely followed by observant Muslims across the various schools of Islam”). But even if it were, the protection of RLUIPA, no less than the guarantee of the Free Exercise Clause, is “not limited to beliefs which are shared by all of the members of a religious sect.” </w:t>
      </w:r>
      <w:hyperlink r:id="rId60" w:history="1">
        <w:r w:rsidR="00002EE5" w:rsidRPr="0019267D">
          <w:rPr>
            <w:rFonts w:ascii="Arial" w:hAnsi="Arial" w:cs="Arial"/>
            <w:i/>
            <w:iCs/>
            <w:color w:val="0000FF"/>
            <w:sz w:val="20"/>
          </w:rPr>
          <w:t>Thomas v. Review Bd. of Indiana Employment Security Div.,</w:t>
        </w:r>
      </w:hyperlink>
      <w:hyperlink r:id="rId61" w:history="1">
        <w:r w:rsidR="00002EE5" w:rsidRPr="0019267D">
          <w:rPr>
            <w:rFonts w:ascii="Arial" w:hAnsi="Arial" w:cs="Arial"/>
            <w:color w:val="0000FF"/>
            <w:sz w:val="20"/>
          </w:rPr>
          <w:t xml:space="preserve"> 450 U.S. 707, 715–716, 101 S.Ct. 1425, 67 L.Ed.2d 624 (1981)</w:t>
        </w:r>
      </w:hyperlink>
      <w:r w:rsidR="00002EE5" w:rsidRPr="0019267D">
        <w:rPr>
          <w:rFonts w:ascii="Arial" w:hAnsi="Arial" w:cs="Arial"/>
          <w:color w:val="000000"/>
          <w:sz w:val="20"/>
        </w:rPr>
        <w:t>.</w:t>
      </w:r>
    </w:p>
    <w:p w14:paraId="5D7B152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5E72573"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III</w:t>
      </w:r>
    </w:p>
    <w:p w14:paraId="1F949408"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Since petitioner met his burden of showing that the Department's grooming policy substantially burdened his exercise of religion, the burden shifted to the Department to show that its refusal to allow petitioner to grow a 1/2 –inch beard “(1) [was] in furtherance of a compelling governmental interest; and (2) [was] the least restrictive means of furthering that compelling governmental interest.” </w:t>
      </w:r>
      <w:hyperlink r:id="rId62" w:history="1">
        <w:r w:rsidRPr="0019267D">
          <w:rPr>
            <w:rFonts w:ascii="Arial" w:hAnsi="Arial" w:cs="Arial"/>
            <w:color w:val="0000FF"/>
            <w:sz w:val="20"/>
          </w:rPr>
          <w:t>§ 2000cc–1(a)</w:t>
        </w:r>
      </w:hyperlink>
      <w:r w:rsidRPr="0019267D">
        <w:rPr>
          <w:rFonts w:ascii="Arial" w:hAnsi="Arial" w:cs="Arial"/>
          <w:color w:val="000000"/>
          <w:sz w:val="20"/>
        </w:rPr>
        <w:t>.</w:t>
      </w:r>
    </w:p>
    <w:p w14:paraId="21FFB5E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9F2EF5B"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82035298235" w:history="1">
        <w:r w:rsidR="00002EE5" w:rsidRPr="0019267D">
          <w:rPr>
            <w:rFonts w:ascii="Arial" w:hAnsi="Arial" w:cs="Arial"/>
            <w:color w:val="0000FF"/>
            <w:sz w:val="20"/>
          </w:rPr>
          <w:t>[8]</w:t>
        </w:r>
      </w:hyperlink>
      <w:bookmarkStart w:id="9" w:name="Document1zzB82035298235"/>
      <w:bookmarkEnd w:id="9"/>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"Document1zzF92035298235"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[9]</w:t>
      </w:r>
      <w:r w:rsidR="00002EE5" w:rsidRPr="0019267D">
        <w:rPr>
          <w:rFonts w:ascii="Arial" w:hAnsi="Arial" w:cs="Arial"/>
          <w:color w:val="000000"/>
          <w:sz w:val="20"/>
        </w:rPr>
        <w:fldChar w:fldCharType="end"/>
      </w:r>
      <w:bookmarkStart w:id="10" w:name="Document1zzB92035298235"/>
      <w:bookmarkEnd w:id="10"/>
      <w:r w:rsidR="00002EE5" w:rsidRPr="0019267D">
        <w:rPr>
          <w:rFonts w:ascii="Arial" w:hAnsi="Arial" w:cs="Arial"/>
          <w:color w:val="000000"/>
          <w:sz w:val="20"/>
        </w:rPr>
        <w:t xml:space="preserve"> The Department argues that its grooming policy represents the least restrictive means of furthering a “ ‘broadly formulated interes[t],’ ” see </w:t>
      </w:r>
      <w:hyperlink r:id="rId63" w:history="1">
        <w:r w:rsidR="00002EE5" w:rsidRPr="0019267D">
          <w:rPr>
            <w:rFonts w:ascii="Arial" w:hAnsi="Arial" w:cs="Arial"/>
            <w:i/>
            <w:iCs/>
            <w:color w:val="0000FF"/>
            <w:sz w:val="20"/>
          </w:rPr>
          <w:t>Hobby Lobby, supra,</w:t>
        </w:r>
      </w:hyperlink>
      <w:hyperlink r:id="rId64" w:history="1">
        <w:r w:rsidR="00002EE5" w:rsidRPr="0019267D">
          <w:rPr>
            <w:rFonts w:ascii="Arial" w:hAnsi="Arial" w:cs="Arial"/>
            <w:color w:val="0000FF"/>
            <w:sz w:val="20"/>
          </w:rPr>
          <w:t xml:space="preserve"> at ––––, 134 S.Ct., at 2779</w:t>
        </w:r>
      </w:hyperlink>
      <w:r w:rsidR="00002EE5" w:rsidRPr="0019267D">
        <w:rPr>
          <w:rFonts w:ascii="Arial" w:hAnsi="Arial" w:cs="Arial"/>
          <w:color w:val="000000"/>
          <w:sz w:val="20"/>
        </w:rPr>
        <w:t xml:space="preserve"> (quoting </w:t>
      </w:r>
      <w:hyperlink r:id="rId65" w:history="1">
        <w:r w:rsidR="00002EE5" w:rsidRPr="0019267D">
          <w:rPr>
            <w:rFonts w:ascii="Arial" w:hAnsi="Arial" w:cs="Arial"/>
            <w:i/>
            <w:iCs/>
            <w:color w:val="0000FF"/>
            <w:sz w:val="20"/>
          </w:rPr>
          <w:t>O Centro,</w:t>
        </w:r>
      </w:hyperlink>
      <w:hyperlink r:id="rId66" w:history="1">
        <w:r w:rsidR="00002EE5" w:rsidRPr="0019267D">
          <w:rPr>
            <w:rFonts w:ascii="Arial" w:hAnsi="Arial" w:cs="Arial"/>
            <w:color w:val="0000FF"/>
            <w:sz w:val="20"/>
          </w:rPr>
          <w:t xml:space="preserve"> 546 U.S., at 431, 126 S.Ct. 1211</w:t>
        </w:r>
      </w:hyperlink>
      <w:r w:rsidR="00002EE5" w:rsidRPr="0019267D">
        <w:rPr>
          <w:rFonts w:ascii="Arial" w:hAnsi="Arial" w:cs="Arial"/>
          <w:color w:val="000000"/>
          <w:sz w:val="20"/>
        </w:rPr>
        <w:t xml:space="preserve">), namely, the Department's compelling interest in prison safety and security. But RLUIPA, like RFRA, contemplates a “ ‘more focused’ ” inquiry and “ ‘requires the Government to demonstrate that the compelling interest test is satisfied through application of the challenged law “to the person”—the particular claimant whose sincere exercise of religion is being substantially burdened.’ ” </w:t>
      </w:r>
      <w:hyperlink r:id="rId67" w:history="1">
        <w:r w:rsidR="00002EE5" w:rsidRPr="0019267D">
          <w:rPr>
            <w:rFonts w:ascii="Arial" w:hAnsi="Arial" w:cs="Arial"/>
            <w:i/>
            <w:iCs/>
            <w:color w:val="0000FF"/>
            <w:sz w:val="20"/>
          </w:rPr>
          <w:t>Hobby Lobby,</w:t>
        </w:r>
      </w:hyperlink>
      <w:hyperlink r:id="rId68" w:history="1">
        <w:r w:rsidR="00002EE5" w:rsidRPr="0019267D">
          <w:rPr>
            <w:rFonts w:ascii="Arial" w:hAnsi="Arial" w:cs="Arial"/>
            <w:color w:val="0000FF"/>
            <w:sz w:val="20"/>
          </w:rPr>
          <w:t xml:space="preserve"> 573 U.S., at ––––, 134 S.Ct., at 2779</w:t>
        </w:r>
      </w:hyperlink>
      <w:r w:rsidR="00002EE5" w:rsidRPr="0019267D">
        <w:rPr>
          <w:rFonts w:ascii="Arial" w:hAnsi="Arial" w:cs="Arial"/>
          <w:color w:val="000000"/>
          <w:sz w:val="20"/>
        </w:rPr>
        <w:t xml:space="preserve"> (quoting </w:t>
      </w:r>
      <w:hyperlink r:id="rId69" w:history="1">
        <w:r w:rsidR="00002EE5" w:rsidRPr="0019267D">
          <w:rPr>
            <w:rFonts w:ascii="Arial" w:hAnsi="Arial" w:cs="Arial"/>
            <w:i/>
            <w:iCs/>
            <w:color w:val="0000FF"/>
            <w:sz w:val="20"/>
          </w:rPr>
          <w:t>O Centro, supra,</w:t>
        </w:r>
      </w:hyperlink>
      <w:hyperlink r:id="rId70" w:history="1">
        <w:r w:rsidR="00002EE5" w:rsidRPr="0019267D">
          <w:rPr>
            <w:rFonts w:ascii="Arial" w:hAnsi="Arial" w:cs="Arial"/>
            <w:color w:val="0000FF"/>
            <w:sz w:val="20"/>
          </w:rPr>
          <w:t xml:space="preserve"> at 430–431, 126 S.Ct. 1211</w:t>
        </w:r>
      </w:hyperlink>
      <w:r w:rsidR="00002EE5" w:rsidRPr="0019267D">
        <w:rPr>
          <w:rFonts w:ascii="Arial" w:hAnsi="Arial" w:cs="Arial"/>
          <w:color w:val="000000"/>
          <w:sz w:val="20"/>
        </w:rPr>
        <w:t xml:space="preserve"> (quoting </w:t>
      </w:r>
      <w:hyperlink r:id="rId71" w:history="1">
        <w:r w:rsidR="00002EE5" w:rsidRPr="0019267D">
          <w:rPr>
            <w:rFonts w:ascii="Arial" w:hAnsi="Arial" w:cs="Arial"/>
            <w:color w:val="0000FF"/>
            <w:sz w:val="20"/>
          </w:rPr>
          <w:t>§ 2000bb–1(b)</w:t>
        </w:r>
      </w:hyperlink>
      <w:r w:rsidR="00002EE5" w:rsidRPr="0019267D">
        <w:rPr>
          <w:rFonts w:ascii="Arial" w:hAnsi="Arial" w:cs="Arial"/>
          <w:color w:val="000000"/>
          <w:sz w:val="20"/>
        </w:rPr>
        <w:t xml:space="preserve">)). RLUIPA requires us to “ ‘scrutiniz[e] the asserted harm of granting specific exemptions to particular religious claimants' ” and “to look to the marginal interest in enforcing” the challenged government action in that particular context. </w:t>
      </w:r>
      <w:hyperlink r:id="rId72" w:history="1">
        <w:r w:rsidR="00002EE5" w:rsidRPr="0019267D">
          <w:rPr>
            <w:rFonts w:ascii="Arial" w:hAnsi="Arial" w:cs="Arial"/>
            <w:i/>
            <w:iCs/>
            <w:color w:val="0000FF"/>
            <w:sz w:val="20"/>
          </w:rPr>
          <w:t>Hobby Lobby,</w:t>
        </w:r>
      </w:hyperlink>
      <w:hyperlink r:id="rId73" w:history="1">
        <w:r w:rsidR="00002EE5" w:rsidRPr="0019267D">
          <w:rPr>
            <w:rFonts w:ascii="Arial" w:hAnsi="Arial" w:cs="Arial"/>
            <w:color w:val="0000FF"/>
            <w:sz w:val="20"/>
            <w:u w:val="single"/>
          </w:rPr>
          <w:t> </w:t>
        </w:r>
      </w:hyperlink>
      <w:hyperlink r:id="rId74" w:history="1">
        <w:r w:rsidR="00002EE5" w:rsidRPr="0019267D">
          <w:rPr>
            <w:rFonts w:ascii="Arial" w:hAnsi="Arial" w:cs="Arial"/>
            <w:i/>
            <w:iCs/>
            <w:color w:val="0000FF"/>
            <w:sz w:val="20"/>
          </w:rPr>
          <w:t>supra,</w:t>
        </w:r>
      </w:hyperlink>
      <w:hyperlink r:id="rId75" w:history="1">
        <w:r w:rsidR="00002EE5" w:rsidRPr="0019267D">
          <w:rPr>
            <w:rFonts w:ascii="Arial" w:hAnsi="Arial" w:cs="Arial"/>
            <w:color w:val="0000FF"/>
            <w:sz w:val="20"/>
          </w:rPr>
          <w:t xml:space="preserve"> at ––––, 134 S.Ct., at 2779</w:t>
        </w:r>
      </w:hyperlink>
      <w:r w:rsidR="00002EE5" w:rsidRPr="0019267D">
        <w:rPr>
          <w:rFonts w:ascii="Arial" w:hAnsi="Arial" w:cs="Arial"/>
          <w:color w:val="000000"/>
          <w:sz w:val="20"/>
        </w:rPr>
        <w:t xml:space="preserve"> (quoting </w:t>
      </w:r>
      <w:hyperlink r:id="rId76" w:history="1">
        <w:r w:rsidR="00002EE5" w:rsidRPr="0019267D">
          <w:rPr>
            <w:rFonts w:ascii="Arial" w:hAnsi="Arial" w:cs="Arial"/>
            <w:i/>
            <w:iCs/>
            <w:color w:val="0000FF"/>
            <w:sz w:val="20"/>
          </w:rPr>
          <w:t>O Centro, supra,</w:t>
        </w:r>
      </w:hyperlink>
      <w:hyperlink r:id="rId77" w:history="1">
        <w:r w:rsidR="00002EE5" w:rsidRPr="0019267D">
          <w:rPr>
            <w:rFonts w:ascii="Arial" w:hAnsi="Arial" w:cs="Arial"/>
            <w:color w:val="0000FF"/>
            <w:sz w:val="20"/>
          </w:rPr>
          <w:t xml:space="preserve"> at 431, 126 S.Ct. 1211</w:t>
        </w:r>
      </w:hyperlink>
      <w:r w:rsidR="00002EE5" w:rsidRPr="0019267D">
        <w:rPr>
          <w:rFonts w:ascii="Arial" w:hAnsi="Arial" w:cs="Arial"/>
          <w:color w:val="000000"/>
          <w:sz w:val="20"/>
        </w:rPr>
        <w:t>; alteration in original). In this case, that means the enforcement of the Department's policy to prevent petitioner from growing a 1/2 –inch beard.</w:t>
      </w:r>
    </w:p>
    <w:p w14:paraId="27D560F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FF65EBE"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lastRenderedPageBreak/>
        <w:t>The Department contends that enforcing this prohibition is the least restrictive means of furthering prison safety and security in two specific ways.</w:t>
      </w:r>
    </w:p>
    <w:p w14:paraId="699D6587"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64CE952"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A</w:t>
      </w:r>
    </w:p>
    <w:p w14:paraId="5F9FE39A"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02035298235" w:history="1">
        <w:r w:rsidR="00002EE5" w:rsidRPr="0019267D">
          <w:rPr>
            <w:rFonts w:ascii="Arial" w:hAnsi="Arial" w:cs="Arial"/>
            <w:color w:val="0000FF"/>
            <w:sz w:val="20"/>
          </w:rPr>
          <w:t>[10]</w:t>
        </w:r>
      </w:hyperlink>
      <w:bookmarkStart w:id="11" w:name="Document1zzB102035298235"/>
      <w:bookmarkEnd w:id="11"/>
      <w:r w:rsidR="00002EE5" w:rsidRPr="0019267D">
        <w:rPr>
          <w:rFonts w:ascii="Arial" w:hAnsi="Arial" w:cs="Arial"/>
          <w:color w:val="000000"/>
          <w:sz w:val="20"/>
        </w:rPr>
        <w:t xml:space="preserve"> The Department first claims that the no-beard policy prevents prisoners from hiding contraband. The Department worries that prisoners may use their beards to conceal all manner of prohibited items, including razors, needles, drugs, and cellular phone subscriber identity module (SIM) cards.</w:t>
      </w:r>
    </w:p>
    <w:p w14:paraId="13EB6B9B"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98BD8E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readily agree that the Department has a compelling interest in staunching the flow of contraband into and within its facilities, but the argument that this interest would be seriously compromised by allowing an inmate to grow a 1/2 –inch beard is hard to take seriously. As noted, the Magistrate Judge observed that it was “almost preposterous to think that [petitioner] could hide contraband” in the short beard he had grown at the time of the evidentiary hearing. App. 155. An item of contraband would have to be very small indeed to be concealed by a 1/2 –inch beard, and a prisoner seeking to hide an item in such a short beard would have to find a way to prevent the item from falling out. Since the Department does not demand that inmates have shaved heads or short crew cuts, it is hard to see why an inmate would seek to hide contraband in a 1/2 –inch beard rather than in the longer hair on his head.</w:t>
      </w:r>
    </w:p>
    <w:p w14:paraId="150DB7B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A4EBDFA"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12035298235" w:history="1">
        <w:r w:rsidR="00002EE5" w:rsidRPr="0019267D">
          <w:rPr>
            <w:rFonts w:ascii="Arial" w:hAnsi="Arial" w:cs="Arial"/>
            <w:color w:val="0000FF"/>
            <w:sz w:val="20"/>
          </w:rPr>
          <w:t>[11]</w:t>
        </w:r>
      </w:hyperlink>
      <w:bookmarkStart w:id="12" w:name="Document1zzB112035298235"/>
      <w:bookmarkEnd w:id="12"/>
      <w:r w:rsidR="00002EE5" w:rsidRPr="0019267D">
        <w:rPr>
          <w:rFonts w:ascii="Arial" w:hAnsi="Arial" w:cs="Arial"/>
          <w:color w:val="000000"/>
          <w:sz w:val="20"/>
        </w:rPr>
        <w:t xml:space="preserve"> Although the Magistrate Judge dismissed the possibility that contraband could be hidden in a short beard, the Magistrate Judge, the District Court, and the Court of Appeals all thought that they were bound to defer to the Department's assertion that allowing petitioner to grow such a beard would undermine its interest in suppressing contraband. RLUIPA, however, does not permit such unquestioning deference. RLUIPA, like RFRA, “makes clear that it is the obligation of the courts to consider whether exceptions are required under the test set forth by Congress.” </w:t>
      </w:r>
      <w:hyperlink r:id="rId78" w:history="1">
        <w:r w:rsidR="00002EE5" w:rsidRPr="0019267D">
          <w:rPr>
            <w:rFonts w:ascii="Arial" w:hAnsi="Arial" w:cs="Arial"/>
            <w:i/>
            <w:iCs/>
            <w:color w:val="0000FF"/>
            <w:sz w:val="20"/>
          </w:rPr>
          <w:t>O Centro,</w:t>
        </w:r>
      </w:hyperlink>
      <w:hyperlink r:id="rId79" w:history="1">
        <w:r w:rsidR="00002EE5" w:rsidRPr="0019267D">
          <w:rPr>
            <w:rFonts w:ascii="Arial" w:hAnsi="Arial" w:cs="Arial"/>
            <w:color w:val="0000FF"/>
            <w:sz w:val="20"/>
          </w:rPr>
          <w:t xml:space="preserve"> s</w:t>
        </w:r>
      </w:hyperlink>
      <w:hyperlink r:id="rId80" w:history="1">
        <w:r w:rsidR="00002EE5" w:rsidRPr="0019267D">
          <w:rPr>
            <w:rFonts w:ascii="Arial" w:hAnsi="Arial" w:cs="Arial"/>
            <w:i/>
            <w:iCs/>
            <w:color w:val="0000FF"/>
            <w:sz w:val="20"/>
          </w:rPr>
          <w:t>upra,</w:t>
        </w:r>
      </w:hyperlink>
      <w:hyperlink r:id="rId81" w:history="1">
        <w:r w:rsidR="00002EE5" w:rsidRPr="0019267D">
          <w:rPr>
            <w:rFonts w:ascii="Arial" w:hAnsi="Arial" w:cs="Arial"/>
            <w:color w:val="0000FF"/>
            <w:sz w:val="20"/>
          </w:rPr>
          <w:t xml:space="preserve"> at 434, 126 S.Ct. 1211</w:t>
        </w:r>
      </w:hyperlink>
      <w:r w:rsidR="00002EE5" w:rsidRPr="0019267D">
        <w:rPr>
          <w:rFonts w:ascii="Arial" w:hAnsi="Arial" w:cs="Arial"/>
          <w:color w:val="000000"/>
          <w:sz w:val="20"/>
        </w:rPr>
        <w:t>. That test requires the Department not merely to explain why it denied the exemption but to prove that denying the exemption is the least restrictive means of furthering a compelling governmental interest. Prison officials are experts in running prisons and evaluating the likely effects of altering prison rules, and courts should respect that expertise. But that respect does not justify the abdication of the responsibility, conferred by Congress, to apply RLUIPA's rigorous standard. And without a degree of deference that is tantamount to unquestioning acceptance, it is hard to swallow the argument that denying petitioner a 1/2 –inch beard actually furthers the Department's interest in rooting out contraband.</w:t>
      </w:r>
    </w:p>
    <w:p w14:paraId="49DB0460"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243A792"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22035298235" w:history="1">
        <w:r w:rsidR="00002EE5" w:rsidRPr="0019267D">
          <w:rPr>
            <w:rFonts w:ascii="Arial" w:hAnsi="Arial" w:cs="Arial"/>
            <w:color w:val="0000FF"/>
            <w:sz w:val="20"/>
          </w:rPr>
          <w:t>[12]</w:t>
        </w:r>
      </w:hyperlink>
      <w:bookmarkStart w:id="13" w:name="Document1zzB122035298235"/>
      <w:bookmarkEnd w:id="13"/>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"Document1zzF132035298235"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[13]</w:t>
      </w:r>
      <w:r w:rsidR="00002EE5" w:rsidRPr="0019267D">
        <w:rPr>
          <w:rFonts w:ascii="Arial" w:hAnsi="Arial" w:cs="Arial"/>
          <w:color w:val="000000"/>
          <w:sz w:val="20"/>
        </w:rPr>
        <w:fldChar w:fldCharType="end"/>
      </w:r>
      <w:bookmarkStart w:id="14" w:name="Document1zzB132035298235"/>
      <w:bookmarkEnd w:id="14"/>
      <w:r w:rsidR="00002EE5" w:rsidRPr="0019267D">
        <w:rPr>
          <w:rFonts w:ascii="Arial" w:hAnsi="Arial" w:cs="Arial"/>
          <w:color w:val="000000"/>
          <w:sz w:val="20"/>
        </w:rPr>
        <w:t xml:space="preserve"> Even if the Department could make that showing, its contraband argument would still fail because the Department cannot show that forbidding very short beards is the least restrictive means of preventing the concealment of contraband. “The least-restrictive-means standard is exceptionally demanding,” and it requires the government to “sho[w] that it lacks other means of achieving its desired goal without imposing a substantial burden on the exercise of religion by the objecting part[y].” </w:t>
      </w:r>
      <w:hyperlink r:id="rId82" w:history="1">
        <w:r w:rsidR="00002EE5" w:rsidRPr="0019267D">
          <w:rPr>
            <w:rFonts w:ascii="Arial" w:hAnsi="Arial" w:cs="Arial"/>
            <w:i/>
            <w:iCs/>
            <w:color w:val="0000FF"/>
            <w:sz w:val="20"/>
          </w:rPr>
          <w:t>Hobby Lobby, supra,</w:t>
        </w:r>
      </w:hyperlink>
      <w:hyperlink r:id="rId83" w:history="1">
        <w:r w:rsidR="00002EE5" w:rsidRPr="0019267D">
          <w:rPr>
            <w:rFonts w:ascii="Arial" w:hAnsi="Arial" w:cs="Arial"/>
            <w:color w:val="0000FF"/>
            <w:sz w:val="20"/>
          </w:rPr>
          <w:t xml:space="preserve"> at ––––, 134 S.Ct., at 2780</w:t>
        </w:r>
      </w:hyperlink>
      <w:r w:rsidR="00002EE5" w:rsidRPr="0019267D">
        <w:rPr>
          <w:rFonts w:ascii="Arial" w:hAnsi="Arial" w:cs="Arial"/>
          <w:color w:val="000000"/>
          <w:sz w:val="20"/>
        </w:rPr>
        <w:t xml:space="preserve">. “[I]f a less restrictive means is available for the Government to achieve its goals, the Government must use it.” </w:t>
      </w:r>
      <w:hyperlink r:id="rId84" w:history="1">
        <w:r w:rsidR="00002EE5" w:rsidRPr="0019267D">
          <w:rPr>
            <w:rFonts w:ascii="Arial" w:hAnsi="Arial" w:cs="Arial"/>
            <w:i/>
            <w:iCs/>
            <w:color w:val="0000FF"/>
            <w:sz w:val="20"/>
          </w:rPr>
          <w:t>United States v. Playboy Entertainment Group, Inc.,</w:t>
        </w:r>
      </w:hyperlink>
      <w:hyperlink r:id="rId85" w:history="1">
        <w:r w:rsidR="00002EE5" w:rsidRPr="0019267D">
          <w:rPr>
            <w:rFonts w:ascii="Arial" w:hAnsi="Arial" w:cs="Arial"/>
            <w:color w:val="0000FF"/>
            <w:sz w:val="20"/>
          </w:rPr>
          <w:t xml:space="preserve"> 529 U.S. 803, 815, 120 S.Ct. 1878, 146 L.Ed.2d 865 (2000)</w:t>
        </w:r>
      </w:hyperlink>
      <w:r w:rsidR="00002EE5" w:rsidRPr="0019267D">
        <w:rPr>
          <w:rFonts w:ascii="Arial" w:hAnsi="Arial" w:cs="Arial"/>
          <w:color w:val="000000"/>
          <w:sz w:val="20"/>
        </w:rPr>
        <w:t>.</w:t>
      </w:r>
    </w:p>
    <w:p w14:paraId="28807DE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46BF0E5"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The Department failed to establish that it could not satisfy its security concerns by simply searching petitioner's beard. The Department already searches prisoners' hair and clothing, and it presumably examines the 1/4 –inch beards of inmates with dermatological conditions. It has offered no sound reason why hair, clothing, and 1/4 –inch beards can be searched but 1/2 –inch beards cannot. The Department suggests that requiring guards to search a prisoner's beard would pose a risk to the physical safety of a guard if a razor or needle was concealed in the beard. But that is no less true for searches of hair, clothing, and 1/4 –inch beards. And the Department has failed to prove that it could not adopt the less restrictive alternative of having the prisoner run a comb through his beard. For all these reasons, the Department's interest in eliminating contraband cannot sustain its refusal to allow petitioner to grow a 1/2 –inch beard.</w:t>
      </w:r>
    </w:p>
    <w:p w14:paraId="1C056E70"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176A9216"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B</w:t>
      </w:r>
    </w:p>
    <w:p w14:paraId="6E730FD6"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42035298235" w:history="1">
        <w:r w:rsidR="00002EE5" w:rsidRPr="0019267D">
          <w:rPr>
            <w:rFonts w:ascii="Arial" w:hAnsi="Arial" w:cs="Arial"/>
            <w:color w:val="0000FF"/>
            <w:sz w:val="20"/>
          </w:rPr>
          <w:t>[14]</w:t>
        </w:r>
      </w:hyperlink>
      <w:bookmarkStart w:id="15" w:name="Document1zzB142035298235"/>
      <w:bookmarkEnd w:id="15"/>
      <w:r w:rsidR="00002EE5" w:rsidRPr="0019267D">
        <w:rPr>
          <w:rFonts w:ascii="Arial" w:hAnsi="Arial" w:cs="Arial"/>
          <w:color w:val="000000"/>
          <w:sz w:val="20"/>
        </w:rPr>
        <w:t xml:space="preserve"> The Department contends that its grooming policy is necessary to further an additional compelling interest, </w:t>
      </w:r>
      <w:r w:rsidR="00002EE5" w:rsidRPr="0019267D">
        <w:rPr>
          <w:rFonts w:ascii="Arial" w:hAnsi="Arial" w:cs="Arial"/>
          <w:i/>
          <w:iCs/>
          <w:color w:val="000000"/>
          <w:sz w:val="20"/>
        </w:rPr>
        <w:t>i.e.,</w:t>
      </w:r>
      <w:r w:rsidR="00002EE5" w:rsidRPr="0019267D">
        <w:rPr>
          <w:rFonts w:ascii="Arial" w:hAnsi="Arial" w:cs="Arial"/>
          <w:color w:val="000000"/>
          <w:sz w:val="20"/>
        </w:rPr>
        <w:t xml:space="preserve"> preventing prisoners from disguising their identities. The Department tells us that the no-beard policy allows security officers to identify prisoners quickly and accurately. It claims that bearded inmates could shave their beards and change their appearance in order to enter restricted areas within the prison, to escape, and to evade apprehension after escaping.</w:t>
      </w:r>
    </w:p>
    <w:p w14:paraId="4F33674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20DBCE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agree that prisons have a compelling interest in the quick and reliable identification of prisoners, and we acknowledge that any alteration in a prisoner's appearance, such as by shaving a beard, might, in the absence of effective countermeasures, have at least some effect on the ability of guards or others to make a quick identification. But even if we assume for present purposes that the Department's grooming policy sufficiently furthers its interest in the identification of prisoners, that policy still violates RLUIPA as applied in the circumstances present here. The Department contends that a prisoner who has a beard when he is photographed for identification purposes might confuse guards by shaving his beard. But as petitioner has argued, the Department could largely solve this problem by requiring that all inmates be photographed without beards when first admitted to the facility and, if necessary, periodically thereafter. Once that is done, an inmate like petitioner could be allowed to grow a short beard and could be photographed again when the beard reached the 1/2 –inch limit. Prison guards would then have a bearded and clean-shaven photo to use in making identifications. In fact, the Department (like many other States, see Brief for Petitioner 39) already has a policy of photographing a prisoner both when he enters an institution and when his “appearance changes at any time during [his] incarceration.” Arkansas Department of Correction, Inmate Handbook 3–4 (rev. Jan. 2013).</w:t>
      </w:r>
    </w:p>
    <w:p w14:paraId="6413AC0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1BC3DEC"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The Department argues that the dual-photo method is inadequate because, even if it might help authorities apprehend a bearded prisoner who escapes and then shaves his beard once outside the prison, this method is unlikely to assist guards when an inmate quickly shaves his beard in order to alter his appearance within the prison. The Department contends that the identification concern is particularly acute at petitioner's prison, where inmates live in barracks and work in fields. Counsel for the Department suggested at oral argument that a prisoner could gain entry to a restricted area by shaving his beard and swapping identification cards with another inmate while out in the fields. Tr. of Oral Arg. 28–30, 39–43.</w:t>
      </w:r>
    </w:p>
    <w:p w14:paraId="0DA0775B"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00F91C2"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We are unpersuaded by these arguments for at least two reasons. First, the Department failed to show, in the face of petitioner's evidence, that its prison system is so different from the many institutions that allow facial hair that the dual-photo method cannot be employed at its institutions. Second, the Department failed to establish why the risk that a prisoner will shave a 1/2 –inch beard to disguise himself is so great that 1/2 –inch beards cannot be allowed, even though prisoners are allowed to grow mustaches, head hair, or 1/4 –inch beards for medical reasons. All of these could also be shaved off at a moment's notice, but the Department apparently does not think that this possibility raises a serious security concern.</w:t>
      </w:r>
    </w:p>
    <w:p w14:paraId="5057A60D"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D8A341D"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C</w:t>
      </w:r>
    </w:p>
    <w:p w14:paraId="49FE0BE2"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52035298235" w:history="1">
        <w:r w:rsidR="00002EE5" w:rsidRPr="0019267D">
          <w:rPr>
            <w:rFonts w:ascii="Arial" w:hAnsi="Arial" w:cs="Arial"/>
            <w:color w:val="0000FF"/>
            <w:sz w:val="20"/>
          </w:rPr>
          <w:t>[15]</w:t>
        </w:r>
      </w:hyperlink>
      <w:bookmarkStart w:id="16" w:name="Document1zzB152035298235"/>
      <w:bookmarkEnd w:id="16"/>
      <w:r w:rsidR="00002EE5" w:rsidRPr="0019267D">
        <w:rPr>
          <w:rFonts w:ascii="Arial" w:hAnsi="Arial" w:cs="Arial"/>
          <w:color w:val="000000"/>
          <w:sz w:val="20"/>
        </w:rPr>
        <w:t xml:space="preserve"> In addition to its failure to prove that petitioner's proposed alternatives would not sufficiently serve its security interests, the Department has not provided an adequate response to two additional arguments that implicate the RLUIPA analysis.</w:t>
      </w:r>
    </w:p>
    <w:p w14:paraId="321AC4A7"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47F7158E"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First, the Department has not adequately demonstrated why its grooming policy is substantially underinclusive in at least two respects. Although the Department denied petitioner's request to grow a 1/2 –inch beard, it permits prisoners with a dermatological condition to grow 1/4 –inch beards. The Department does this even though both beards pose similar risks. And the Department permits inmates to grow more than a 1/2 –inch of hair on their heads. With respect to hair length, the grooming policy provides only that hair must be worn “above the ear” and “no longer in the back than the middle of the nape of the neck.” App. to Brief for Petitioner 11a. Hair on the head is a more plausible place to hide contraband than a 1/2 –inch beard—and the same is true of an inmate's clothing and shoes. </w:t>
      </w:r>
      <w:r w:rsidRPr="0019267D">
        <w:rPr>
          <w:rFonts w:ascii="Arial" w:hAnsi="Arial" w:cs="Arial"/>
          <w:color w:val="000000"/>
          <w:sz w:val="20"/>
        </w:rPr>
        <w:lastRenderedPageBreak/>
        <w:t xml:space="preserve">Nevertheless, the Department does not require inmates to go about bald, barefoot, or naked. Although the Department's proclaimed objectives are to stop the flow of contraband and to facilitate prisoner identification, “[t]he proffered objectives are not pursued with respect to analogous nonreligious conduct,” which suggests that “those interests could be achieved by narrower ordinances that burdened religion to a far lesser degree.” </w:t>
      </w:r>
      <w:hyperlink r:id="rId86" w:history="1">
        <w:r w:rsidRPr="0019267D">
          <w:rPr>
            <w:rFonts w:ascii="Arial" w:hAnsi="Arial" w:cs="Arial"/>
            <w:i/>
            <w:iCs/>
            <w:color w:val="0000FF"/>
            <w:sz w:val="20"/>
          </w:rPr>
          <w:t>Church of Lukumi Babalu Aye, Inc. v. Hialeah,</w:t>
        </w:r>
      </w:hyperlink>
      <w:hyperlink r:id="rId87" w:history="1">
        <w:r w:rsidRPr="0019267D">
          <w:rPr>
            <w:rFonts w:ascii="Arial" w:hAnsi="Arial" w:cs="Arial"/>
            <w:color w:val="0000FF"/>
            <w:sz w:val="20"/>
          </w:rPr>
          <w:t xml:space="preserve"> 508 U.S. 520, 546, 113 S.Ct. 2217, 124 L.Ed.2d 472 (1993)</w:t>
        </w:r>
      </w:hyperlink>
      <w:r w:rsidRPr="0019267D">
        <w:rPr>
          <w:rFonts w:ascii="Arial" w:hAnsi="Arial" w:cs="Arial"/>
          <w:color w:val="000000"/>
          <w:sz w:val="20"/>
        </w:rPr>
        <w:t>.</w:t>
      </w:r>
    </w:p>
    <w:p w14:paraId="6D02CF1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1FCF6B6A"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In an attempt to demonstrate why its grooming policy is underinclusive in these respects, the Department emphasizes that petitioner's 1/2 –inch beard is longer than the 1/4 –inch beard allowed for medical reasons. But the Department has failed to establish (and the District Court did not find) that a 1/4 –inch difference in beard length poses a meaningful increase in security risk. The Department also asserts that few inmates require beards for medical reasons while many may request beards for religious reasons. But the Department has not argued that denying petitioner an exemption is necessary to further a compelling interest in cost control or program administration. At bottom, this argument is but another formulation of the “classic rejoinder of bureaucrats throughout history: If I make an exception for you, I'll have to make one for everybody, so no exceptions.” </w:t>
      </w:r>
      <w:hyperlink r:id="rId88" w:history="1">
        <w:r w:rsidRPr="0019267D">
          <w:rPr>
            <w:rFonts w:ascii="Arial" w:hAnsi="Arial" w:cs="Arial"/>
            <w:i/>
            <w:iCs/>
            <w:color w:val="0000FF"/>
            <w:sz w:val="20"/>
          </w:rPr>
          <w:t>O Centro,</w:t>
        </w:r>
      </w:hyperlink>
      <w:hyperlink r:id="rId89" w:history="1">
        <w:r w:rsidRPr="0019267D">
          <w:rPr>
            <w:rFonts w:ascii="Arial" w:hAnsi="Arial" w:cs="Arial"/>
            <w:color w:val="0000FF"/>
            <w:sz w:val="20"/>
          </w:rPr>
          <w:t xml:space="preserve"> 546 U.S., at 436, 126 S.Ct. 1211</w:t>
        </w:r>
      </w:hyperlink>
      <w:r w:rsidRPr="0019267D">
        <w:rPr>
          <w:rFonts w:ascii="Arial" w:hAnsi="Arial" w:cs="Arial"/>
          <w:color w:val="000000"/>
          <w:sz w:val="20"/>
        </w:rPr>
        <w:t xml:space="preserve">. We have rejected a similar argument in analogous contexts, see </w:t>
      </w:r>
      <w:r w:rsidRPr="0019267D">
        <w:rPr>
          <w:rFonts w:ascii="Arial" w:hAnsi="Arial" w:cs="Arial"/>
          <w:i/>
          <w:iCs/>
          <w:color w:val="000000"/>
          <w:sz w:val="20"/>
        </w:rPr>
        <w:t>ibid.</w:t>
      </w:r>
      <w:r w:rsidRPr="0019267D">
        <w:rPr>
          <w:rFonts w:ascii="Arial" w:hAnsi="Arial" w:cs="Arial"/>
          <w:color w:val="000000"/>
          <w:sz w:val="20"/>
        </w:rPr>
        <w:t xml:space="preserve">; </w:t>
      </w:r>
      <w:hyperlink r:id="rId90" w:history="1">
        <w:r w:rsidRPr="0019267D">
          <w:rPr>
            <w:rFonts w:ascii="Arial" w:hAnsi="Arial" w:cs="Arial"/>
            <w:i/>
            <w:iCs/>
            <w:color w:val="0000FF"/>
            <w:sz w:val="20"/>
          </w:rPr>
          <w:t>Sherbert,</w:t>
        </w:r>
      </w:hyperlink>
      <w:hyperlink r:id="rId91" w:history="1">
        <w:r w:rsidRPr="0019267D">
          <w:rPr>
            <w:rFonts w:ascii="Arial" w:hAnsi="Arial" w:cs="Arial"/>
            <w:color w:val="0000FF"/>
            <w:sz w:val="20"/>
          </w:rPr>
          <w:t xml:space="preserve"> 374 U.S., at 407, 83 S.Ct. 1790</w:t>
        </w:r>
      </w:hyperlink>
      <w:r w:rsidRPr="0019267D">
        <w:rPr>
          <w:rFonts w:ascii="Arial" w:hAnsi="Arial" w:cs="Arial"/>
          <w:color w:val="000000"/>
          <w:sz w:val="20"/>
        </w:rPr>
        <w:t>, and we reject it again today.</w:t>
      </w:r>
    </w:p>
    <w:p w14:paraId="7358950D"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85B01DE"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Second, the Department failed to show, in the face of petitioner's evidence, why the vast majority of States and the Federal Government permit inmates to grow 1/2 –inch beards, either for any reason or for religious reasons, but it cannot. See Brief for Petitioner 24–25; Brief for United States as </w:t>
      </w:r>
      <w:r w:rsidRPr="0019267D">
        <w:rPr>
          <w:rFonts w:ascii="Arial" w:hAnsi="Arial" w:cs="Arial"/>
          <w:i/>
          <w:iCs/>
          <w:color w:val="000000"/>
          <w:sz w:val="20"/>
        </w:rPr>
        <w:t>Amicus Curiae</w:t>
      </w:r>
      <w:r w:rsidRPr="0019267D">
        <w:rPr>
          <w:rFonts w:ascii="Arial" w:hAnsi="Arial" w:cs="Arial"/>
          <w:color w:val="000000"/>
          <w:sz w:val="20"/>
        </w:rPr>
        <w:t xml:space="preserve"> 28–29. “While not necessarily controlling, the policies followed at other well-run institutions would be relevant to a determination of the need for a particular type of restriction.” </w:t>
      </w:r>
      <w:hyperlink r:id="rId92" w:history="1">
        <w:r w:rsidRPr="0019267D">
          <w:rPr>
            <w:rFonts w:ascii="Arial" w:hAnsi="Arial" w:cs="Arial"/>
            <w:i/>
            <w:iCs/>
            <w:color w:val="0000FF"/>
            <w:sz w:val="20"/>
          </w:rPr>
          <w:t>Procunier v. Martinez,</w:t>
        </w:r>
      </w:hyperlink>
      <w:hyperlink r:id="rId93" w:history="1">
        <w:r w:rsidRPr="0019267D">
          <w:rPr>
            <w:rFonts w:ascii="Arial" w:hAnsi="Arial" w:cs="Arial"/>
            <w:color w:val="0000FF"/>
            <w:sz w:val="20"/>
          </w:rPr>
          <w:t xml:space="preserve"> 416 U.S. 396, 414, n. 14, 94 S.Ct. 1800, 40 L.Ed.2d 224 (1974)</w:t>
        </w:r>
      </w:hyperlink>
      <w:r w:rsidRPr="0019267D">
        <w:rPr>
          <w:rFonts w:ascii="Arial" w:hAnsi="Arial" w:cs="Arial"/>
          <w:color w:val="000000"/>
          <w:sz w:val="20"/>
        </w:rPr>
        <w:t>. That so many other prisons allow inmates to grow beards while ensuring prison safety and security suggests that the Department could satisfy its security concerns through a means less restrictive than denying petitioner the exemption he seeks.</w:t>
      </w:r>
    </w:p>
    <w:p w14:paraId="46637C1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19C3B0B"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62035298235" w:history="1">
        <w:r w:rsidR="00002EE5" w:rsidRPr="0019267D">
          <w:rPr>
            <w:rFonts w:ascii="Arial" w:hAnsi="Arial" w:cs="Arial"/>
            <w:color w:val="0000FF"/>
            <w:sz w:val="20"/>
          </w:rPr>
          <w:t>[16]</w:t>
        </w:r>
      </w:hyperlink>
      <w:bookmarkStart w:id="17" w:name="Document1zzB162035298235"/>
      <w:bookmarkEnd w:id="17"/>
      <w:r w:rsidR="00002EE5" w:rsidRPr="0019267D">
        <w:rPr>
          <w:rFonts w:ascii="Arial" w:hAnsi="Arial" w:cs="Arial"/>
          <w:color w:val="000000"/>
          <w:sz w:val="20"/>
        </w:rPr>
        <w:t xml:space="preserve"> We do not suggest that RLUIPA requires a prison to grant a particular religious exemption as soon as a few other jurisdictions do so. But when so many prisons offer an accommodation, a prison must, at a minimum, offer persuasive reasons why it believes that it must take a different course, and the Department failed to make that showing here. Despite this, the courts below deferred to these prison officials' mere say-so that they could not accommodate petitioner's request. RLUIPA, however, demands much more. Courts must hold prisons to their statutory burden, and they must not “assume a plausible, less restrictive alternative would be ineffective.” </w:t>
      </w:r>
      <w:hyperlink r:id="rId94" w:history="1">
        <w:r w:rsidR="00002EE5" w:rsidRPr="0019267D">
          <w:rPr>
            <w:rFonts w:ascii="Arial" w:hAnsi="Arial" w:cs="Arial"/>
            <w:i/>
            <w:iCs/>
            <w:color w:val="0000FF"/>
            <w:sz w:val="20"/>
          </w:rPr>
          <w:t>Playboy Entertainment,</w:t>
        </w:r>
      </w:hyperlink>
      <w:hyperlink r:id="rId95" w:history="1">
        <w:r w:rsidR="00002EE5" w:rsidRPr="0019267D">
          <w:rPr>
            <w:rFonts w:ascii="Arial" w:hAnsi="Arial" w:cs="Arial"/>
            <w:color w:val="0000FF"/>
            <w:sz w:val="20"/>
          </w:rPr>
          <w:t xml:space="preserve"> 529 U.S., at 824, 120 S.Ct. 1878</w:t>
        </w:r>
      </w:hyperlink>
      <w:r w:rsidR="00002EE5" w:rsidRPr="0019267D">
        <w:rPr>
          <w:rFonts w:ascii="Arial" w:hAnsi="Arial" w:cs="Arial"/>
          <w:color w:val="000000"/>
          <w:sz w:val="20"/>
        </w:rPr>
        <w:t>.</w:t>
      </w:r>
    </w:p>
    <w:p w14:paraId="11921A26"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D01CEBD" w14:textId="77777777" w:rsidR="00002EE5" w:rsidRPr="0019267D" w:rsidRDefault="00CE5943" w:rsidP="00002EE5">
      <w:pPr>
        <w:widowControl w:val="0"/>
        <w:autoSpaceDE w:val="0"/>
        <w:autoSpaceDN w:val="0"/>
        <w:adjustRightInd w:val="0"/>
        <w:ind w:firstLine="360"/>
        <w:jc w:val="both"/>
        <w:rPr>
          <w:rFonts w:ascii="Arial" w:hAnsi="Arial" w:cs="Arial"/>
          <w:color w:val="000000"/>
          <w:sz w:val="20"/>
        </w:rPr>
      </w:pPr>
      <w:hyperlink w:anchor="Document1zzF172035298235" w:history="1">
        <w:r w:rsidR="00002EE5" w:rsidRPr="0019267D">
          <w:rPr>
            <w:rFonts w:ascii="Arial" w:hAnsi="Arial" w:cs="Arial"/>
            <w:color w:val="0000FF"/>
            <w:sz w:val="20"/>
          </w:rPr>
          <w:t>[17]</w:t>
        </w:r>
      </w:hyperlink>
      <w:bookmarkStart w:id="18" w:name="Document1zzB172035298235"/>
      <w:bookmarkEnd w:id="18"/>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"Document1zzF182035298235"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[18]</w:t>
      </w:r>
      <w:r w:rsidR="00002EE5" w:rsidRPr="0019267D">
        <w:rPr>
          <w:rFonts w:ascii="Arial" w:hAnsi="Arial" w:cs="Arial"/>
          <w:color w:val="000000"/>
          <w:sz w:val="20"/>
        </w:rPr>
        <w:fldChar w:fldCharType="end"/>
      </w:r>
      <w:bookmarkStart w:id="19" w:name="Document1zzB182035298235"/>
      <w:bookmarkEnd w:id="19"/>
      <w:r w:rsidR="00002EE5" w:rsidRPr="0019267D">
        <w:rPr>
          <w:rFonts w:ascii="Arial" w:hAnsi="Arial" w:cs="Arial"/>
          <w:color w:val="000000"/>
          <w:sz w:val="20"/>
        </w:rPr>
        <w:fldChar w:fldCharType="begin"/>
      </w:r>
      <w:r w:rsidR="00002EE5" w:rsidRPr="0019267D">
        <w:rPr>
          <w:rFonts w:ascii="Arial" w:hAnsi="Arial" w:cs="Arial"/>
          <w:color w:val="000000"/>
          <w:sz w:val="20"/>
        </w:rPr>
        <w:instrText>HYPERLINK \l "Document1zzF192035298235"</w:instrText>
      </w:r>
      <w:r w:rsidR="00002EE5" w:rsidRPr="0019267D">
        <w:rPr>
          <w:rFonts w:ascii="Arial" w:hAnsi="Arial" w:cs="Arial"/>
          <w:color w:val="000000"/>
          <w:sz w:val="20"/>
        </w:rPr>
        <w:fldChar w:fldCharType="separate"/>
      </w:r>
      <w:r w:rsidR="00002EE5" w:rsidRPr="0019267D">
        <w:rPr>
          <w:rFonts w:ascii="Arial" w:hAnsi="Arial" w:cs="Arial"/>
          <w:color w:val="0000FF"/>
          <w:sz w:val="20"/>
        </w:rPr>
        <w:t>[19]</w:t>
      </w:r>
      <w:r w:rsidR="00002EE5" w:rsidRPr="0019267D">
        <w:rPr>
          <w:rFonts w:ascii="Arial" w:hAnsi="Arial" w:cs="Arial"/>
          <w:color w:val="000000"/>
          <w:sz w:val="20"/>
        </w:rPr>
        <w:fldChar w:fldCharType="end"/>
      </w:r>
      <w:bookmarkStart w:id="20" w:name="Document1zzB192035298235"/>
      <w:bookmarkEnd w:id="20"/>
      <w:r w:rsidR="00002EE5" w:rsidRPr="0019267D">
        <w:rPr>
          <w:rFonts w:ascii="Arial" w:hAnsi="Arial" w:cs="Arial"/>
          <w:color w:val="000000"/>
          <w:sz w:val="20"/>
        </w:rPr>
        <w:t xml:space="preserve"> We emphasize that although RLUIPA provides substantial protection for the religious exercise of institutionalized persons, it also affords prison officials ample ability to maintain security. We highlight three ways in which this is so. First, in applying RLUIPA's statutory standard, courts should not blind themselves to the fact that the analysis is conducted in the prison setting. Second, if an institution suspects that an inmate is using religious activity to cloak illicit conduct, “prison officials may appropriately question whether a prisoner's religiosity, asserted as the basis for a requested accommodation, is authentic.” </w:t>
      </w:r>
      <w:hyperlink r:id="rId96" w:history="1">
        <w:r w:rsidR="00002EE5" w:rsidRPr="0019267D">
          <w:rPr>
            <w:rFonts w:ascii="Arial" w:hAnsi="Arial" w:cs="Arial"/>
            <w:i/>
            <w:iCs/>
            <w:color w:val="0000FF"/>
            <w:sz w:val="20"/>
          </w:rPr>
          <w:t>Cutter v. Wilkinson,</w:t>
        </w:r>
      </w:hyperlink>
      <w:hyperlink r:id="rId97" w:history="1">
        <w:r w:rsidR="00002EE5" w:rsidRPr="0019267D">
          <w:rPr>
            <w:rFonts w:ascii="Arial" w:hAnsi="Arial" w:cs="Arial"/>
            <w:color w:val="0000FF"/>
            <w:sz w:val="20"/>
          </w:rPr>
          <w:t xml:space="preserve"> 544 U.S. 709, 725, n. 13, 125 S.Ct. 2113, 161 L.Ed.2d 1020 (2005)</w:t>
        </w:r>
      </w:hyperlink>
      <w:r w:rsidR="00002EE5" w:rsidRPr="0019267D">
        <w:rPr>
          <w:rFonts w:ascii="Arial" w:hAnsi="Arial" w:cs="Arial"/>
          <w:color w:val="000000"/>
          <w:sz w:val="20"/>
        </w:rPr>
        <w:t xml:space="preserve">. See also </w:t>
      </w:r>
      <w:hyperlink r:id="rId98" w:history="1">
        <w:r w:rsidR="00002EE5" w:rsidRPr="0019267D">
          <w:rPr>
            <w:rFonts w:ascii="Arial" w:hAnsi="Arial" w:cs="Arial"/>
            <w:i/>
            <w:iCs/>
            <w:color w:val="0000FF"/>
            <w:sz w:val="20"/>
          </w:rPr>
          <w:t>Hobby Lobby,</w:t>
        </w:r>
      </w:hyperlink>
      <w:hyperlink r:id="rId99" w:history="1">
        <w:r w:rsidR="00002EE5" w:rsidRPr="0019267D">
          <w:rPr>
            <w:rFonts w:ascii="Arial" w:hAnsi="Arial" w:cs="Arial"/>
            <w:color w:val="0000FF"/>
            <w:sz w:val="20"/>
          </w:rPr>
          <w:t xml:space="preserve"> 573 U.S., at ––––, n. 28, 134 S.Ct., at 2774, n. 28</w:t>
        </w:r>
      </w:hyperlink>
      <w:r w:rsidR="00002EE5" w:rsidRPr="0019267D">
        <w:rPr>
          <w:rFonts w:ascii="Arial" w:hAnsi="Arial" w:cs="Arial"/>
          <w:color w:val="000000"/>
          <w:sz w:val="20"/>
        </w:rPr>
        <w:t>. Third, even if a claimant's religious belief is sincere, an institution might be entitled to withdraw an accommodation if the claimant abuses the exemption in a manner that undermines the prison's compelling interests.</w:t>
      </w:r>
    </w:p>
    <w:p w14:paraId="39650592"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39394DE"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IV</w:t>
      </w:r>
    </w:p>
    <w:p w14:paraId="7FC2F8E3"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In sum, we hold that the Department's grooming policy violates RLUIPA insofar as it prevents petitioner from growing a 1/2 –inch beard in accordance with his religious beliefs. The judgment of the United States Court of Appeals for the Eighth Circuit is reversed, and the case is remanded for further proceedings consistent with this opinion.</w:t>
      </w:r>
    </w:p>
    <w:p w14:paraId="75D3208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3F951725"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i/>
          <w:iCs/>
          <w:color w:val="000000"/>
          <w:sz w:val="20"/>
        </w:rPr>
        <w:t>It is so ordered.</w:t>
      </w:r>
    </w:p>
    <w:p w14:paraId="55A5B065"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506CF73F"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 xml:space="preserve">Justice </w:t>
      </w:r>
      <w:hyperlink r:id="rId100" w:history="1">
        <w:r w:rsidRPr="0019267D">
          <w:rPr>
            <w:rFonts w:ascii="Arial" w:hAnsi="Arial" w:cs="Arial"/>
            <w:color w:val="0000FF"/>
            <w:sz w:val="20"/>
          </w:rPr>
          <w:t>GINSBURG</w:t>
        </w:r>
      </w:hyperlink>
      <w:r w:rsidRPr="0019267D">
        <w:rPr>
          <w:rFonts w:ascii="Arial" w:hAnsi="Arial" w:cs="Arial"/>
          <w:color w:val="000000"/>
          <w:sz w:val="20"/>
        </w:rPr>
        <w:t xml:space="preserve">, with whom Justice </w:t>
      </w:r>
      <w:hyperlink r:id="rId101" w:history="1">
        <w:r w:rsidRPr="0019267D">
          <w:rPr>
            <w:rFonts w:ascii="Arial" w:hAnsi="Arial" w:cs="Arial"/>
            <w:color w:val="0000FF"/>
            <w:sz w:val="20"/>
          </w:rPr>
          <w:t>SOTOMAYOR</w:t>
        </w:r>
      </w:hyperlink>
      <w:r w:rsidRPr="0019267D">
        <w:rPr>
          <w:rFonts w:ascii="Arial" w:hAnsi="Arial" w:cs="Arial"/>
          <w:color w:val="000000"/>
          <w:sz w:val="20"/>
        </w:rPr>
        <w:t xml:space="preserve"> joins, concurring.</w:t>
      </w:r>
    </w:p>
    <w:p w14:paraId="7F55FC95"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Unlike the exemption this Court approved in </w:t>
      </w:r>
      <w:hyperlink r:id="rId102" w:history="1">
        <w:r w:rsidRPr="0019267D">
          <w:rPr>
            <w:rFonts w:ascii="Arial" w:hAnsi="Arial" w:cs="Arial"/>
            <w:i/>
            <w:iCs/>
            <w:color w:val="0000FF"/>
            <w:sz w:val="20"/>
          </w:rPr>
          <w:t>Burwell v. Hobby Lobby Stores, Inc.,</w:t>
        </w:r>
      </w:hyperlink>
      <w:hyperlink r:id="rId103" w:history="1">
        <w:r w:rsidRPr="0019267D">
          <w:rPr>
            <w:rFonts w:ascii="Arial" w:hAnsi="Arial" w:cs="Arial"/>
            <w:color w:val="0000FF"/>
            <w:sz w:val="20"/>
          </w:rPr>
          <w:t xml:space="preserve"> 573 U.S. ––––, 134 S.Ct. 2751, 189 L.Ed.2d 675 (2014)</w:t>
        </w:r>
      </w:hyperlink>
      <w:r w:rsidRPr="0019267D">
        <w:rPr>
          <w:rFonts w:ascii="Arial" w:hAnsi="Arial" w:cs="Arial"/>
          <w:color w:val="000000"/>
          <w:sz w:val="20"/>
        </w:rPr>
        <w:t xml:space="preserve">, accommodating petitioner's religious belief in this case would not detrimentally affect others who do not share petitioner's belief. See </w:t>
      </w:r>
      <w:hyperlink r:id="rId104" w:history="1">
        <w:r w:rsidRPr="0019267D">
          <w:rPr>
            <w:rFonts w:ascii="Arial" w:hAnsi="Arial" w:cs="Arial"/>
            <w:i/>
            <w:iCs/>
            <w:color w:val="0000FF"/>
            <w:sz w:val="20"/>
          </w:rPr>
          <w:t>id.,</w:t>
        </w:r>
      </w:hyperlink>
      <w:hyperlink r:id="rId105" w:history="1">
        <w:r w:rsidRPr="0019267D">
          <w:rPr>
            <w:rFonts w:ascii="Arial" w:hAnsi="Arial" w:cs="Arial"/>
            <w:color w:val="0000FF"/>
            <w:sz w:val="20"/>
          </w:rPr>
          <w:t xml:space="preserve"> at ––––, –––– – –––</w:t>
        </w:r>
      </w:hyperlink>
      <w:r w:rsidRPr="0019267D">
        <w:rPr>
          <w:rFonts w:ascii="Arial" w:hAnsi="Arial" w:cs="Arial"/>
          <w:color w:val="000000"/>
          <w:sz w:val="20"/>
        </w:rPr>
        <w:t xml:space="preserve">–, and n. 8, ––––, </w:t>
      </w:r>
      <w:hyperlink r:id="rId106" w:history="1">
        <w:r w:rsidRPr="0019267D">
          <w:rPr>
            <w:rFonts w:ascii="Arial" w:hAnsi="Arial" w:cs="Arial"/>
            <w:color w:val="0000FF"/>
            <w:sz w:val="20"/>
          </w:rPr>
          <w:t>134 S.Ct., at 2787–2788, 2790–2791, and n. 8, 2801</w:t>
        </w:r>
      </w:hyperlink>
      <w:r w:rsidRPr="0019267D">
        <w:rPr>
          <w:rFonts w:ascii="Arial" w:hAnsi="Arial" w:cs="Arial"/>
          <w:color w:val="000000"/>
          <w:sz w:val="20"/>
        </w:rPr>
        <w:t xml:space="preserve"> (GINSBURG, J., dissenting). On that understanding, I join the Court's opinion.</w:t>
      </w:r>
    </w:p>
    <w:p w14:paraId="20C7D206" w14:textId="77777777" w:rsidR="00002EE5" w:rsidRPr="0019267D" w:rsidRDefault="00002EE5" w:rsidP="00002EE5">
      <w:pPr>
        <w:widowControl w:val="0"/>
        <w:autoSpaceDE w:val="0"/>
        <w:autoSpaceDN w:val="0"/>
        <w:adjustRightInd w:val="0"/>
        <w:jc w:val="both"/>
        <w:rPr>
          <w:rFonts w:ascii="Arial" w:hAnsi="Arial" w:cs="Arial"/>
          <w:color w:val="000000"/>
          <w:sz w:val="20"/>
        </w:rPr>
      </w:pPr>
      <w:r w:rsidRPr="0019267D">
        <w:rPr>
          <w:rFonts w:ascii="Arial" w:hAnsi="Arial" w:cs="Arial"/>
          <w:color w:val="000000"/>
          <w:sz w:val="20"/>
        </w:rPr>
        <w:t xml:space="preserve">Justice </w:t>
      </w:r>
      <w:hyperlink r:id="rId107" w:history="1">
        <w:r w:rsidRPr="0019267D">
          <w:rPr>
            <w:rFonts w:ascii="Arial" w:hAnsi="Arial" w:cs="Arial"/>
            <w:color w:val="0000FF"/>
            <w:sz w:val="20"/>
          </w:rPr>
          <w:t>SOTOMAYOR</w:t>
        </w:r>
      </w:hyperlink>
      <w:r w:rsidRPr="0019267D">
        <w:rPr>
          <w:rFonts w:ascii="Arial" w:hAnsi="Arial" w:cs="Arial"/>
          <w:color w:val="000000"/>
          <w:sz w:val="20"/>
        </w:rPr>
        <w:t>, concurring.</w:t>
      </w:r>
    </w:p>
    <w:p w14:paraId="2CD0E74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I concur in the Court's opinion, which holds that the Department failed to show why the less restrictive alternatives identified by petitioner in the course of this litigation were inadequate to achieve the Department's compelling security-related interests. I write separately to explain my understanding of the applicable legal standard.</w:t>
      </w:r>
    </w:p>
    <w:p w14:paraId="65446F7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D762E89"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Nothing in the Court's opinion calls into question our prior holding in </w:t>
      </w:r>
      <w:r w:rsidRPr="0019267D">
        <w:rPr>
          <w:rFonts w:ascii="Arial" w:hAnsi="Arial" w:cs="Arial"/>
          <w:i/>
          <w:iCs/>
          <w:color w:val="000000"/>
          <w:sz w:val="20"/>
        </w:rPr>
        <w:t>Cutter v. Wilkinson</w:t>
      </w:r>
      <w:r w:rsidRPr="0019267D">
        <w:rPr>
          <w:rFonts w:ascii="Arial" w:hAnsi="Arial" w:cs="Arial"/>
          <w:color w:val="000000"/>
          <w:sz w:val="20"/>
        </w:rPr>
        <w:t xml:space="preserve"> that “[c]ontext matters” in the application of the Religious Land Use and Institutionalized Persons Act of 2000 (RLUIPA), 114 Stat. 803, </w:t>
      </w:r>
      <w:hyperlink r:id="rId108" w:history="1">
        <w:r w:rsidRPr="0019267D">
          <w:rPr>
            <w:rFonts w:ascii="Arial" w:hAnsi="Arial" w:cs="Arial"/>
            <w:color w:val="0000FF"/>
            <w:sz w:val="20"/>
          </w:rPr>
          <w:t xml:space="preserve">42 U.S.C. § 2000cc </w:t>
        </w:r>
      </w:hyperlink>
      <w:hyperlink r:id="rId109" w:history="1">
        <w:r w:rsidRPr="0019267D">
          <w:rPr>
            <w:rFonts w:ascii="Arial" w:hAnsi="Arial" w:cs="Arial"/>
            <w:i/>
            <w:iCs/>
            <w:color w:val="0000FF"/>
            <w:sz w:val="20"/>
          </w:rPr>
          <w:t>et seq.</w:t>
        </w:r>
      </w:hyperlink>
      <w:r w:rsidRPr="0019267D">
        <w:rPr>
          <w:rFonts w:ascii="Arial" w:hAnsi="Arial" w:cs="Arial"/>
          <w:i/>
          <w:iCs/>
          <w:color w:val="000000"/>
          <w:sz w:val="20"/>
        </w:rPr>
        <w:t xml:space="preserve"> </w:t>
      </w:r>
      <w:hyperlink r:id="rId110" w:history="1">
        <w:r w:rsidRPr="0019267D">
          <w:rPr>
            <w:rFonts w:ascii="Arial" w:hAnsi="Arial" w:cs="Arial"/>
            <w:color w:val="0000FF"/>
            <w:sz w:val="20"/>
          </w:rPr>
          <w:t>544 U.S. 709, 723, 125 S.Ct. 2113, 161 L.Ed.2d 1020 (2005)</w:t>
        </w:r>
      </w:hyperlink>
      <w:r w:rsidRPr="0019267D">
        <w:rPr>
          <w:rFonts w:ascii="Arial" w:hAnsi="Arial" w:cs="Arial"/>
          <w:color w:val="000000"/>
          <w:sz w:val="20"/>
        </w:rPr>
        <w:t xml:space="preserve"> (internal quotation marks omitted). In the dangerous prison environment, “regulations and procedures” are needed to “maintain good order, security and discipline, consistent with consideration of costs and limited resources.” </w:t>
      </w:r>
      <w:r w:rsidRPr="0019267D">
        <w:rPr>
          <w:rFonts w:ascii="Arial" w:hAnsi="Arial" w:cs="Arial"/>
          <w:i/>
          <w:iCs/>
          <w:color w:val="000000"/>
          <w:sz w:val="20"/>
        </w:rPr>
        <w:t>Ibid.</w:t>
      </w:r>
      <w:r w:rsidRPr="0019267D">
        <w:rPr>
          <w:rFonts w:ascii="Arial" w:hAnsi="Arial" w:cs="Arial"/>
          <w:color w:val="000000"/>
          <w:sz w:val="20"/>
        </w:rPr>
        <w:t xml:space="preserve"> Of course, that is not to say that cost alone is an absolute defense to an otherwise meritorious RLUIPA claim. See § 2000cc–3(c). Thus, we recognized “that prison security is a compelling state interest, and that deference is due to institutional officials' expertise in this area.” </w:t>
      </w:r>
      <w:hyperlink r:id="rId111" w:history="1">
        <w:r w:rsidRPr="0019267D">
          <w:rPr>
            <w:rFonts w:ascii="Arial" w:hAnsi="Arial" w:cs="Arial"/>
            <w:i/>
            <w:iCs/>
            <w:color w:val="0000FF"/>
            <w:sz w:val="20"/>
          </w:rPr>
          <w:t>Cutter,</w:t>
        </w:r>
      </w:hyperlink>
      <w:hyperlink r:id="rId112" w:history="1">
        <w:r w:rsidRPr="0019267D">
          <w:rPr>
            <w:rFonts w:ascii="Arial" w:hAnsi="Arial" w:cs="Arial"/>
            <w:color w:val="0000FF"/>
            <w:sz w:val="20"/>
          </w:rPr>
          <w:t xml:space="preserve"> 544 U.S., at 725, n. 13, 125 S.Ct. 2113</w:t>
        </w:r>
      </w:hyperlink>
      <w:r w:rsidRPr="0019267D">
        <w:rPr>
          <w:rFonts w:ascii="Arial" w:hAnsi="Arial" w:cs="Arial"/>
          <w:color w:val="000000"/>
          <w:sz w:val="20"/>
        </w:rPr>
        <w:t>.</w:t>
      </w:r>
    </w:p>
    <w:p w14:paraId="09E3F79E"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099F2492"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I do not understand the Court's opinion to preclude deferring to prison officials' reasoning when that deference is due—that is, when prison officials offer a plausible explanation for their chosen policy that is supported by whatever evidence is reasonably available to them. But the deference that must be “extend[ed to] the experience and expertise of prison administrators does not extend so far that prison officials may declare a compelling governmental interest by fiat.” </w:t>
      </w:r>
      <w:hyperlink r:id="rId113" w:history="1">
        <w:r w:rsidRPr="0019267D">
          <w:rPr>
            <w:rFonts w:ascii="Arial" w:hAnsi="Arial" w:cs="Arial"/>
            <w:i/>
            <w:iCs/>
            <w:color w:val="0000FF"/>
            <w:sz w:val="20"/>
          </w:rPr>
          <w:t>Yellowbear v. Lampert,</w:t>
        </w:r>
      </w:hyperlink>
      <w:hyperlink r:id="rId114" w:history="1">
        <w:r w:rsidRPr="0019267D">
          <w:rPr>
            <w:rFonts w:ascii="Arial" w:hAnsi="Arial" w:cs="Arial"/>
            <w:color w:val="0000FF"/>
            <w:sz w:val="20"/>
          </w:rPr>
          <w:t xml:space="preserve"> 741 F.3d 48, 59 (C.A.10 2014)</w:t>
        </w:r>
      </w:hyperlink>
      <w:r w:rsidRPr="0019267D">
        <w:rPr>
          <w:rFonts w:ascii="Arial" w:hAnsi="Arial" w:cs="Arial"/>
          <w:color w:val="000000"/>
          <w:sz w:val="20"/>
        </w:rPr>
        <w:t xml:space="preserve">. Indeed, prison policies “ ‘grounded on mere speculation’ ” are exactly the ones that motivated Congress to enact RLUIPA. 106 Cong. Rec. 16699 (2000) (quoting </w:t>
      </w:r>
      <w:hyperlink r:id="rId115" w:history="1">
        <w:r w:rsidRPr="0019267D">
          <w:rPr>
            <w:rFonts w:ascii="Arial" w:hAnsi="Arial" w:cs="Arial"/>
            <w:color w:val="0000FF"/>
            <w:sz w:val="20"/>
          </w:rPr>
          <w:t>S.Rep. No. 103–111, 10</w:t>
        </w:r>
      </w:hyperlink>
      <w:r w:rsidRPr="0019267D">
        <w:rPr>
          <w:rFonts w:ascii="Arial" w:hAnsi="Arial" w:cs="Arial"/>
          <w:color w:val="000000"/>
          <w:sz w:val="20"/>
        </w:rPr>
        <w:t xml:space="preserve"> (1993)).</w:t>
      </w:r>
    </w:p>
    <w:p w14:paraId="394AA30C"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7F5DCB10"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Here, the Department's failure to demonstrate why the less restrictive policies petitioner identified in the course of the litigation were insufficient to achieve its compelling interests—not the Court's independent judgment concerning the merit of these alternative approaches—is ultimately fatal to the Department's position. The Court is appropriately skeptical of the relationship between the Department's no-beard policy and its alleged compelling interests because the Department offered little more than unsupported assertions in defense of its refusal of petitioner's requested religious accommodation. RLUIPA requires more.</w:t>
      </w:r>
    </w:p>
    <w:p w14:paraId="4C441E7F"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6C52C760"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 xml:space="preserve">One final point bears emphasis. RLUIPA requires institutions refusing an accommodation to demonstrate that the policy it defends “is the least restrictive means of furthering [the alleged] compelling ... interest[s].” </w:t>
      </w:r>
      <w:hyperlink r:id="rId116" w:history="1">
        <w:r w:rsidRPr="0019267D">
          <w:rPr>
            <w:rFonts w:ascii="Arial" w:hAnsi="Arial" w:cs="Arial"/>
            <w:color w:val="0000FF"/>
            <w:sz w:val="20"/>
          </w:rPr>
          <w:t>§ 2000cc–1(a)(2)</w:t>
        </w:r>
      </w:hyperlink>
      <w:r w:rsidRPr="0019267D">
        <w:rPr>
          <w:rFonts w:ascii="Arial" w:hAnsi="Arial" w:cs="Arial"/>
          <w:color w:val="000000"/>
          <w:sz w:val="20"/>
        </w:rPr>
        <w:t xml:space="preserve">; see also </w:t>
      </w:r>
      <w:hyperlink r:id="rId117" w:history="1">
        <w:r w:rsidRPr="0019267D">
          <w:rPr>
            <w:rFonts w:ascii="Arial" w:hAnsi="Arial" w:cs="Arial"/>
            <w:i/>
            <w:iCs/>
            <w:color w:val="0000FF"/>
            <w:sz w:val="20"/>
          </w:rPr>
          <w:t>Washington v. Klem,</w:t>
        </w:r>
      </w:hyperlink>
      <w:hyperlink r:id="rId118" w:history="1">
        <w:r w:rsidRPr="0019267D">
          <w:rPr>
            <w:rFonts w:ascii="Arial" w:hAnsi="Arial" w:cs="Arial"/>
            <w:color w:val="0000FF"/>
            <w:sz w:val="20"/>
          </w:rPr>
          <w:t xml:space="preserve"> 497 F.3d 272, 284 (C.A.3 2007)</w:t>
        </w:r>
      </w:hyperlink>
      <w:r w:rsidRPr="0019267D">
        <w:rPr>
          <w:rFonts w:ascii="Arial" w:hAnsi="Arial" w:cs="Arial"/>
          <w:color w:val="000000"/>
          <w:sz w:val="20"/>
        </w:rPr>
        <w:t xml:space="preserve"> (“[T]he phrase ‘least restrictive means' is, by definition, a relative term. It necessarily implies a comparison with other means”);</w:t>
      </w:r>
      <w:r w:rsidRPr="0019267D">
        <w:rPr>
          <w:rFonts w:ascii="Arial" w:hAnsi="Arial" w:cs="Arial"/>
          <w:i/>
          <w:iCs/>
          <w:color w:val="000000"/>
          <w:sz w:val="20"/>
        </w:rPr>
        <w:t xml:space="preserve"> </w:t>
      </w:r>
      <w:hyperlink r:id="rId119" w:history="1">
        <w:r w:rsidRPr="0019267D">
          <w:rPr>
            <w:rFonts w:ascii="Arial" w:hAnsi="Arial" w:cs="Arial"/>
            <w:i/>
            <w:iCs/>
            <w:color w:val="0000FF"/>
            <w:sz w:val="20"/>
          </w:rPr>
          <w:t>Couch v. Jabe,</w:t>
        </w:r>
      </w:hyperlink>
      <w:hyperlink r:id="rId120" w:history="1">
        <w:r w:rsidRPr="0019267D">
          <w:rPr>
            <w:rFonts w:ascii="Arial" w:hAnsi="Arial" w:cs="Arial"/>
            <w:color w:val="0000FF"/>
            <w:sz w:val="20"/>
          </w:rPr>
          <w:t xml:space="preserve"> 679 F.3d 197, 203 (C.A.4 2012)</w:t>
        </w:r>
      </w:hyperlink>
      <w:r w:rsidRPr="0019267D">
        <w:rPr>
          <w:rFonts w:ascii="Arial" w:hAnsi="Arial" w:cs="Arial"/>
          <w:color w:val="000000"/>
          <w:sz w:val="20"/>
        </w:rPr>
        <w:t xml:space="preserve"> (same). But nothing in the Court's opinion suggests that prison officials must refute every conceivable option to satisfy RLUIPA's least restrictive means requirement. Nor does it intimate that officials must prove that they considered less restrictive alternatives at a particular point in time. Instead, the Court correctly notes that the Department inadequately responded to the less restrictive policies that petitioner brought to the Department's attention during the course of the litigation, including the more permissive policies used by the prisons in New York and California. See, </w:t>
      </w:r>
      <w:r w:rsidRPr="0019267D">
        <w:rPr>
          <w:rFonts w:ascii="Arial" w:hAnsi="Arial" w:cs="Arial"/>
          <w:i/>
          <w:iCs/>
          <w:color w:val="000000"/>
          <w:sz w:val="20"/>
        </w:rPr>
        <w:t>e.g.,</w:t>
      </w:r>
      <w:r w:rsidRPr="0019267D">
        <w:rPr>
          <w:rFonts w:ascii="Arial" w:hAnsi="Arial" w:cs="Arial"/>
          <w:color w:val="000000"/>
          <w:sz w:val="20"/>
        </w:rPr>
        <w:t xml:space="preserve"> </w:t>
      </w:r>
      <w:hyperlink r:id="rId121" w:history="1">
        <w:r w:rsidRPr="0019267D">
          <w:rPr>
            <w:rFonts w:ascii="Arial" w:hAnsi="Arial" w:cs="Arial"/>
            <w:i/>
            <w:iCs/>
            <w:color w:val="0000FF"/>
            <w:sz w:val="20"/>
          </w:rPr>
          <w:t>United States v. Wilgus,</w:t>
        </w:r>
      </w:hyperlink>
      <w:hyperlink r:id="rId122" w:history="1">
        <w:r w:rsidRPr="0019267D">
          <w:rPr>
            <w:rFonts w:ascii="Arial" w:hAnsi="Arial" w:cs="Arial"/>
            <w:color w:val="0000FF"/>
            <w:sz w:val="20"/>
          </w:rPr>
          <w:t xml:space="preserve"> 638 F.3d 1274, 1289 (C.A.10 2011)</w:t>
        </w:r>
      </w:hyperlink>
      <w:r w:rsidRPr="0019267D">
        <w:rPr>
          <w:rFonts w:ascii="Arial" w:hAnsi="Arial" w:cs="Arial"/>
          <w:color w:val="000000"/>
          <w:sz w:val="20"/>
        </w:rPr>
        <w:t xml:space="preserve"> (observing in the analogous context of the Religious Freedom Restoration Act of 1993 that the government need not “do the impossible—refute each and every conceivable alternative regulation scheme” but need only “refute the alternative schemes offered by </w:t>
      </w:r>
      <w:r w:rsidRPr="0019267D">
        <w:rPr>
          <w:rFonts w:ascii="Arial" w:hAnsi="Arial" w:cs="Arial"/>
          <w:color w:val="000000"/>
          <w:sz w:val="20"/>
        </w:rPr>
        <w:lastRenderedPageBreak/>
        <w:t>the challenger”).</w:t>
      </w:r>
    </w:p>
    <w:p w14:paraId="3EB79487" w14:textId="77777777" w:rsidR="00002EE5" w:rsidRPr="0019267D" w:rsidRDefault="00002EE5" w:rsidP="00002EE5">
      <w:pPr>
        <w:widowControl w:val="0"/>
        <w:autoSpaceDE w:val="0"/>
        <w:autoSpaceDN w:val="0"/>
        <w:adjustRightInd w:val="0"/>
        <w:jc w:val="both"/>
        <w:rPr>
          <w:rFonts w:ascii="Arial" w:hAnsi="Arial" w:cs="Arial"/>
          <w:color w:val="000000"/>
          <w:sz w:val="20"/>
        </w:rPr>
      </w:pPr>
    </w:p>
    <w:p w14:paraId="23C9D331" w14:textId="77777777" w:rsidR="00002EE5" w:rsidRPr="0019267D" w:rsidRDefault="00002EE5" w:rsidP="00002EE5">
      <w:pPr>
        <w:widowControl w:val="0"/>
        <w:autoSpaceDE w:val="0"/>
        <w:autoSpaceDN w:val="0"/>
        <w:adjustRightInd w:val="0"/>
        <w:ind w:firstLine="360"/>
        <w:jc w:val="both"/>
        <w:rPr>
          <w:rFonts w:ascii="Arial" w:hAnsi="Arial" w:cs="Arial"/>
          <w:color w:val="000000"/>
          <w:sz w:val="20"/>
        </w:rPr>
      </w:pPr>
      <w:r w:rsidRPr="0019267D">
        <w:rPr>
          <w:rFonts w:ascii="Arial" w:hAnsi="Arial" w:cs="Arial"/>
          <w:color w:val="000000"/>
          <w:sz w:val="20"/>
        </w:rPr>
        <w:t>Because I understand the Court's opinion to be consistent with the foregoing, I join it.</w:t>
      </w:r>
    </w:p>
    <w:p w14:paraId="10B7B19B" w14:textId="77777777" w:rsidR="00002EE5" w:rsidRPr="0019267D" w:rsidRDefault="00002EE5" w:rsidP="00002EE5">
      <w:pPr>
        <w:widowControl w:val="0"/>
        <w:autoSpaceDE w:val="0"/>
        <w:autoSpaceDN w:val="0"/>
        <w:adjustRightInd w:val="0"/>
        <w:jc w:val="both"/>
        <w:rPr>
          <w:rFonts w:ascii="Arial" w:hAnsi="Arial" w:cs="Arial"/>
          <w:color w:val="000000"/>
        </w:rPr>
      </w:pPr>
    </w:p>
    <w:p w14:paraId="2D62815A" w14:textId="77777777" w:rsidR="00566B49" w:rsidRPr="0019267D" w:rsidRDefault="00566B49" w:rsidP="00566B49">
      <w:pPr>
        <w:widowControl w:val="0"/>
        <w:autoSpaceDE w:val="0"/>
        <w:autoSpaceDN w:val="0"/>
        <w:adjustRightInd w:val="0"/>
        <w:jc w:val="both"/>
        <w:rPr>
          <w:rFonts w:ascii="Arial" w:hAnsi="Arial"/>
          <w:sz w:val="20"/>
        </w:rPr>
      </w:pPr>
    </w:p>
    <w:p w14:paraId="37091CD5" w14:textId="77777777" w:rsidR="00566B49" w:rsidRPr="0019267D" w:rsidRDefault="00566B49" w:rsidP="00566B49">
      <w:pPr>
        <w:widowControl w:val="0"/>
        <w:autoSpaceDE w:val="0"/>
        <w:autoSpaceDN w:val="0"/>
        <w:adjustRightInd w:val="0"/>
        <w:jc w:val="both"/>
        <w:rPr>
          <w:rFonts w:ascii="Arial" w:hAnsi="Arial"/>
          <w:sz w:val="20"/>
        </w:rPr>
      </w:pPr>
    </w:p>
    <w:p w14:paraId="639E684B" w14:textId="77777777" w:rsidR="00DB2F17" w:rsidRPr="0019267D" w:rsidRDefault="00FC0E5D">
      <w:pPr>
        <w:widowControl w:val="0"/>
        <w:autoSpaceDE w:val="0"/>
        <w:autoSpaceDN w:val="0"/>
        <w:adjustRightInd w:val="0"/>
        <w:rPr>
          <w:rFonts w:ascii="Arial" w:hAnsi="Arial"/>
          <w:b/>
          <w:i/>
          <w:sz w:val="64"/>
        </w:rPr>
      </w:pPr>
      <w:r w:rsidRPr="0019267D">
        <w:rPr>
          <w:rFonts w:ascii="Arial" w:hAnsi="Arial"/>
          <w:b/>
          <w:sz w:val="64"/>
        </w:rPr>
        <w:t xml:space="preserve">Supplemental Case Printout for:  </w:t>
      </w:r>
      <w:r w:rsidRPr="0019267D">
        <w:rPr>
          <w:rFonts w:ascii="Arial" w:hAnsi="Arial"/>
          <w:b/>
          <w:i/>
          <w:sz w:val="64"/>
        </w:rPr>
        <w:t>Beyond Our Borders</w:t>
      </w:r>
    </w:p>
    <w:p w14:paraId="4F13FD95" w14:textId="77777777" w:rsidR="00DB2F17" w:rsidRPr="0019267D" w:rsidRDefault="00DB2F17">
      <w:pPr>
        <w:widowControl w:val="0"/>
        <w:autoSpaceDE w:val="0"/>
        <w:autoSpaceDN w:val="0"/>
        <w:adjustRightInd w:val="0"/>
        <w:jc w:val="both"/>
        <w:rPr>
          <w:rFonts w:ascii="Arial" w:hAnsi="Arial"/>
        </w:rPr>
      </w:pPr>
    </w:p>
    <w:p w14:paraId="4CF40C07" w14:textId="77777777" w:rsidR="00DB2F17" w:rsidRPr="0019267D" w:rsidRDefault="00FC0E5D">
      <w:pPr>
        <w:widowControl w:val="0"/>
        <w:autoSpaceDE w:val="0"/>
        <w:autoSpaceDN w:val="0"/>
        <w:adjustRightInd w:val="0"/>
        <w:jc w:val="both"/>
        <w:rPr>
          <w:rFonts w:ascii="Arial" w:hAnsi="Arial"/>
        </w:rPr>
      </w:pPr>
      <w:r w:rsidRPr="0019267D">
        <w:rPr>
          <w:rFonts w:ascii="Arial" w:hAnsi="Arial"/>
        </w:rPr>
        <w:t>539 U.S. 558, 123 S.Ct. 2472, 156 L.Ed.2d 508, 71 USLW 4574, 03 Cal. Daily Op. Serv. 5559, 2003 Daily Journal D.A.R. 7036, 16 Fla. L. Weekly Fed. S 427</w:t>
      </w:r>
    </w:p>
    <w:p w14:paraId="497E4CA6"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John Geddes LAWRENCE and Tyron Garner, Petitioners,</w:t>
      </w:r>
    </w:p>
    <w:p w14:paraId="0D4F498F"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v.</w:t>
      </w:r>
    </w:p>
    <w:p w14:paraId="35C5B0D7" w14:textId="77777777" w:rsidR="00DB2F17" w:rsidRPr="0019267D" w:rsidRDefault="00FC0E5D">
      <w:pPr>
        <w:widowControl w:val="0"/>
        <w:autoSpaceDE w:val="0"/>
        <w:autoSpaceDN w:val="0"/>
        <w:adjustRightInd w:val="0"/>
        <w:jc w:val="both"/>
        <w:rPr>
          <w:rFonts w:ascii="Arial" w:hAnsi="Arial"/>
          <w:b/>
        </w:rPr>
      </w:pPr>
      <w:r w:rsidRPr="0019267D">
        <w:rPr>
          <w:rFonts w:ascii="Arial" w:hAnsi="Arial"/>
          <w:b/>
        </w:rPr>
        <w:t>TEXAS.</w:t>
      </w:r>
    </w:p>
    <w:p w14:paraId="7C1E034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No. 02-102.</w:t>
      </w:r>
    </w:p>
    <w:p w14:paraId="26713043" w14:textId="77777777" w:rsidR="00DB2F17" w:rsidRPr="0019267D" w:rsidRDefault="00FC0E5D">
      <w:pPr>
        <w:pStyle w:val="BodyText2"/>
        <w:jc w:val="both"/>
        <w:rPr>
          <w:rFonts w:ascii="Arial" w:hAnsi="Arial"/>
        </w:rPr>
      </w:pPr>
      <w:r w:rsidRPr="0019267D">
        <w:rPr>
          <w:rFonts w:ascii="Arial" w:hAnsi="Arial"/>
        </w:rPr>
        <w:t>Argued March 26, 2003.</w:t>
      </w:r>
    </w:p>
    <w:p w14:paraId="5F552FE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Decided June 26, 2003.</w:t>
      </w:r>
    </w:p>
    <w:p w14:paraId="621BF8F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*562</w:t>
      </w:r>
      <w:r w:rsidRPr="0019267D">
        <w:rPr>
          <w:rFonts w:ascii="Arial" w:hAnsi="Arial"/>
          <w:sz w:val="18"/>
        </w:rPr>
        <w:t xml:space="preserve"> Justice  delivered the opinion of the Court.</w:t>
      </w:r>
    </w:p>
    <w:p w14:paraId="662B67E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Liberty protects the person from unwarranted government intrusions into a dwelling or other private places.   In our tradition the State is not omnipresent in the home.   And there are other spheres of our lives and existence, outside the home, where the State should not be a dominant presence.   Freedom extends beyond spatial bounds.   Liberty presumes an autonomy of self that includes freedom of thought, belief, expression, and certain intimate conduct.   The instant case involves liberty of the person both in its spatial and in its more transcendent dimensions.</w:t>
      </w:r>
    </w:p>
    <w:p w14:paraId="2A3E2E5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w:t>
      </w:r>
    </w:p>
    <w:p w14:paraId="2E855BA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question before the Court is the validity of a Texas statute making it a crime for two persons of the same sex to engage in certain intimate sexual conduct.</w:t>
      </w:r>
    </w:p>
    <w:p w14:paraId="4D1A2CD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In Houston, Texas, officers of the Harris County Police Department were dispatched to a private residence in response to a reported weapons disturbance.   They entered an apartment where one of the petitioners, John Geddes Lawrence,  </w:t>
      </w:r>
      <w:r w:rsidRPr="0019267D">
        <w:rPr>
          <w:rFonts w:ascii="Arial" w:hAnsi="Arial"/>
          <w:b/>
          <w:sz w:val="18"/>
        </w:rPr>
        <w:t>*563</w:t>
      </w:r>
      <w:r w:rsidRPr="0019267D">
        <w:rPr>
          <w:rFonts w:ascii="Arial" w:hAnsi="Arial"/>
          <w:sz w:val="18"/>
        </w:rPr>
        <w:t xml:space="preserve"> resided.   The right of the police to enter does not seem to have been questioned.   The officers observed Lawrence and another</w:t>
      </w:r>
      <w:r w:rsidRPr="0019267D">
        <w:rPr>
          <w:rFonts w:ascii="Arial" w:hAnsi="Arial"/>
          <w:b/>
          <w:sz w:val="18"/>
        </w:rPr>
        <w:t>**2476</w:t>
      </w:r>
      <w:r w:rsidRPr="0019267D">
        <w:rPr>
          <w:rFonts w:ascii="Arial" w:hAnsi="Arial"/>
          <w:sz w:val="18"/>
        </w:rPr>
        <w:t xml:space="preserve">  man, Tyron Garner, engaging in a sexual act.   The two petitioners were arrested, held in custody overnight, and charged and convicted before a Justice of the Peace.</w:t>
      </w:r>
    </w:p>
    <w:p w14:paraId="003855F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complaints described their crime as “deviate sexual intercourse, namely anal sex, with a member of the same sex (man).”   App. to Pet. for Cert. 127a, 139a.   The applicable state law is .   It provides:  “A person commits an offense if he engages in deviate sexual intercourse with another individual of the same sex.”   The statute defines “[d]eviate sexual intercourse” as follows:</w:t>
      </w:r>
    </w:p>
    <w:p w14:paraId="0C47586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 any contact between any part of the genitals of one person and the mouth or anus of another person;  or</w:t>
      </w:r>
    </w:p>
    <w:p w14:paraId="28170F3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“(B) the penetration of the genitals or the anus of another person with an object.” §  21.01(1).</w:t>
      </w:r>
    </w:p>
    <w:p w14:paraId="17AF376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petitioners exercised their right to a trial </w:t>
      </w:r>
      <w:r w:rsidRPr="0019267D">
        <w:rPr>
          <w:rFonts w:ascii="Arial" w:hAnsi="Arial"/>
          <w:i/>
          <w:sz w:val="18"/>
        </w:rPr>
        <w:t>de novo</w:t>
      </w:r>
      <w:r w:rsidRPr="0019267D">
        <w:rPr>
          <w:rFonts w:ascii="Arial" w:hAnsi="Arial"/>
          <w:sz w:val="18"/>
        </w:rPr>
        <w:t xml:space="preserve"> in Harris County Criminal Court.   They challenged the statute as a violation of the Equal Protection Clause of the Fourteenth Amendment and of a like provision of the Texas Constitution.  .   Those contentions were rejected.   The petitioners, having entered a plea of </w:t>
      </w:r>
      <w:r w:rsidRPr="0019267D">
        <w:rPr>
          <w:rFonts w:ascii="Arial" w:hAnsi="Arial"/>
          <w:i/>
          <w:sz w:val="18"/>
        </w:rPr>
        <w:t>nolo contendere,</w:t>
      </w:r>
      <w:r w:rsidRPr="0019267D">
        <w:rPr>
          <w:rFonts w:ascii="Arial" w:hAnsi="Arial"/>
          <w:sz w:val="18"/>
        </w:rPr>
        <w:t xml:space="preserve"> were each fined $200 and assessed court costs of $141.25.   App. to Pet. for Cert. 107a-110a.</w:t>
      </w:r>
    </w:p>
    <w:p w14:paraId="37EDBFE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Court of Appeals for the Texas Fourteenth District considered the petitioners' federal constitutional arguments under both the Equal Protection and Due Process Clauses of the Fourteenth Amendment.   After hearing the case en banc the court, in a divided opinion, rejected the constitutional arguments and affirmed the convictions.  .   The majority opinion indicates that the Court of Appeals considered our decision in , to be controlling on the federal due process aspect of the case.   then being authoritative, this was proper.</w:t>
      </w:r>
    </w:p>
    <w:p w14:paraId="36E8C43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*564</w:t>
      </w:r>
      <w:r w:rsidRPr="0019267D">
        <w:rPr>
          <w:rFonts w:ascii="Arial" w:hAnsi="Arial"/>
          <w:sz w:val="18"/>
        </w:rPr>
        <w:t xml:space="preserve"> We granted certiorari, , to consider three questions:</w:t>
      </w:r>
    </w:p>
    <w:p w14:paraId="1ABB934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1.  Whether petitioners' criminal convictions under the Texas ‘Homosexual Conduct’ law-which criminalizes sexual intimacy by </w:t>
      </w:r>
      <w:r w:rsidRPr="0019267D">
        <w:rPr>
          <w:rFonts w:ascii="Arial" w:hAnsi="Arial"/>
          <w:sz w:val="18"/>
        </w:rPr>
        <w:lastRenderedPageBreak/>
        <w:t>same-sex couples, but not identical behavior by different-sex couples-violate the Fourteenth Amendment guarantee of equal protection of the laws.</w:t>
      </w:r>
    </w:p>
    <w:p w14:paraId="290DA77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2. Whether petitioners' criminal convictions for adult consensual sexual intimacy in the home violate their vital interests in liberty and privacy protected by the Due Process Clause of the Fourteenth Amendment.</w:t>
      </w:r>
    </w:p>
    <w:p w14:paraId="0BDF560F"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3. Whether  should be overruled.   See Pet. for Cert. i.</w:t>
      </w:r>
    </w:p>
    <w:p w14:paraId="11F5234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petitioners were adults at the time of the alleged offense.   Their conduct was in private and consensual.</w:t>
      </w:r>
    </w:p>
    <w:p w14:paraId="04579D5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II</w:t>
      </w:r>
    </w:p>
    <w:p w14:paraId="303AA7D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We conclude the case should be resolved by determining whether the petitioners were free as adults to engage in the private conduct in the exercise of their liberty under the Due Process Clause of the Fourteenth Amendment to the Constitution.   For this inquiry we deem it necessary to reconsider the Court's holding in </w:t>
      </w:r>
    </w:p>
    <w:p w14:paraId="55465353"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There are broad statements of the substantive reach of liberty under the Due Process Clause in earlier cases, including , and ;  but the most pertinent beginning point is our decision in .</w:t>
      </w:r>
    </w:p>
    <w:p w14:paraId="05F77E0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In  the Court invalidated a state law prohibiting the use of drugs or devices of contraception and counseling or </w:t>
      </w:r>
      <w:r w:rsidRPr="0019267D">
        <w:rPr>
          <w:rFonts w:ascii="Arial" w:hAnsi="Arial"/>
          <w:b/>
          <w:sz w:val="18"/>
        </w:rPr>
        <w:t>**2477</w:t>
      </w:r>
      <w:r w:rsidRPr="0019267D">
        <w:rPr>
          <w:rFonts w:ascii="Arial" w:hAnsi="Arial"/>
          <w:sz w:val="18"/>
        </w:rPr>
        <w:t xml:space="preserve"> aiding and abetting the use of contraceptives.   The Court described the protected interest as a right to privacy and  </w:t>
      </w:r>
      <w:r w:rsidRPr="0019267D">
        <w:rPr>
          <w:rFonts w:ascii="Arial" w:hAnsi="Arial"/>
          <w:b/>
          <w:sz w:val="18"/>
        </w:rPr>
        <w:t>*565</w:t>
      </w:r>
      <w:r w:rsidRPr="0019267D">
        <w:rPr>
          <w:rFonts w:ascii="Arial" w:hAnsi="Arial"/>
          <w:sz w:val="18"/>
        </w:rPr>
        <w:t xml:space="preserve"> placed emphasis on the marriage relation and the protected space of the marital bedroom.  </w:t>
      </w:r>
    </w:p>
    <w:p w14:paraId="02AABB72"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After  it was established that the right to make certain decisions regarding sexual conduct extends beyond the marital relationship.   In , the Court invalidated a law prohibiting the distribution of contraceptives to unmarried persons.   The case was decided under the Equal Protection Clause,   but with respect to unmarried persons, the Court went on to state the fundamental proposition that the law impaired the exercise of their personal rights,    It quoted from the statement of the Court of Appeals finding the law to be in conflict with fundamental human rights, and it followed with this statement of its own:</w:t>
      </w:r>
    </w:p>
    <w:p w14:paraId="6AE5C347"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“It is true that in  the right of privacy in question inhered in the marital relationship .... If the right of privacy means anything, it is the right of the </w:t>
      </w:r>
      <w:r w:rsidRPr="0019267D">
        <w:rPr>
          <w:rFonts w:ascii="Arial" w:hAnsi="Arial"/>
          <w:i/>
          <w:sz w:val="18"/>
        </w:rPr>
        <w:t>individual,</w:t>
      </w:r>
      <w:r w:rsidRPr="0019267D">
        <w:rPr>
          <w:rFonts w:ascii="Arial" w:hAnsi="Arial"/>
          <w:sz w:val="18"/>
        </w:rPr>
        <w:t xml:space="preserve"> married or single, to be free from unwarranted governmental intrusion into matters so fundamentally affecting a person as the decision whether to bear or beget a child.”  </w:t>
      </w:r>
    </w:p>
    <w:p w14:paraId="0B8163D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opinions in and  were part of the background for the decision in .   As is well known, the case involved a challenge to the Texas law prohibiting abortions, but the laws of other States were affected as well.   Although the Court held the woman's rights were not absolute, her right to elect an abortion did have real and substantial protection as an exercise of her liberty under the Due Process Clause.   The Court cited cases that protect spatial freedom and cases that go well beyond it.  recognized the right of a woman to make certain fundamental decisions affecting her destiny and confirmed once more that the protection of liberty under the Due Process Clause has a substantive dimension of fundamental significance in defining the rights of the person.</w:t>
      </w:r>
    </w:p>
    <w:p w14:paraId="7DE0395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*566</w:t>
      </w:r>
      <w:r w:rsidRPr="0019267D">
        <w:rPr>
          <w:rFonts w:ascii="Arial" w:hAnsi="Arial"/>
          <w:sz w:val="18"/>
        </w:rPr>
        <w:t xml:space="preserve"> In , the Court confronted a New York law forbidding sale or distribution of contraceptive devices to persons under 16 years of age.   Although there was no single opinion for the Court, the law was invalidated.   Both  and  as well as the holding and rationale in  confirmed that the reasoning of  could not be confined to the protection of rights of married adults.   This was the state of the law with respect to some of the most relevant cases when the Court considered </w:t>
      </w:r>
    </w:p>
    <w:p w14:paraId="1E04EA0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facts in  had some similarities to the instant case.   A police officer, whose right to enter seems not to have been in question, observed Hardwick, in his own bedroom, engaging in intimate sexual conduct with another adult male.   The conduct was in violation of a Georgia statute making it a criminal offense to engage in sodomy.   One difference between the two cases is that the Georgia statute prohibited the conduct whether or not the participants were of the same sex, while the Texas statute, as we have seen, applies only to participants of the same sex.   Hardwick was not prosecuted, but he brought an action in federal court to declare the state statute invalid.   He alleged he was a practicing homosexual and that the criminal prohibition violated rights guaranteed to him by the Constitution.   The Court, in an opinion by Justice White, sustained the Georgia law.   Chief Justice Burger and Justice Powell joined the opinion of the Court and filed separate, concurring opinions.   Four Justices dissented.   (opinion of Blackmun, J., joined by Brennan, Marshall, and STEVENS, JJ.);  </w:t>
      </w:r>
      <w:r w:rsidRPr="0019267D">
        <w:rPr>
          <w:rFonts w:ascii="Arial" w:hAnsi="Arial"/>
          <w:b/>
          <w:sz w:val="18"/>
        </w:rPr>
        <w:t>**2478</w:t>
      </w:r>
      <w:r w:rsidRPr="0019267D">
        <w:rPr>
          <w:rFonts w:ascii="Arial" w:hAnsi="Arial"/>
          <w:sz w:val="18"/>
        </w:rPr>
        <w:t xml:space="preserve"> (opinion of STEVENS, J., joined by Brennan and Marshall, JJ.).</w:t>
      </w:r>
    </w:p>
    <w:p w14:paraId="3D93724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Court began its substantive discussion in  as follows:  “The issue presented is whether the Federal Constitution confers a fundamental right upon homosexuals to engage in sodomy and hence invalidates the laws of the many States that still make such conduct illegal and have done so  </w:t>
      </w:r>
      <w:r w:rsidRPr="0019267D">
        <w:rPr>
          <w:rFonts w:ascii="Arial" w:hAnsi="Arial"/>
          <w:b/>
          <w:sz w:val="18"/>
        </w:rPr>
        <w:t>*567</w:t>
      </w:r>
      <w:r w:rsidRPr="0019267D">
        <w:rPr>
          <w:rFonts w:ascii="Arial" w:hAnsi="Arial"/>
          <w:sz w:val="18"/>
        </w:rPr>
        <w:t xml:space="preserve"> for a very long time.”     That statement, we now conclude, discloses the Court's own failure to appreciate the extent of the liberty at stake.   To say that the issue in  was simply the right to engage in certain sexual conduct demeans the claim the individual put forward, just as it would demean a married couple were it to be said marriage is simply about the right to have sexual intercourse.   The laws involved in  and here are, to be sure, statutes that purport to do no more than prohibit a particular sexual act.   Their penalties and purposes, though, have more far-reaching consequences, touching upon the most private human conduct, sexual behavior, and in the most private of places, the home.   The statutes do seek to control a personal relationship that, whether or not entitled to formal recognition in the law, is within the liberty of persons to choose without being punished as criminals.</w:t>
      </w:r>
    </w:p>
    <w:p w14:paraId="5C92DB5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This, as a general rule, should counsel against attempts by the State, or a court, to define the meaning of the relationship or to set its boundaries absent injury to a person or abuse of an institution the law protects.   It suffices for us to acknowledge that adults </w:t>
      </w:r>
      <w:r w:rsidRPr="0019267D">
        <w:rPr>
          <w:rFonts w:ascii="Arial" w:hAnsi="Arial"/>
          <w:sz w:val="18"/>
        </w:rPr>
        <w:lastRenderedPageBreak/>
        <w:t>may choose to enter upon this relationship in the confines of their homes and their own private lives and still retain their dignity as free persons.   When sexuality finds overt expression in intimate conduct with another person, the conduct can be but one element in a personal bond that is more enduring.   The liberty protected by the Constitution allows homosexual persons the right to make this choice.</w:t>
      </w:r>
    </w:p>
    <w:p w14:paraId="08F472A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Having misapprehended the claim of liberty there presented to it, and thus stating the claim to be whether there is a fundamental right to engage in consensual sodomy, the  Court said:  “Proscriptions against that conduct have ancient roots.”     In academic writings, and in many of the scholarly </w:t>
      </w:r>
      <w:r w:rsidRPr="0019267D">
        <w:rPr>
          <w:rFonts w:ascii="Arial" w:hAnsi="Arial"/>
          <w:i/>
          <w:sz w:val="18"/>
        </w:rPr>
        <w:t>amicus</w:t>
      </w:r>
      <w:r w:rsidRPr="0019267D">
        <w:rPr>
          <w:rFonts w:ascii="Arial" w:hAnsi="Arial"/>
          <w:sz w:val="18"/>
        </w:rPr>
        <w:t xml:space="preserve"> briefs filed to assist the Court in this case, there are fundamental criticisms of the historical premises relied upon by the majority and concurring opinions</w:t>
      </w:r>
      <w:r w:rsidRPr="0019267D">
        <w:rPr>
          <w:rFonts w:ascii="Arial" w:hAnsi="Arial"/>
          <w:b/>
          <w:sz w:val="18"/>
        </w:rPr>
        <w:t>*568</w:t>
      </w:r>
      <w:r w:rsidRPr="0019267D">
        <w:rPr>
          <w:rFonts w:ascii="Arial" w:hAnsi="Arial"/>
          <w:sz w:val="18"/>
        </w:rPr>
        <w:t xml:space="preserve">  in    Brief for Cato Institute as </w:t>
      </w:r>
      <w:r w:rsidRPr="0019267D">
        <w:rPr>
          <w:rFonts w:ascii="Arial" w:hAnsi="Arial"/>
          <w:i/>
          <w:sz w:val="18"/>
        </w:rPr>
        <w:t>Amicus Curiae</w:t>
      </w:r>
      <w:r w:rsidRPr="0019267D">
        <w:rPr>
          <w:rFonts w:ascii="Arial" w:hAnsi="Arial"/>
          <w:sz w:val="18"/>
        </w:rPr>
        <w:t xml:space="preserve"> 16-17;  Brief for American Civil Liberties Union et al. as </w:t>
      </w:r>
      <w:r w:rsidRPr="0019267D">
        <w:rPr>
          <w:rFonts w:ascii="Arial" w:hAnsi="Arial"/>
          <w:i/>
          <w:sz w:val="18"/>
        </w:rPr>
        <w:t>Amici Curiae</w:t>
      </w:r>
      <w:r w:rsidRPr="0019267D">
        <w:rPr>
          <w:rFonts w:ascii="Arial" w:hAnsi="Arial"/>
          <w:sz w:val="18"/>
        </w:rPr>
        <w:t xml:space="preserve"> 15-21;  Brief for Professors of History et al. as </w:t>
      </w:r>
      <w:r w:rsidRPr="0019267D">
        <w:rPr>
          <w:rFonts w:ascii="Arial" w:hAnsi="Arial"/>
          <w:i/>
          <w:sz w:val="18"/>
        </w:rPr>
        <w:t>Amici Curiae</w:t>
      </w:r>
      <w:r w:rsidRPr="0019267D">
        <w:rPr>
          <w:rFonts w:ascii="Arial" w:hAnsi="Arial"/>
          <w:sz w:val="18"/>
        </w:rPr>
        <w:t xml:space="preserve"> 3-10.   We need not enter this debate in the attempt to reach a definitive historical judgment, but the following considerations counsel against adopting the definitive conclusions upon which  placed such reliance.</w:t>
      </w:r>
    </w:p>
    <w:p w14:paraId="24DECA9B"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At the outset it should be noted that there is no longstanding history in this country of laws directed at homosexual conduct as a distinct matter.   Beginning in colonial times there were prohibitions of sodomy derived from the English criminal laws passed in the first instance by the Reformation Parliament of 1533.   The English prohibition was understood to include relations between men and women as well as relations between men and men.   See, </w:t>
      </w:r>
      <w:r w:rsidRPr="0019267D">
        <w:rPr>
          <w:rFonts w:ascii="Arial" w:hAnsi="Arial"/>
          <w:i/>
          <w:sz w:val="18"/>
        </w:rPr>
        <w:t>e.g., King v. Wiseman,</w:t>
      </w:r>
      <w:r w:rsidRPr="0019267D">
        <w:rPr>
          <w:rFonts w:ascii="Arial" w:hAnsi="Arial"/>
          <w:sz w:val="18"/>
        </w:rPr>
        <w:t xml:space="preserve"> 92 Eng. Rep. 774, 775 (K.B.1718) (interpreting “mankind” in Act of 1533 as including women and girls).   Nineteenth-century commentators similarly read American sodomy, buggery, and crime-against-nature statutes as criminalizing certain relations between men and women and between men and men.   See, </w:t>
      </w:r>
      <w:r w:rsidRPr="0019267D">
        <w:rPr>
          <w:rFonts w:ascii="Arial" w:hAnsi="Arial"/>
          <w:i/>
          <w:sz w:val="18"/>
        </w:rPr>
        <w:t>e.g.,</w:t>
      </w:r>
      <w:r w:rsidRPr="0019267D">
        <w:rPr>
          <w:rFonts w:ascii="Arial" w:hAnsi="Arial"/>
          <w:sz w:val="18"/>
        </w:rPr>
        <w:t xml:space="preserve"> 2 J. Bishop, Criminal Law §  1028 (1858);  2 J. Chitty, Criminal Law 47-50 (5th Am. ed. 1847);  R. Desty, A Compendium of American Criminal Law 143 (1882);  J. May, The Law of Crimes §  203 (2d ed. 1893).   The absence of legal prohibitions focusing on homosexual conduct may be explained in part by noting that according to some scholars the concept of the homosexual as a distinct category of </w:t>
      </w:r>
      <w:r w:rsidRPr="0019267D">
        <w:rPr>
          <w:rFonts w:ascii="Arial" w:hAnsi="Arial"/>
          <w:b/>
          <w:sz w:val="18"/>
        </w:rPr>
        <w:t>**2479</w:t>
      </w:r>
      <w:r w:rsidRPr="0019267D">
        <w:rPr>
          <w:rFonts w:ascii="Arial" w:hAnsi="Arial"/>
          <w:sz w:val="18"/>
        </w:rPr>
        <w:t xml:space="preserve"> person did not emerge until the late 19th century.   See, e.g., J. Katz, The Invention of Heterosexuality 10 (1995);  J. D'Emilio &amp; E. Freedman, Intimate Matters:  A History of Sexuality in America 121 (2d ed.   1997) (“The modern terms </w:t>
      </w:r>
      <w:r w:rsidRPr="0019267D">
        <w:rPr>
          <w:rFonts w:ascii="Arial" w:hAnsi="Arial"/>
          <w:i/>
          <w:sz w:val="18"/>
        </w:rPr>
        <w:t>homosexuality</w:t>
      </w:r>
      <w:r w:rsidRPr="0019267D">
        <w:rPr>
          <w:rFonts w:ascii="Arial" w:hAnsi="Arial"/>
          <w:sz w:val="18"/>
        </w:rPr>
        <w:t xml:space="preserve"> and </w:t>
      </w:r>
      <w:r w:rsidRPr="0019267D">
        <w:rPr>
          <w:rFonts w:ascii="Arial" w:hAnsi="Arial"/>
          <w:i/>
          <w:sz w:val="18"/>
        </w:rPr>
        <w:t>heterosexuality</w:t>
      </w:r>
      <w:r w:rsidRPr="0019267D">
        <w:rPr>
          <w:rFonts w:ascii="Arial" w:hAnsi="Arial"/>
          <w:sz w:val="18"/>
        </w:rPr>
        <w:t xml:space="preserve"> do not apply to an era that had not yet articulated these distinctions”).   Thus early American sodomy laws were not directed at homosexuals as such but instead sought to prohibit nonprocreative sexual activity more generally.   This does not suggest approval of  </w:t>
      </w:r>
      <w:r w:rsidRPr="0019267D">
        <w:rPr>
          <w:rFonts w:ascii="Arial" w:hAnsi="Arial"/>
          <w:b/>
          <w:sz w:val="18"/>
        </w:rPr>
        <w:t>*569</w:t>
      </w:r>
      <w:r w:rsidRPr="0019267D">
        <w:rPr>
          <w:rFonts w:ascii="Arial" w:hAnsi="Arial"/>
          <w:sz w:val="18"/>
        </w:rPr>
        <w:t xml:space="preserve"> homosexual conduct.   It does tend to show that this particular form of conduct was not thought of as a separate category from like conduct between heterosexual persons.</w:t>
      </w:r>
    </w:p>
    <w:p w14:paraId="120F6BA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Laws prohibiting sodomy do not seem to have been enforced against consenting adults acting in private.   A substantial number of sodomy prosecutions and convictions for which there are surviving records were for predatory acts against those who could not or did not consent, as in the case of a minor or the victim of an assault.   As to these, one purpose for the prohibitions was to ensure there would be no lack of coverage if a predator committed a sexual assault that did not constitute rape as defined by the criminal law.   Thus the model sodomy indictments presented in a 19th-century treatise, see 2 Chitty, </w:t>
      </w:r>
      <w:r w:rsidRPr="0019267D">
        <w:rPr>
          <w:rFonts w:ascii="Arial" w:hAnsi="Arial"/>
          <w:i/>
          <w:sz w:val="18"/>
        </w:rPr>
        <w:t xml:space="preserve">supra, </w:t>
      </w:r>
      <w:r w:rsidRPr="0019267D">
        <w:rPr>
          <w:rFonts w:ascii="Arial" w:hAnsi="Arial"/>
          <w:sz w:val="18"/>
        </w:rPr>
        <w:t>at 49, addressed the predatory acts of an adult man against a minor girl or minor boy.   Instead of targeting relations between consenting adults in private, 19th-century sodomy prosecutions typically involved relations between men and minor girls or minor boys, relations between adults involving force, relations between adults implicating disparity in status, or relations between men and animals.</w:t>
      </w:r>
    </w:p>
    <w:p w14:paraId="74A1F39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To the extent that there were any prosecutions for the acts in question, 19th-century evidence rules imposed a burden that would make a conviction more difficult to obtain even taking into account the problems always inherent in prosecuting consensual acts committed in private.   Under then-prevailing standards, a man could not be convicted of sodomy based upon testimony of a consenting partner, because the partner was considered an accomplice.   A partner's testimony, however, was admissible if he or she had not consented to the act or was a minor, and therefore incapable of consent.   See, </w:t>
      </w:r>
      <w:r w:rsidRPr="0019267D">
        <w:rPr>
          <w:rFonts w:ascii="Arial" w:hAnsi="Arial"/>
          <w:i/>
          <w:sz w:val="18"/>
        </w:rPr>
        <w:t>e.g.,</w:t>
      </w:r>
      <w:r w:rsidRPr="0019267D">
        <w:rPr>
          <w:rFonts w:ascii="Arial" w:hAnsi="Arial"/>
          <w:sz w:val="18"/>
        </w:rPr>
        <w:t xml:space="preserve"> F. Wharton, Criminal Law 443 (2d ed. 1852);  1 F. Wharton, Criminal Law 512 (8th ed. 1880).   The rule may explain in part the infrequency of these prosecutions.   In all events that infrequency makes it difficult to say that society approved of a rigorous and systematic  </w:t>
      </w:r>
      <w:r w:rsidRPr="0019267D">
        <w:rPr>
          <w:rFonts w:ascii="Arial" w:hAnsi="Arial"/>
          <w:b/>
          <w:sz w:val="18"/>
        </w:rPr>
        <w:t>*570</w:t>
      </w:r>
      <w:r w:rsidRPr="0019267D">
        <w:rPr>
          <w:rFonts w:ascii="Arial" w:hAnsi="Arial"/>
          <w:sz w:val="18"/>
        </w:rPr>
        <w:t xml:space="preserve"> punishment of the consensual acts committed in private and by adults.   The longstanding criminal prohibition of homosexual sodomy upon which the decision placed such reliance is as consistent with a general condemnation of nonprocreative sex as it is with an established tradition of prosecuting acts because of their homosexual character.</w:t>
      </w:r>
    </w:p>
    <w:p w14:paraId="040A760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policy of punishing consenting adults for private acts was not much discussed in the early legal literature.   We can infer that one reason for this was the very private nature of the conduct.   Despite the absence of prosecutions, there may have been periods in which there was public criticism of homosexuals as such and an insistence that the criminal laws be enforced to discourage their practices.   But far from possessing “ancient roots,”  American laws targeting same-sex couples did not develop until the last third of the 20th century.   The reported decisions concerning the prosecution of consensual, homosexual sodomy between adults for the years 1880-1995 are not always clear in the details, but a significant number involved conduct in a public place.   See Brief for American Civil Liberties Union et al. as </w:t>
      </w:r>
      <w:r w:rsidRPr="0019267D">
        <w:rPr>
          <w:rFonts w:ascii="Arial" w:hAnsi="Arial"/>
          <w:i/>
          <w:sz w:val="18"/>
        </w:rPr>
        <w:t>Amici Curiae</w:t>
      </w:r>
      <w:r w:rsidRPr="0019267D">
        <w:rPr>
          <w:rFonts w:ascii="Arial" w:hAnsi="Arial"/>
          <w:sz w:val="18"/>
        </w:rPr>
        <w:t xml:space="preserve"> 14-15, and n. 18.</w:t>
      </w:r>
    </w:p>
    <w:p w14:paraId="205E5E0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It was not until the 1970's that any State singled out same-sex relations for criminal prosecution, and only nine States have done so.   See 1977 Ark. Gen. Acts no. 828;  1983 Kan. Sess. Laws p. 652;  1974 Ky. </w:t>
      </w:r>
      <w:r w:rsidRPr="0019267D">
        <w:rPr>
          <w:rFonts w:ascii="Arial" w:hAnsi="Arial"/>
          <w:b/>
          <w:sz w:val="18"/>
        </w:rPr>
        <w:t>**2480</w:t>
      </w:r>
      <w:r w:rsidRPr="0019267D">
        <w:rPr>
          <w:rFonts w:ascii="Arial" w:hAnsi="Arial"/>
          <w:sz w:val="18"/>
        </w:rPr>
        <w:t xml:space="preserve"> Acts p. 847;  1977 Mo. Laws p. 687;  1973 Mont. Laws p. 1339;  1977 Nev. Stats. p. 1632;  1989 Tenn. Pub. Acts ch. 591;  1973 Tex. Gen. Laws ch. 399;  see also  (sodomy </w:t>
      </w:r>
      <w:r w:rsidRPr="0019267D">
        <w:rPr>
          <w:rFonts w:ascii="Arial" w:hAnsi="Arial"/>
          <w:sz w:val="18"/>
        </w:rPr>
        <w:lastRenderedPageBreak/>
        <w:t xml:space="preserve">law invalidated as applied to different-sex couples).   Post-even some of these States did not adhere to the policy of suppressing homosexual conduct.   Over the course of the last decades, States with same-sex prohibitions have moved toward abolishing them.   See, </w:t>
      </w:r>
      <w:r w:rsidRPr="0019267D">
        <w:rPr>
          <w:rFonts w:ascii="Arial" w:hAnsi="Arial"/>
          <w:i/>
          <w:sz w:val="18"/>
        </w:rPr>
        <w:t xml:space="preserve">e.g., </w:t>
      </w:r>
      <w:r w:rsidRPr="0019267D">
        <w:rPr>
          <w:rFonts w:ascii="Arial" w:hAnsi="Arial"/>
          <w:sz w:val="18"/>
        </w:rPr>
        <w:t xml:space="preserve">;  ;  ;  </w:t>
      </w:r>
      <w:r w:rsidRPr="0019267D">
        <w:rPr>
          <w:rFonts w:ascii="Arial" w:hAnsi="Arial"/>
          <w:b/>
          <w:sz w:val="18"/>
        </w:rPr>
        <w:t>*571</w:t>
      </w:r>
      <w:r w:rsidRPr="0019267D">
        <w:rPr>
          <w:rFonts w:ascii="Arial" w:hAnsi="Arial"/>
          <w:sz w:val="18"/>
        </w:rPr>
        <w:t>;  see also 1993 Nev. Stats. p. 518 (repealing ).</w:t>
      </w:r>
    </w:p>
    <w:p w14:paraId="5F4A25E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summary, the historical grounds relied upon in  are more complex than the majority opinion and the concurring opinion by Chief Justice Burger indicate.   Their historical premises are not without doubt and, at the very least, are overstated.</w:t>
      </w:r>
    </w:p>
    <w:p w14:paraId="3A9E112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It must be acknowledged, of course, that the Court in  was making the broader point that for centuries there have been powerful voices to condemn homosexual conduct as immoral.   The condemnation has been shaped by religious beliefs, conceptions of right and acceptable behavior, and respect for the traditional family.   For many persons these are not trivial concerns but profound and deep convictions accepted as ethical and moral principles to which they aspire and which thus determine the course of their lives.   These considerations do not answer the question before us, however.   The issue is whether the majority may use the power of the State to enforce these views on the whole society through operation of the criminal law.  “Our obligation is to define the liberty of all, not to mandate our own moral code.”  .</w:t>
      </w:r>
    </w:p>
    <w:p w14:paraId="5D05AC8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Chief Justice Burger joined the opinion for the Court in  and further explained his views as follows:  “Decisions of individuals relating to homosexual conduct have been subject to state intervention throughout the history of Western civilization.   Condemnation of those practices is firmly rooted in Judeao-Christian moral and ethical standards.”     As with Justice White's assumptions about history, scholarship casts some doubt on the sweeping nature of the statement by Chief Justice Burger as it pertains to private homosexual conduct between consenting adults.   See, </w:t>
      </w:r>
      <w:r w:rsidRPr="0019267D">
        <w:rPr>
          <w:rFonts w:ascii="Arial" w:hAnsi="Arial"/>
          <w:i/>
          <w:sz w:val="18"/>
        </w:rPr>
        <w:t>e.g.,</w:t>
      </w:r>
      <w:r w:rsidRPr="0019267D">
        <w:rPr>
          <w:rFonts w:ascii="Arial" w:hAnsi="Arial"/>
          <w:sz w:val="18"/>
        </w:rPr>
        <w:t xml:space="preserve"> Eskridge, .   In all events we think that our laws and traditions in the past half century are of  </w:t>
      </w:r>
      <w:r w:rsidRPr="0019267D">
        <w:rPr>
          <w:rFonts w:ascii="Arial" w:hAnsi="Arial"/>
          <w:b/>
          <w:sz w:val="18"/>
        </w:rPr>
        <w:t>*572</w:t>
      </w:r>
      <w:r w:rsidRPr="0019267D">
        <w:rPr>
          <w:rFonts w:ascii="Arial" w:hAnsi="Arial"/>
          <w:sz w:val="18"/>
        </w:rPr>
        <w:t xml:space="preserve"> most relevance here.   These references show an emerging awareness that liberty gives substantial protection to adult persons in deciding how to conduct their private lives in matters pertaining to sex.   “[H]istory and tradition are the starting point but not in all cases the ending point of the substantive due process inquiry.”   (KENNEDY, J., concurring).</w:t>
      </w:r>
    </w:p>
    <w:p w14:paraId="3DB8DEA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This emerging recognition should have been apparent when  was decided.   In 1955 the American Law Institute promulgated the Model Penal Code and made clear that it did not recommend or provide for “criminal penalties for consensual sexual relations conducted in private.”   ALI, , Comment 2, p. 372 (1980).   It justified its decision on three grounds:  (1) The prohibitions undermined respect for the law by penalizing conduct many people engaged in;  (2) the statutes regulated private conduct not harmful to others;  and (3) the laws were arbitrarily enforced and thus invited the danger of blackmail.   ALI, Model Penal Code, Commentary 277-280 (Tent. Draft No. 4, 1955).   In 1961 Illinois changed its laws to conform to the Model Penal Code. </w:t>
      </w:r>
      <w:r w:rsidRPr="0019267D">
        <w:rPr>
          <w:rFonts w:ascii="Arial" w:hAnsi="Arial"/>
          <w:b/>
          <w:sz w:val="18"/>
        </w:rPr>
        <w:t>**2481</w:t>
      </w:r>
      <w:r w:rsidRPr="0019267D">
        <w:rPr>
          <w:rFonts w:ascii="Arial" w:hAnsi="Arial"/>
          <w:sz w:val="18"/>
        </w:rPr>
        <w:t xml:space="preserve"> Other States soon followed.   Brief for Cato Institute as </w:t>
      </w:r>
      <w:r w:rsidRPr="0019267D">
        <w:rPr>
          <w:rFonts w:ascii="Arial" w:hAnsi="Arial"/>
          <w:i/>
          <w:sz w:val="18"/>
        </w:rPr>
        <w:t>Amicus Curiae</w:t>
      </w:r>
      <w:r w:rsidRPr="0019267D">
        <w:rPr>
          <w:rFonts w:ascii="Arial" w:hAnsi="Arial"/>
          <w:sz w:val="18"/>
        </w:rPr>
        <w:t xml:space="preserve"> 15-16.</w:t>
      </w:r>
    </w:p>
    <w:p w14:paraId="7842B98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the Court referred to the fact that before 1961 all 50 States had outlawed sodomy, and that at the time of the Court's decision 24 States and the District of Columbia had sodomy laws.     Justice Powell pointed out that these prohibitions often were being ignored, however.   Georgia, for instance, had not sought to enforce its law for decades.   (“The history of nonenforcement suggests the moribund character today of laws criminalizing this type of private, consensual conduct”).</w:t>
      </w:r>
    </w:p>
    <w:p w14:paraId="32D482D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sweeping references by Chief Justice Burger to the history of Western civilization and to Judeo-Christian moral and ethical standards did not take account of other authorities pointing in an opposite direction.   A committee advising the British Parliament recommended in 1957 repeal of laws  </w:t>
      </w:r>
      <w:r w:rsidRPr="0019267D">
        <w:rPr>
          <w:rFonts w:ascii="Arial" w:hAnsi="Arial"/>
          <w:b/>
          <w:sz w:val="18"/>
        </w:rPr>
        <w:t>*573</w:t>
      </w:r>
      <w:r w:rsidRPr="0019267D">
        <w:rPr>
          <w:rFonts w:ascii="Arial" w:hAnsi="Arial"/>
          <w:sz w:val="18"/>
        </w:rPr>
        <w:t xml:space="preserve"> punishing homosexual conduct.   The Wolfenden Report:  Report of the Committee on Homosexual Offenses and Prostitution (1963).   Parliament enacted the substance of those recommendations 10 years later.   Sexual Offences Act 1967, §  1.</w:t>
      </w:r>
    </w:p>
    <w:p w14:paraId="1DABD290"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Of even more importance, almost five years before  was decided the European Court of Human Rights considered a case with parallels to  and to today's case.   An adult male resident in Northern Ireland alleged he was a practicing homosexual who desired to engage in consensual homosexual conduct.   The laws of Northern Ireland forbade him that right.   He alleged that he had been questioned, his home had been searched, and he feared criminal prosecution.   The court held that the laws proscribing the conduct were invalid under the European Convention on Human Rights.   </w:t>
      </w:r>
      <w:r w:rsidRPr="0019267D">
        <w:rPr>
          <w:rFonts w:ascii="Arial" w:hAnsi="Arial"/>
          <w:i/>
          <w:sz w:val="18"/>
        </w:rPr>
        <w:t>Dudgeon v. United Kingdom,</w:t>
      </w:r>
      <w:r w:rsidRPr="0019267D">
        <w:rPr>
          <w:rFonts w:ascii="Arial" w:hAnsi="Arial"/>
          <w:sz w:val="18"/>
        </w:rPr>
        <w:t xml:space="preserve"> 45 Eur. Ct. H.R. (1981) &amp; ¶  52.   Authoritative in all countries that are members of the Council of Europe (21 nations then, 45 nations now), the decision is at odds with the premise in  that the claim put forward was insubstantial in our Western civilization.</w:t>
      </w:r>
    </w:p>
    <w:p w14:paraId="63B9A61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In our own constitutional system the deficiencies in  became even more apparent in the years following its announcement.   The 25 States with laws prohibiting the relevant conduct referenced in the  decision are reduced now to 13, of which 4 enforce their laws only against homosexual conduct.   In those States where sodomy is still proscribed, whether for same-sex or heterosexual conduct, there is a pattern of nonenforcement with respect to consenting adults acting in private.   The State of Texas admitted in 1994 that as of that date it had not prosecuted anyone under those circumstances.   .</w:t>
      </w:r>
    </w:p>
    <w:p w14:paraId="6425C10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Two principal cases decided after  cast its holding into even more doubt.   In , the Court reaffirmed the substantive force of the liberty protected by the Due Process Clause.   The  decision again confirmed  </w:t>
      </w:r>
      <w:r w:rsidRPr="0019267D">
        <w:rPr>
          <w:rFonts w:ascii="Arial" w:hAnsi="Arial"/>
          <w:b/>
          <w:sz w:val="18"/>
        </w:rPr>
        <w:t>*574</w:t>
      </w:r>
      <w:r w:rsidRPr="0019267D">
        <w:rPr>
          <w:rFonts w:ascii="Arial" w:hAnsi="Arial"/>
          <w:sz w:val="18"/>
        </w:rPr>
        <w:t xml:space="preserve"> that our laws and tradition afford constitutional protection to personal decisions relating to marriage, procreation, contraception, family relationships, child rearing, and education.     In explaining the respect the Constitution demands for the autonomy of the person in making these choices, we stated as follows:</w:t>
      </w:r>
    </w:p>
    <w:p w14:paraId="176A3ED9"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“These matters, involving the most intimate and personal choices a person may make in a lifetime, choices central to personal dignity and autonomy, are central to the liberty protected by the Fourteenth Amendment.   At the heart of liberty is the right to </w:t>
      </w:r>
      <w:r w:rsidRPr="0019267D">
        <w:rPr>
          <w:rFonts w:ascii="Arial" w:hAnsi="Arial"/>
          <w:sz w:val="18"/>
        </w:rPr>
        <w:lastRenderedPageBreak/>
        <w:t xml:space="preserve">define one's own concept of existence, of meaning, of the universe, and of the mystery of human life.   Beliefs about these matters could not define the attributes of personhood were they formed under compulsion of the State.”  </w:t>
      </w:r>
    </w:p>
    <w:p w14:paraId="61F9CB7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**2482</w:t>
      </w:r>
      <w:r w:rsidRPr="0019267D">
        <w:rPr>
          <w:rFonts w:ascii="Arial" w:hAnsi="Arial"/>
          <w:sz w:val="18"/>
        </w:rPr>
        <w:t xml:space="preserve"> Persons in a homosexual relationship may seek autonomy for these purposes, just as heterosexual persons do.   The decision in  would deny them this right.</w:t>
      </w:r>
    </w:p>
    <w:p w14:paraId="4700979C"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second post- case of principal relevance is .   There the Court struck down class-based legislation directed at homosexuals as a violation of the Equal Protection Clause.   invalidated an amendment to Colorado's Constitution which named as a solitary class persons who were homosexuals, lesbians, or bisexual either by “orientation, conduct, practices or relationships,”  (internal quotation marks omitted), and deprived them of protection under state antidiscrimination laws.   We concluded that the provision was “born of animosity toward the class of persons affected” and further that it had no rational relation to a legitimate governmental purpose.  </w:t>
      </w:r>
    </w:p>
    <w:p w14:paraId="7CC518A8"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As an alternative argument in this case, counsel for the petitioners and some </w:t>
      </w:r>
      <w:r w:rsidRPr="0019267D">
        <w:rPr>
          <w:rFonts w:ascii="Arial" w:hAnsi="Arial"/>
          <w:i/>
          <w:sz w:val="18"/>
        </w:rPr>
        <w:t>amici</w:t>
      </w:r>
      <w:r w:rsidRPr="0019267D">
        <w:rPr>
          <w:rFonts w:ascii="Arial" w:hAnsi="Arial"/>
          <w:sz w:val="18"/>
        </w:rPr>
        <w:t xml:space="preserve"> contend that  provides the basis for declaring the Texas statute invalid under the Equal Protection Clause.   That is a tenable argument, but we conclude</w:t>
      </w:r>
      <w:r w:rsidRPr="0019267D">
        <w:rPr>
          <w:rFonts w:ascii="Arial" w:hAnsi="Arial"/>
          <w:b/>
          <w:sz w:val="18"/>
        </w:rPr>
        <w:t>*575</w:t>
      </w:r>
      <w:r w:rsidRPr="0019267D">
        <w:rPr>
          <w:rFonts w:ascii="Arial" w:hAnsi="Arial"/>
          <w:sz w:val="18"/>
        </w:rPr>
        <w:t xml:space="preserve">  the instant case requires us to address whether  itself has continuing validity.   Were we to hold the statute invalid under the Equal Protection Clause some might question whether a prohibition would be valid if drawn differently, say, to prohibit the conduct both between same-sex and different-sex participants.</w:t>
      </w:r>
    </w:p>
    <w:p w14:paraId="304FCED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Equality of treatment and the due process right to demand respect for conduct protected by the substantive guarantee of liberty are linked in important respects, and a decision on the latter point advances both interests.   If protected conduct is made criminal and the law which does so remains unexamined for its substantive validity, its stigma might remain even if it were not enforceable as drawn for equal protection reasons.   When homosexual conduct is made criminal by the law of the State, that declaration in and of itself is an invitation to subject homosexual persons to discrimination both in the public and in the private spheres.   The central holding of  has been brought in question by this case, and it should be addressed.   Its continuance as precedent demeans the lives of homosexual persons.</w:t>
      </w:r>
    </w:p>
    <w:p w14:paraId="00BE8724"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stigma this criminal statute imposes, moreover, is not trivial.   The offense, to be sure, is but a class C misdemeanor, a minor offense in the Texas legal system.   Still, it remains a criminal offense with all that imports for the dignity of the persons charged.   The petitioners will bear on their record the history of their criminal convictions.   Just this Term we rejected various challenges to state laws requiring the registration of sex offenders.  ;  .   We are advised that if Texas convicted an adult for private, consensual homosexual conduct under the statute here in question the convicted person would come within the registration laws of at least four States were he or she to be subject to their jurisdiction.   Pet. for Cert. 13, and n. 12 (citing  to ;  La.Code Crim. Proc. Ann. § §  15:540-15:549  </w:t>
      </w:r>
      <w:r w:rsidRPr="0019267D">
        <w:rPr>
          <w:rFonts w:ascii="Arial" w:hAnsi="Arial"/>
          <w:b/>
          <w:sz w:val="18"/>
        </w:rPr>
        <w:t>*576</w:t>
      </w:r>
      <w:r w:rsidRPr="0019267D">
        <w:rPr>
          <w:rFonts w:ascii="Arial" w:hAnsi="Arial"/>
          <w:sz w:val="18"/>
        </w:rPr>
        <w:t xml:space="preserve"> West 2003);   to  (Lexis 2003);   to  (West 2002)).   This underscores the consequential nature of the punishment and the state-sponsored condemnation attendant to the criminal prohibition.   Furthermore, the Texas criminal conviction carries with it the other collateral consequences always following a conviction, such as notations on job application forms, to mention but one example.</w:t>
      </w:r>
    </w:p>
    <w:p w14:paraId="285327A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foundations of  have sustained serious erosion from our recent decisions in  and    When our precedent has been thus weakened, criticism from other sources is of greater significance.</w:t>
      </w:r>
      <w:r w:rsidRPr="0019267D">
        <w:rPr>
          <w:rFonts w:ascii="Arial" w:hAnsi="Arial"/>
          <w:b/>
          <w:sz w:val="18"/>
        </w:rPr>
        <w:t>**2483</w:t>
      </w:r>
      <w:r w:rsidRPr="0019267D">
        <w:rPr>
          <w:rFonts w:ascii="Arial" w:hAnsi="Arial"/>
          <w:sz w:val="18"/>
        </w:rPr>
        <w:t xml:space="preserve">    In the United States criticism of  has been substantial and continuing, disapproving of its reasoning in all respects, not just as to its historical assumptions.   See, </w:t>
      </w:r>
      <w:r w:rsidRPr="0019267D">
        <w:rPr>
          <w:rFonts w:ascii="Arial" w:hAnsi="Arial"/>
          <w:i/>
          <w:sz w:val="18"/>
        </w:rPr>
        <w:t>e.g.,</w:t>
      </w:r>
      <w:r w:rsidRPr="0019267D">
        <w:rPr>
          <w:rFonts w:ascii="Arial" w:hAnsi="Arial"/>
          <w:sz w:val="18"/>
        </w:rPr>
        <w:t xml:space="preserve"> C. Fried, Order and Law:  Arguing the Reagan Revolution-A Firsthand Account 81-84 (1991);  R. Posner, Sex and Reason 341-350 (1992).   The courts of five different States have declined to follow it in interpreting provisions in their own state constitutions parallel to the Due Process Clause of the Fourteenth Amendment, see ;  ;  ;  ;  .</w:t>
      </w:r>
    </w:p>
    <w:p w14:paraId="1925E926"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To the extent  relied on values we share with a wider civilization, it should be noted that the reasoning and holding in have been rejected elsewhere.   The European Court of Human Rights has followed not  but its own decision in </w:t>
      </w:r>
      <w:r w:rsidRPr="0019267D">
        <w:rPr>
          <w:rFonts w:ascii="Arial" w:hAnsi="Arial"/>
          <w:i/>
          <w:sz w:val="18"/>
        </w:rPr>
        <w:t>Dudgeon v. United Kingdom.</w:t>
      </w:r>
      <w:r w:rsidRPr="0019267D">
        <w:rPr>
          <w:rFonts w:ascii="Arial" w:hAnsi="Arial"/>
          <w:sz w:val="18"/>
        </w:rPr>
        <w:t xml:space="preserve">   See </w:t>
      </w:r>
      <w:r w:rsidRPr="0019267D">
        <w:rPr>
          <w:rFonts w:ascii="Arial" w:hAnsi="Arial"/>
          <w:i/>
          <w:sz w:val="18"/>
        </w:rPr>
        <w:t>P.G. &amp; J.H. v. United Kingdom,</w:t>
      </w:r>
      <w:r w:rsidRPr="0019267D">
        <w:rPr>
          <w:rFonts w:ascii="Arial" w:hAnsi="Arial"/>
          <w:sz w:val="18"/>
        </w:rPr>
        <w:t xml:space="preserve"> App. No. 00044787/98, &amp; ¶  56 (Eur.Ct.H. R., Sept. 25, 2001);  </w:t>
      </w:r>
      <w:r w:rsidRPr="0019267D">
        <w:rPr>
          <w:rFonts w:ascii="Arial" w:hAnsi="Arial"/>
          <w:i/>
          <w:sz w:val="18"/>
        </w:rPr>
        <w:t>Modinos v. Cyprus,</w:t>
      </w:r>
      <w:r w:rsidRPr="0019267D">
        <w:rPr>
          <w:rFonts w:ascii="Arial" w:hAnsi="Arial"/>
          <w:sz w:val="18"/>
        </w:rPr>
        <w:t xml:space="preserve"> 259 Eur. Ct. H.R. (1993);  </w:t>
      </w:r>
      <w:r w:rsidRPr="0019267D">
        <w:rPr>
          <w:rFonts w:ascii="Arial" w:hAnsi="Arial"/>
          <w:i/>
          <w:sz w:val="18"/>
        </w:rPr>
        <w:t>Norris v. Ireland,</w:t>
      </w:r>
      <w:r w:rsidRPr="0019267D">
        <w:rPr>
          <w:rFonts w:ascii="Arial" w:hAnsi="Arial"/>
          <w:sz w:val="18"/>
        </w:rPr>
        <w:t xml:space="preserve"> 142 Eur. Ct. H.R. (1988).  Other nations, too, have taken action consistent with an affirmation of the protected right of homosexual adults to engage in intimate, consensual conduct.   See Brief for Mary  </w:t>
      </w:r>
      <w:r w:rsidRPr="0019267D">
        <w:rPr>
          <w:rFonts w:ascii="Arial" w:hAnsi="Arial"/>
          <w:b/>
          <w:sz w:val="18"/>
        </w:rPr>
        <w:t>*577</w:t>
      </w:r>
      <w:r w:rsidRPr="0019267D">
        <w:rPr>
          <w:rFonts w:ascii="Arial" w:hAnsi="Arial"/>
          <w:sz w:val="18"/>
        </w:rPr>
        <w:t xml:space="preserve"> Robinson et al. as </w:t>
      </w:r>
      <w:r w:rsidRPr="0019267D">
        <w:rPr>
          <w:rFonts w:ascii="Arial" w:hAnsi="Arial"/>
          <w:i/>
          <w:sz w:val="18"/>
        </w:rPr>
        <w:t>Amici Curiae</w:t>
      </w:r>
      <w:r w:rsidRPr="0019267D">
        <w:rPr>
          <w:rFonts w:ascii="Arial" w:hAnsi="Arial"/>
          <w:sz w:val="18"/>
        </w:rPr>
        <w:t xml:space="preserve"> 11-12.   The right the petitioners seek in this case has been accepted as an integral part of human freedom in many other countries.   There has been no showing that in this country the governmental interest in circumscribing personal choice is somehow more legitimate or urgent.</w:t>
      </w:r>
    </w:p>
    <w:p w14:paraId="5E6E18D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The doctrine of </w:t>
      </w:r>
      <w:r w:rsidRPr="0019267D">
        <w:rPr>
          <w:rFonts w:ascii="Arial" w:hAnsi="Arial"/>
          <w:i/>
          <w:sz w:val="18"/>
        </w:rPr>
        <w:t>stare decisis</w:t>
      </w:r>
      <w:r w:rsidRPr="0019267D">
        <w:rPr>
          <w:rFonts w:ascii="Arial" w:hAnsi="Arial"/>
          <w:sz w:val="18"/>
        </w:rPr>
        <w:t xml:space="preserve"> is essential to the respect accorded to the judgments of the Court and to the stability of the law.   It is not, however, an inexorable command.   (“</w:t>
      </w:r>
      <w:r w:rsidRPr="0019267D">
        <w:rPr>
          <w:rFonts w:ascii="Arial" w:hAnsi="Arial"/>
          <w:i/>
          <w:sz w:val="18"/>
        </w:rPr>
        <w:t>Stare decisis</w:t>
      </w:r>
      <w:r w:rsidRPr="0019267D">
        <w:rPr>
          <w:rFonts w:ascii="Arial" w:hAnsi="Arial"/>
          <w:sz w:val="18"/>
        </w:rPr>
        <w:t xml:space="preserve"> is not an inexorable command;  rather, it ‘is a principle of policy and not a mechanical formula of adherence to the latest decision’ ” (quoting )).   In  we noted that when a court is asked to overrule a precedent recognizing a constitutional liberty interest, individual or societal reliance on the existence of that liberty cautions with particular strength against reversing course.    see also  (“Liberty finds no refuge in a jurisprudence of doubt”).   The holding in  however, has not induced detrimental reliance comparable to some instances where recognized individual rights are involved.   Indeed, there has been no individual or societal reliance on  of the sort that could counsel against overturning its holding once there are compelling reasons to do so.   itself causes uncertainty, for the precedents before and after its issuance contradict its central holding.</w:t>
      </w:r>
    </w:p>
    <w:p w14:paraId="40BC54AD"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lastRenderedPageBreak/>
        <w:t>The rationale of  does not withstand careful analysis.   In his dissenting opinion in Bowers Justice STEVENS came to these conclusions:</w:t>
      </w:r>
    </w:p>
    <w:p w14:paraId="14093B2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“Our prior cases make two propositions abundantly clear.   First, the fact that the governing majority in a State has traditionally viewed a particular practice as immoral is not a sufficient reason for upholding a law prohibiting the practice;  neither history nor tradition could save a law prohibiting miscegenation from constitutional</w:t>
      </w:r>
      <w:r w:rsidRPr="0019267D">
        <w:rPr>
          <w:rFonts w:ascii="Arial" w:hAnsi="Arial"/>
          <w:b/>
          <w:sz w:val="18"/>
        </w:rPr>
        <w:t>*578</w:t>
      </w:r>
      <w:r w:rsidRPr="0019267D">
        <w:rPr>
          <w:rFonts w:ascii="Arial" w:hAnsi="Arial"/>
          <w:sz w:val="18"/>
        </w:rPr>
        <w:t xml:space="preserve">  attack.   Second, individual decisions by married persons, concerning the intimacies of their physical relationship, even when not intended to produce offspring, are a form of ‘liberty’ protected by the Due Process Clause of the Fourteenth Amendment.   Moreover, this protection extends to intimate choices by unmarried as well as married persons.”   (footnotes and citations omitted).</w:t>
      </w:r>
    </w:p>
    <w:p w14:paraId="41300E6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b/>
          <w:sz w:val="18"/>
        </w:rPr>
        <w:t>**2484</w:t>
      </w:r>
      <w:r w:rsidRPr="0019267D">
        <w:rPr>
          <w:rFonts w:ascii="Arial" w:hAnsi="Arial"/>
          <w:sz w:val="18"/>
        </w:rPr>
        <w:t xml:space="preserve"> Justice STEVENS' analysis, in our view, should have been controlling in  and should control here.</w:t>
      </w:r>
    </w:p>
    <w:p w14:paraId="6BA481B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was not correct when it was decided, and it is not correct today.   It ought not to remain binding precedent.   should be and now is overruled.</w:t>
      </w:r>
    </w:p>
    <w:p w14:paraId="21105711"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present case does not involve minors.   It does not involve persons who might be injured or coerced or who are situated in relationships where consent might not easily be refused.   It does not involve public conduct or prostitution.   It does not involve whether the government must give formal recognition to any relationship that homosexual persons seek to enter.   The case does involve two adults who, with full and mutual consent from each other, engaged in sexual practices common to a homosexual lifestyle.   The petitioners are entitled to respect for their private lives.   The State cannot demean their existence or control their destiny by making their private sexual conduct a crime.   Their right to liberty under the Due Process Clause gives them the full right to engage in their conduct without intervention of the government.  “It is a promise of the Constitution that there is a realm of personal liberty which the government may not enter.”     The Texas statute furthers no legitimate state interest which can justify its intrusion into the personal and private life of the individual.</w:t>
      </w:r>
    </w:p>
    <w:p w14:paraId="0AE8F315"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 xml:space="preserve">Had those who drew and ratified the Due Process Clauses of the Fifth Amendment or the Fourteenth Amendment known the components of liberty in its manifold possibilities, they might have been more specific.   They did not presume  </w:t>
      </w:r>
      <w:r w:rsidRPr="0019267D">
        <w:rPr>
          <w:rFonts w:ascii="Arial" w:hAnsi="Arial"/>
          <w:b/>
          <w:sz w:val="18"/>
        </w:rPr>
        <w:t>*579</w:t>
      </w:r>
      <w:r w:rsidRPr="0019267D">
        <w:rPr>
          <w:rFonts w:ascii="Arial" w:hAnsi="Arial"/>
          <w:sz w:val="18"/>
        </w:rPr>
        <w:t xml:space="preserve"> to have this insight.   They knew times can blind us to certain truths and later generations can see that laws once thought necessary and proper in fact serve only to oppress.   As the Constitution endures, persons in every generation can invoke its principles in their own search for greater freedom.</w:t>
      </w:r>
    </w:p>
    <w:p w14:paraId="25C2202E"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sz w:val="18"/>
        </w:rPr>
        <w:t>The judgment of the Court of Appeals for the Texas Fourteenth District is reversed, and the case is remanded for further proceedings not inconsistent with this opinion.</w:t>
      </w:r>
    </w:p>
    <w:p w14:paraId="23595D5A" w14:textId="77777777" w:rsidR="00DB2F17" w:rsidRPr="0019267D" w:rsidRDefault="00FC0E5D">
      <w:pPr>
        <w:widowControl w:val="0"/>
        <w:autoSpaceDE w:val="0"/>
        <w:autoSpaceDN w:val="0"/>
        <w:adjustRightInd w:val="0"/>
        <w:jc w:val="both"/>
        <w:rPr>
          <w:rFonts w:ascii="Arial" w:hAnsi="Arial"/>
          <w:sz w:val="18"/>
        </w:rPr>
      </w:pPr>
      <w:r w:rsidRPr="0019267D">
        <w:rPr>
          <w:rFonts w:ascii="Arial" w:hAnsi="Arial"/>
          <w:i/>
          <w:sz w:val="18"/>
        </w:rPr>
        <w:t>It is so ordered.</w:t>
      </w:r>
    </w:p>
    <w:p w14:paraId="424F7BF5" w14:textId="77777777" w:rsidR="00A62E3B" w:rsidRPr="0019267D" w:rsidRDefault="00A62E3B" w:rsidP="00A62E3B">
      <w:pPr>
        <w:widowControl w:val="0"/>
        <w:autoSpaceDE w:val="0"/>
        <w:autoSpaceDN w:val="0"/>
        <w:adjustRightInd w:val="0"/>
        <w:jc w:val="both"/>
        <w:rPr>
          <w:rFonts w:ascii="Arial" w:hAnsi="Arial" w:cs="Arial"/>
          <w:sz w:val="20"/>
        </w:rPr>
      </w:pPr>
    </w:p>
    <w:p w14:paraId="7E534130" w14:textId="77777777" w:rsidR="00A62E3B" w:rsidRPr="0019267D" w:rsidRDefault="00A62E3B" w:rsidP="00A62E3B">
      <w:pPr>
        <w:rPr>
          <w:rFonts w:ascii="Arial" w:hAnsi="Arial" w:cs="Arial"/>
          <w:b/>
          <w:i/>
          <w:sz w:val="18"/>
        </w:rPr>
      </w:pPr>
    </w:p>
    <w:p w14:paraId="5AF8D0D0" w14:textId="77777777" w:rsidR="00A62E3B" w:rsidRPr="0019267D" w:rsidRDefault="00A62E3B" w:rsidP="00A62E3B">
      <w:pPr>
        <w:rPr>
          <w:rFonts w:ascii="Arial" w:hAnsi="Arial" w:cs="Arial"/>
          <w:b/>
          <w:i/>
          <w:sz w:val="18"/>
        </w:rPr>
      </w:pPr>
    </w:p>
    <w:p w14:paraId="166F9781" w14:textId="0A247912" w:rsidR="00A62E3B" w:rsidRPr="0019267D" w:rsidRDefault="00A62E3B" w:rsidP="00A62E3B">
      <w:pPr>
        <w:widowControl w:val="0"/>
        <w:autoSpaceDE w:val="0"/>
        <w:autoSpaceDN w:val="0"/>
        <w:adjustRightInd w:val="0"/>
        <w:rPr>
          <w:rFonts w:ascii="Arial" w:hAnsi="Arial" w:cs="Arial"/>
          <w:b/>
          <w:sz w:val="64"/>
        </w:rPr>
      </w:pPr>
      <w:r w:rsidRPr="0019267D">
        <w:rPr>
          <w:rFonts w:ascii="Arial" w:hAnsi="Arial" w:cs="Arial"/>
          <w:b/>
          <w:sz w:val="64"/>
        </w:rPr>
        <w:t xml:space="preserve">Supplemental Case Printout for:  </w:t>
      </w:r>
      <w:r w:rsidRPr="0019267D">
        <w:rPr>
          <w:rFonts w:ascii="Arial" w:hAnsi="Arial" w:cs="Arial"/>
          <w:b/>
          <w:i/>
          <w:sz w:val="64"/>
        </w:rPr>
        <w:t xml:space="preserve">Adapting the Law to the Online Environment </w:t>
      </w:r>
    </w:p>
    <w:p w14:paraId="5213DE78" w14:textId="77777777" w:rsidR="00A62E3B" w:rsidRPr="0019267D" w:rsidRDefault="00A62E3B" w:rsidP="00A62E3B">
      <w:pPr>
        <w:rPr>
          <w:rFonts w:ascii="Arial" w:hAnsi="Arial" w:cs="Arial"/>
        </w:rPr>
      </w:pPr>
    </w:p>
    <w:p w14:paraId="7CBCFA56" w14:textId="77777777" w:rsidR="00A62E3B" w:rsidRPr="0019267D" w:rsidRDefault="00A62E3B" w:rsidP="00A62E3B">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United States Court of Appeals,</w:t>
      </w:r>
    </w:p>
    <w:p w14:paraId="78DCADA6" w14:textId="77777777" w:rsidR="00A62E3B" w:rsidRPr="0019267D" w:rsidRDefault="00A62E3B" w:rsidP="00A62E3B">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Third Circuit.</w:t>
      </w:r>
    </w:p>
    <w:p w14:paraId="44FEB59C" w14:textId="77777777" w:rsidR="00A62E3B" w:rsidRPr="0019267D" w:rsidRDefault="00A62E3B" w:rsidP="00A62E3B">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UNITED STATES of America</w:t>
      </w:r>
    </w:p>
    <w:p w14:paraId="7A8A08B2" w14:textId="77777777" w:rsidR="00A62E3B" w:rsidRPr="0019267D" w:rsidRDefault="00A62E3B" w:rsidP="00A62E3B">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v.</w:t>
      </w:r>
    </w:p>
    <w:p w14:paraId="1C7C8B81" w14:textId="77777777" w:rsidR="00A62E3B" w:rsidRPr="0019267D" w:rsidRDefault="00A62E3B" w:rsidP="00A62E3B">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Anthony Douglas ELONIS, Appellant.</w:t>
      </w:r>
    </w:p>
    <w:p w14:paraId="71008AA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No. 12–3798.</w:t>
      </w:r>
    </w:p>
    <w:p w14:paraId="3CD3609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Argued: June 14, 2013.</w:t>
      </w:r>
    </w:p>
    <w:p w14:paraId="142D3E8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Filed: Sept. 19, 2013.</w:t>
      </w:r>
    </w:p>
    <w:p w14:paraId="26C460F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OPINION OF THE COURT</w:t>
      </w:r>
    </w:p>
    <w:p w14:paraId="56C8A5BE" w14:textId="77777777" w:rsidR="00A62E3B" w:rsidRPr="0019267D" w:rsidRDefault="00CE5943" w:rsidP="00A62E3B">
      <w:pPr>
        <w:widowControl w:val="0"/>
        <w:autoSpaceDE w:val="0"/>
        <w:autoSpaceDN w:val="0"/>
        <w:adjustRightInd w:val="0"/>
        <w:jc w:val="both"/>
        <w:rPr>
          <w:rFonts w:ascii="Arial" w:hAnsi="Arial" w:cs="Arial"/>
          <w:color w:val="000000"/>
          <w:sz w:val="18"/>
          <w:szCs w:val="18"/>
        </w:rPr>
      </w:pPr>
      <w:hyperlink r:id="rId123" w:history="1">
        <w:r w:rsidR="00A62E3B" w:rsidRPr="0019267D">
          <w:rPr>
            <w:rFonts w:ascii="Arial" w:hAnsi="Arial" w:cs="Arial"/>
            <w:color w:val="0000FF"/>
            <w:sz w:val="18"/>
            <w:szCs w:val="18"/>
          </w:rPr>
          <w:t>SCIRICA</w:t>
        </w:r>
      </w:hyperlink>
      <w:r w:rsidR="00A62E3B" w:rsidRPr="0019267D">
        <w:rPr>
          <w:rFonts w:ascii="Arial" w:hAnsi="Arial" w:cs="Arial"/>
          <w:color w:val="000000"/>
          <w:sz w:val="18"/>
          <w:szCs w:val="18"/>
        </w:rPr>
        <w:t>, Circuit Judge.</w:t>
      </w:r>
    </w:p>
    <w:p w14:paraId="6A8B44D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lastRenderedPageBreak/>
        <w:t xml:space="preserve">This case presents the question whether the true threats exception to speech protection under the First Amendment requires a jury to find the defendant subjectively intended his statements to be understood as threats. Anthony Elonis challenges his jury conviction under </w:t>
      </w:r>
      <w:hyperlink r:id="rId124"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arguing he did not subjectively intend his Facebook posts to be threatening. In </w:t>
      </w:r>
      <w:hyperlink r:id="rId125" w:history="1">
        <w:r w:rsidRPr="0019267D">
          <w:rPr>
            <w:rFonts w:ascii="Arial" w:hAnsi="Arial" w:cs="Arial"/>
            <w:i/>
            <w:iCs/>
            <w:color w:val="0000FF"/>
            <w:sz w:val="18"/>
            <w:szCs w:val="18"/>
          </w:rPr>
          <w:t>United States v. Kosma,</w:t>
        </w:r>
      </w:hyperlink>
      <w:hyperlink r:id="rId126" w:history="1">
        <w:r w:rsidRPr="0019267D">
          <w:rPr>
            <w:rFonts w:ascii="Arial" w:hAnsi="Arial" w:cs="Arial"/>
            <w:color w:val="0000FF"/>
            <w:sz w:val="18"/>
            <w:szCs w:val="18"/>
          </w:rPr>
          <w:t xml:space="preserve"> 951 F.2d 549, 557 (3d Cir.1991)</w:t>
        </w:r>
      </w:hyperlink>
      <w:r w:rsidRPr="0019267D">
        <w:rPr>
          <w:rFonts w:ascii="Arial" w:hAnsi="Arial" w:cs="Arial"/>
          <w:color w:val="000000"/>
          <w:sz w:val="18"/>
          <w:szCs w:val="18"/>
        </w:rPr>
        <w:t xml:space="preserve"> we held a statement is a true threat when a reasonable speaker would foresee the statement would be interpreted as a threat. We consider whether the Supreme Court decision in </w:t>
      </w:r>
      <w:hyperlink r:id="rId127" w:history="1">
        <w:r w:rsidRPr="0019267D">
          <w:rPr>
            <w:rFonts w:ascii="Arial" w:hAnsi="Arial" w:cs="Arial"/>
            <w:i/>
            <w:iCs/>
            <w:color w:val="0000FF"/>
            <w:sz w:val="18"/>
            <w:szCs w:val="18"/>
          </w:rPr>
          <w:t>Virginia v. Black,</w:t>
        </w:r>
      </w:hyperlink>
      <w:hyperlink r:id="rId128" w:history="1">
        <w:r w:rsidRPr="0019267D">
          <w:rPr>
            <w:rFonts w:ascii="Arial" w:hAnsi="Arial" w:cs="Arial"/>
            <w:color w:val="0000FF"/>
            <w:sz w:val="18"/>
            <w:szCs w:val="18"/>
          </w:rPr>
          <w:t xml:space="preserve"> 538 U.S. 343, 359, 123 S.Ct. 1536, 155 L.Ed.2d 535 (2003)</w:t>
        </w:r>
      </w:hyperlink>
      <w:r w:rsidRPr="0019267D">
        <w:rPr>
          <w:rFonts w:ascii="Arial" w:hAnsi="Arial" w:cs="Arial"/>
          <w:color w:val="000000"/>
          <w:sz w:val="18"/>
          <w:szCs w:val="18"/>
        </w:rPr>
        <w:t>, overturns this standard by requiring a subjective intent to threaten.</w:t>
      </w:r>
    </w:p>
    <w:p w14:paraId="7BDCA54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ABD5EF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w:t>
      </w:r>
    </w:p>
    <w:p w14:paraId="2DF149B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May 2010, Elonis's wife of seven years moved out of their home with their two young children. Following this separation, Elonis began experiencing trouble at work. Elonis worked at Dorney Park &amp; Wildwater Kingdom amusement park as an operations supervisor and a communications technician. After his wife left, supervisors observed Elonis with his head down on his desk crying, and he was sent home on several occasions because he was too upset to work.</w:t>
      </w:r>
    </w:p>
    <w:p w14:paraId="1CA550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D144E2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One of the employees Elonis supervised, Amber Morrissey, made five sexual harassment reports against him. According to Morrissey, Elonis came into the office where she was working alone late at night, and began to undress in front of her. She left the building after he removed his shirt. Morrissey also reported another incident where Elonis made a minor female employee uncomfortable when he placed himself close to her and told her to stick out her tongue. On October 17, 2010 Elonis posted on his Facebook page a photograph taken for the Dorney Park Halloween Haunt. The photograph showed Elonis in costume holding a knife to Morrissey's neck. Elonis added the caption “I wish” under the photograph. Elonis's supervisor saw the Facebook posting and fired Elonis that same day.</w:t>
      </w:r>
    </w:p>
    <w:p w14:paraId="5F079B3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1DB684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Two days after he was fired, Elonis began posting violent statements on his Facebook page. One post regarding Dorney Park stated:</w:t>
      </w:r>
    </w:p>
    <w:p w14:paraId="193C1B9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1FB921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Moles. Didn't I tell ya'll I had several? Ya'll saying I had access to keys for the fucking gates, that I have sinister plans for all my friends and must have taken home a couple. Ya'll think it's too dark and foggy to secure your facility from a man as mad as me. You see, even without a paycheck I'm still the main attraction. Whoever thought the Halloween haunt could be so fucking scary?</w:t>
      </w:r>
    </w:p>
    <w:p w14:paraId="1B1FC66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D0B660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Elonis also began posting statements about his estranged wife, Tara Elonis, including the following: “If I only knew then what I know now, I would have smothered your ass with a pillow, dumped your body in the back seat, dropped you off in Toad Creek, and made it look like a rape and murder.” Several of the posts about Tara Elonis were in response to her sister's status updates on Facebook. For example, Tara Elonis's sister posted her status update as: “Halloween costume shopping with my niece and nephew should be interesting.” Elonis commented on this status update, writing, “Tell [their son] he should dress up as matricide for Halloween. I don't know what his costume would entail though. Maybe [Tara Elonis's] head on a stick?” Elonis also posted in October 2010:</w:t>
      </w:r>
    </w:p>
    <w:p w14:paraId="29555FF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B4EC57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There's one way to love you but a thousand ways to kill you. I'm not going to rest until your body is a mess, soaked in blood and dying from all the little cuts. Hurry up and die, bitch, so I can bust this nut all over your corpse from atop your shallow grave. I used to be a nice guy but then you became a slut. Guess it's not your fault you liked your daddy raped you. So hurry up and die, bitch, so I can forgive you.</w:t>
      </w:r>
    </w:p>
    <w:p w14:paraId="27FA5E6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B04EFD5"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Based on these statements a state court issued Tara Elonis a Protection From Abuse order against Elonis on November 4, 2010. Following the issuance of the state court Protection From Abuse order, Elonis posted several statements on Facebook expressing intent to harm his wife. On November 7 he wrote: </w:t>
      </w:r>
      <w:hyperlink w:anchor="Document1zzB00112031595240" w:history="1">
        <w:r w:rsidRPr="0019267D">
          <w:rPr>
            <w:rFonts w:ascii="Arial" w:hAnsi="Arial" w:cs="Arial"/>
            <w:color w:val="0000FF"/>
            <w:sz w:val="18"/>
            <w:szCs w:val="18"/>
            <w:vertAlign w:val="superscript"/>
          </w:rPr>
          <w:t>FN1</w:t>
        </w:r>
      </w:hyperlink>
      <w:bookmarkStart w:id="21" w:name="Document1zzF00112031595240"/>
      <w:bookmarkEnd w:id="21"/>
    </w:p>
    <w:p w14:paraId="1771AAB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AF6E12"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112031595240" w:history="1">
        <w:r w:rsidR="00A62E3B" w:rsidRPr="0019267D">
          <w:rPr>
            <w:rFonts w:ascii="Arial" w:hAnsi="Arial" w:cs="Arial"/>
            <w:color w:val="0000FF"/>
            <w:sz w:val="18"/>
            <w:szCs w:val="18"/>
          </w:rPr>
          <w:t>FN1.</w:t>
        </w:r>
      </w:hyperlink>
      <w:bookmarkStart w:id="22" w:name="Document1zzB00112031595240"/>
      <w:bookmarkEnd w:id="22"/>
      <w:r w:rsidR="00A62E3B" w:rsidRPr="0019267D">
        <w:rPr>
          <w:rFonts w:ascii="Arial" w:hAnsi="Arial" w:cs="Arial"/>
          <w:color w:val="000000"/>
          <w:sz w:val="18"/>
          <w:szCs w:val="18"/>
        </w:rPr>
        <w:t xml:space="preserve"> This statement was the basis of Count 2 of the indictment.</w:t>
      </w:r>
    </w:p>
    <w:p w14:paraId="2B1E93D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F1A56C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Did you know that it's illegal for me to say I want to kill my wife?</w:t>
      </w:r>
    </w:p>
    <w:p w14:paraId="407FE88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6098EB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illegal.</w:t>
      </w:r>
    </w:p>
    <w:p w14:paraId="37B5CBD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45ACA0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indirect criminal contempt.</w:t>
      </w:r>
    </w:p>
    <w:p w14:paraId="3A0477B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8713172"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one of the only sentences that I'm not allowed to say.</w:t>
      </w:r>
    </w:p>
    <w:p w14:paraId="0982C25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865B0C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lastRenderedPageBreak/>
        <w:t>Now it was okay for me to say it right then because I was just telling you that it's illegal for me to say I want to kill my wife.</w:t>
      </w:r>
    </w:p>
    <w:p w14:paraId="703CDA0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986117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not actually saying it.</w:t>
      </w:r>
    </w:p>
    <w:p w14:paraId="57580B7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7BCD84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just letting you know that it's illegal for me to say that.</w:t>
      </w:r>
    </w:p>
    <w:p w14:paraId="52C1116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3C5637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kind of like a public service.</w:t>
      </w:r>
    </w:p>
    <w:p w14:paraId="5685141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A614E2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letting you know so that you don't accidently go out and say something like that</w:t>
      </w:r>
    </w:p>
    <w:p w14:paraId="11FF77F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AB3EF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Um, what's interesting is that it's very illegal to say I really, really think someone out there should kill my wife.</w:t>
      </w:r>
    </w:p>
    <w:p w14:paraId="149B4E9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522CDE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That's illegal.</w:t>
      </w:r>
    </w:p>
    <w:p w14:paraId="4342B31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0DE84A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Very, very illegal.</w:t>
      </w:r>
    </w:p>
    <w:p w14:paraId="2394C79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B92D7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But not illegal to say with a mortar launcher.</w:t>
      </w:r>
    </w:p>
    <w:p w14:paraId="6411162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8AADC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Because that's its own sentence.</w:t>
      </w:r>
    </w:p>
    <w:p w14:paraId="293A8C0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61BD53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It's an incomplete sentence but it may have nothing to do with the sentence before that. So that's perfectly fine.</w:t>
      </w:r>
    </w:p>
    <w:p w14:paraId="34CFA0E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C5CBCC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Perfectly legal.</w:t>
      </w:r>
    </w:p>
    <w:p w14:paraId="2CC2BF4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630442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 also found out that it's incredibly illegal, extremely illegal, to go on Facebook and say something like the best place to fire a mortar launcher at her house would be from the cornfield behind it because of easy access to a getaway road and you'd have a clear line of sight through the sun room.</w:t>
      </w:r>
    </w:p>
    <w:p w14:paraId="44B4868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9ADA5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Insanely illegal.</w:t>
      </w:r>
    </w:p>
    <w:p w14:paraId="3BB8076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E00467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Ridiculously, wrecklessly, insanely illegal.</w:t>
      </w:r>
    </w:p>
    <w:p w14:paraId="0B9D2E5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8075590"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Yet even more illegal to show an illustrated diagram.</w:t>
      </w:r>
    </w:p>
    <w:p w14:paraId="04A7F25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A07987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Insanely illegal.</w:t>
      </w:r>
    </w:p>
    <w:p w14:paraId="506FF56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227304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Ridiculously, horribly felonious.</w:t>
      </w:r>
    </w:p>
    <w:p w14:paraId="64744A9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5F710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Cause they will come to my house in the middle of the night and they will lock me up.</w:t>
      </w:r>
    </w:p>
    <w:p w14:paraId="54800D6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F8E3B6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Extremely against the law.</w:t>
      </w:r>
    </w:p>
    <w:p w14:paraId="1E8986E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0842E0"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Uh, one thing that is technically legal to say is that we have a group that meets Fridays at my parent's house and the password is sic simper tyrannis.</w:t>
      </w:r>
    </w:p>
    <w:p w14:paraId="60FA5CB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FC4EF4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Tara Elonis testified at trial that she took these statements seriously, saying, “I felt like I was being stalked. I felt extremely afraid for mine and my children's and my families' lives.” Trial Tr. 97, Oct. 19, 2011. Ms. Elonis further testified that Elonis rarely listened to rap music, and that she had never seen Elonis write rap lyrics during their seven years of marriage. She explained that the lyric form of the statements did not make her take the threats any less seriously.</w:t>
      </w:r>
    </w:p>
    <w:p w14:paraId="411BE26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5C9C6C3"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On November 15 Elonis posted on his Facebook page:</w:t>
      </w:r>
    </w:p>
    <w:p w14:paraId="08DB00E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4BE847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Fold up your PFA and put it in your pocket Is it thick enough to stop a bullet?</w:t>
      </w:r>
    </w:p>
    <w:p w14:paraId="2BEDC92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4B1F9B"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Try to enforce an Order</w:t>
      </w:r>
    </w:p>
    <w:p w14:paraId="490864D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21226C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 was improperly granted in the first place Me thinks the judge needs an education on true threat jurisprudence</w:t>
      </w:r>
    </w:p>
    <w:p w14:paraId="6D67B9B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F4BF47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prison time will add zeroes to my settlement</w:t>
      </w:r>
    </w:p>
    <w:p w14:paraId="5FEDB35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D053EE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Which you won't see a lick</w:t>
      </w:r>
    </w:p>
    <w:p w14:paraId="0D4C311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F04FAA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Because you suck dog dick in front of children</w:t>
      </w:r>
    </w:p>
    <w:p w14:paraId="3D10BFB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696E023"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 * *</w:t>
      </w:r>
    </w:p>
    <w:p w14:paraId="25217BB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936BD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if worse comes to worse</w:t>
      </w:r>
    </w:p>
    <w:p w14:paraId="029C69C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592AEE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I've got enough explosives to take care of the state police and the sheriff's department</w:t>
      </w:r>
    </w:p>
    <w:p w14:paraId="274C322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12BE98A"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[link: Freedom of Speech, www. wikipedia. org]</w:t>
      </w:r>
    </w:p>
    <w:p w14:paraId="7CAB2CE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DE63E42"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This statement was the basis both of Count 2, threats to Elonis's wife, and Count 3, threats to local law enforcement. A post the following day on November 16 involving an elementary school was the basis of Count 4:</w:t>
      </w:r>
    </w:p>
    <w:p w14:paraId="14EF479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That's it, I've had about enough</w:t>
      </w:r>
    </w:p>
    <w:p w14:paraId="3A99342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271C782"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I'm checking out and making a name for myself Enough elementary schools in a ten mile radius to initiate the most heinous school shooting ever imagined</w:t>
      </w:r>
    </w:p>
    <w:p w14:paraId="01FF80D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1FDD3C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hell hath no fury like a crazy man in a kindergarten class</w:t>
      </w:r>
    </w:p>
    <w:p w14:paraId="41B24AD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FED166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 only question is ... which one?</w:t>
      </w:r>
    </w:p>
    <w:p w14:paraId="75807B0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FBA14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By this point FBI Agent Denise Stevens was monitoring Elonis's public Facebook postings, because Dorney Park contacted the FBI claiming Elonis had posted threats against Dorney Park and its employees on his Facebook page. After reading these and other Facebook posts by Elonis, Agent Stevens and another FBI agent went to Elonis's house to interview him. When the agents knocked on his door, Elonis's father answered and told the agents Elonis was sleeping. The agents waited several minutes until Elonis came to the door wearing a t-shirt, jeans, and no shoes. Elonis asked the agents if they were law enforcement and asked if he was free to go. After the agents identified themselves and told him he was free to go, Elonis went inside and closed the door. Later that day, Elonis posted the following on Facebook:</w:t>
      </w:r>
    </w:p>
    <w:p w14:paraId="3C6687B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47070E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You know your shit's ridiculous when you have the FBI knockin' at yo' door</w:t>
      </w:r>
    </w:p>
    <w:p w14:paraId="28A86BC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03C19B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Little Agent Lady stood so close</w:t>
      </w:r>
    </w:p>
    <w:p w14:paraId="7CB392E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180A81"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Took all the strength I had not to turn the bitch ghost</w:t>
      </w:r>
    </w:p>
    <w:p w14:paraId="0557B52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CC8AA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Pull my knife, flick my wrist, and slit her throat Leave her bleedin' from her jugular in the arms of her partner</w:t>
      </w:r>
    </w:p>
    <w:p w14:paraId="11F0167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299A47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[laughter]</w:t>
      </w:r>
    </w:p>
    <w:p w14:paraId="1B4885D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8442E1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So the next time you knock, you best be serving a warrant</w:t>
      </w:r>
    </w:p>
    <w:p w14:paraId="7AA870F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B03447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bring yo' SWAT and an explosives expert while you're at it</w:t>
      </w:r>
    </w:p>
    <w:p w14:paraId="3766900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4B02D9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Cause little did y'all know, I was strapped wit' a bomb</w:t>
      </w:r>
    </w:p>
    <w:p w14:paraId="25D2CE6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34534B0"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Why do you think it took me so long to get dressed with no shoes on?</w:t>
      </w:r>
    </w:p>
    <w:p w14:paraId="310313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E161E6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 was jus' waitin' for y'all to handcuff me and pat me down</w:t>
      </w:r>
    </w:p>
    <w:p w14:paraId="119A01E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C46FD1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Touch the detonator in my pocket and we're all goin'</w:t>
      </w:r>
    </w:p>
    <w:p w14:paraId="2A691C5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7161D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[BOOM!]</w:t>
      </w:r>
    </w:p>
    <w:p w14:paraId="21C44BD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29DD71D"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These statements were the basis of Count 5 of the indictment. After she observed this post on Elonis's Facebook page, Agent Stevens contacted the U.S. Attorney's Office.</w:t>
      </w:r>
    </w:p>
    <w:p w14:paraId="7C5237DE"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93632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II.</w:t>
      </w:r>
    </w:p>
    <w:p w14:paraId="2F428DA2"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was arrested on December 8, 2010 and charged with transmitting in interstate commerce communications containing a threat to injure the person of another in violation of </w:t>
      </w:r>
      <w:hyperlink r:id="rId129" w:history="1">
        <w:r w:rsidRPr="0019267D">
          <w:rPr>
            <w:rFonts w:ascii="Arial" w:hAnsi="Arial" w:cs="Arial"/>
            <w:color w:val="0000FF"/>
            <w:sz w:val="18"/>
            <w:szCs w:val="18"/>
          </w:rPr>
          <w:t>18 U.S.C. § 875(c)</w:t>
        </w:r>
      </w:hyperlink>
      <w:r w:rsidRPr="0019267D">
        <w:rPr>
          <w:rFonts w:ascii="Arial" w:hAnsi="Arial" w:cs="Arial"/>
          <w:color w:val="000000"/>
          <w:sz w:val="18"/>
          <w:szCs w:val="18"/>
        </w:rPr>
        <w:t>. The grand jury indicted Elonis on five counts of making threatening communications: Count 1 threats to patrons and employees of Dorney Park &amp; Wildwater Kingdom, Count 2 threats to his wife, Count 3 threats to employees of the Pennsylvania State Police and Berks County Sheriff's Department, Count 4 threats to a kindergarten class, and Count 5 threats to an FBI agent.</w:t>
      </w:r>
    </w:p>
    <w:p w14:paraId="27404CA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8C98379"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moved to dismiss the indictments against him, contending the Supreme Court held in </w:t>
      </w:r>
      <w:hyperlink r:id="rId130" w:history="1">
        <w:r w:rsidRPr="0019267D">
          <w:rPr>
            <w:rFonts w:ascii="Arial" w:hAnsi="Arial" w:cs="Arial"/>
            <w:i/>
            <w:iCs/>
            <w:color w:val="0000FF"/>
            <w:sz w:val="18"/>
            <w:szCs w:val="18"/>
          </w:rPr>
          <w:t>Virginia v. Black,</w:t>
        </w:r>
      </w:hyperlink>
      <w:hyperlink r:id="rId131" w:history="1">
        <w:r w:rsidRPr="0019267D">
          <w:rPr>
            <w:rFonts w:ascii="Arial" w:hAnsi="Arial" w:cs="Arial"/>
            <w:color w:val="0000FF"/>
            <w:sz w:val="18"/>
            <w:szCs w:val="18"/>
          </w:rPr>
          <w:t xml:space="preserve"> 538 U.S. 343, 347–48, 123 S.Ct. 1536, 155 L.Ed.2d 535 (2003)</w:t>
        </w:r>
      </w:hyperlink>
      <w:r w:rsidRPr="0019267D">
        <w:rPr>
          <w:rFonts w:ascii="Arial" w:hAnsi="Arial" w:cs="Arial"/>
          <w:color w:val="000000"/>
          <w:sz w:val="18"/>
          <w:szCs w:val="18"/>
        </w:rPr>
        <w:t xml:space="preserve"> that a subjective intent to threaten was required under the true threat exception to the First Amendment and that his statements were not threats but were protected speech. The District Court denied the motion to dismiss because even if the subjective intent standard applied, Elonis's intent and the attendant circumstances showing whether or not the statements were true threats were questions of fact for the jury. </w:t>
      </w:r>
      <w:hyperlink r:id="rId132" w:history="1">
        <w:r w:rsidRPr="0019267D">
          <w:rPr>
            <w:rFonts w:ascii="Arial" w:hAnsi="Arial" w:cs="Arial"/>
            <w:i/>
            <w:iCs/>
            <w:color w:val="0000FF"/>
            <w:sz w:val="18"/>
            <w:szCs w:val="18"/>
          </w:rPr>
          <w:t>United States v. Elonis,</w:t>
        </w:r>
      </w:hyperlink>
      <w:hyperlink r:id="rId133" w:history="1">
        <w:r w:rsidRPr="0019267D">
          <w:rPr>
            <w:rFonts w:ascii="Arial" w:hAnsi="Arial" w:cs="Arial"/>
            <w:color w:val="0000FF"/>
            <w:sz w:val="18"/>
            <w:szCs w:val="18"/>
          </w:rPr>
          <w:t xml:space="preserve"> No. 11–13, 2011 WL 5024284, at *3 (E.D.Pa. Oct. 20, 2011)</w:t>
        </w:r>
      </w:hyperlink>
      <w:r w:rsidRPr="0019267D">
        <w:rPr>
          <w:rFonts w:ascii="Arial" w:hAnsi="Arial" w:cs="Arial"/>
          <w:color w:val="000000"/>
          <w:sz w:val="18"/>
          <w:szCs w:val="18"/>
        </w:rPr>
        <w:t>.</w:t>
      </w:r>
    </w:p>
    <w:p w14:paraId="15C5ACE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B85C0C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testified in his own defense at trial. A jury convicted Elonis on Counts 2 through 5, and the court sentenced him to 44 months' imprisonment followed by three years supervised release. Elonis filed a post-trial Motion to Dismiss Indictment with Prejudice under Rule 12(b)(3); and for New Trial under Rule 33(a), to Arrest Judgment under Rule 34(b) and/or Dismissal under Rule 29(c). The District Court denied the motion to dismiss the indictment, finding the indictment correctly tracked the language of the statute and stated the nature of the threat, the date of the threat and the victim of the threat. The court also stated the objective intent standard conformed with Third Circuit precedent. The court found the evidence supported the jury's finding that the statements in Count 3 and Count 5 were true threats. Finally, the court held that the jury instruction presuming communications over the internet were transmitted through interstate commerce was supported by our precedent in </w:t>
      </w:r>
      <w:hyperlink r:id="rId134" w:history="1">
        <w:r w:rsidRPr="0019267D">
          <w:rPr>
            <w:rFonts w:ascii="Arial" w:hAnsi="Arial" w:cs="Arial"/>
            <w:i/>
            <w:iCs/>
            <w:color w:val="0000FF"/>
            <w:sz w:val="18"/>
            <w:szCs w:val="18"/>
          </w:rPr>
          <w:t>United States v. MacEwan,</w:t>
        </w:r>
      </w:hyperlink>
      <w:hyperlink r:id="rId135" w:history="1">
        <w:r w:rsidRPr="0019267D">
          <w:rPr>
            <w:rFonts w:ascii="Arial" w:hAnsi="Arial" w:cs="Arial"/>
            <w:color w:val="0000FF"/>
            <w:sz w:val="18"/>
            <w:szCs w:val="18"/>
          </w:rPr>
          <w:t xml:space="preserve"> 445 F.3d 237, 244 (3d Cir.2006)</w:t>
        </w:r>
      </w:hyperlink>
      <w:r w:rsidRPr="0019267D">
        <w:rPr>
          <w:rFonts w:ascii="Arial" w:hAnsi="Arial" w:cs="Arial"/>
          <w:color w:val="000000"/>
          <w:sz w:val="18"/>
          <w:szCs w:val="18"/>
        </w:rPr>
        <w:t>.</w:t>
      </w:r>
    </w:p>
    <w:p w14:paraId="35415CF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799802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III.</w:t>
      </w:r>
      <w:hyperlink w:anchor="Document1zzB00222031595240" w:history="1">
        <w:r w:rsidRPr="0019267D">
          <w:rPr>
            <w:rFonts w:ascii="Arial" w:hAnsi="Arial" w:cs="Arial"/>
            <w:color w:val="0000FF"/>
            <w:sz w:val="18"/>
            <w:szCs w:val="18"/>
            <w:vertAlign w:val="superscript"/>
          </w:rPr>
          <w:t>FN2</w:t>
        </w:r>
      </w:hyperlink>
      <w:bookmarkStart w:id="23" w:name="Document1zzF00222031595240"/>
      <w:bookmarkEnd w:id="23"/>
    </w:p>
    <w:p w14:paraId="46D5FFA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ABD9F4F"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222031595240" w:history="1">
        <w:r w:rsidR="00A62E3B" w:rsidRPr="0019267D">
          <w:rPr>
            <w:rFonts w:ascii="Arial" w:hAnsi="Arial" w:cs="Arial"/>
            <w:color w:val="0000FF"/>
            <w:sz w:val="18"/>
            <w:szCs w:val="18"/>
          </w:rPr>
          <w:t>FN2.</w:t>
        </w:r>
      </w:hyperlink>
      <w:bookmarkStart w:id="24" w:name="Document1zzB00222031595240"/>
      <w:bookmarkEnd w:id="24"/>
      <w:r w:rsidR="00A62E3B" w:rsidRPr="0019267D">
        <w:rPr>
          <w:rFonts w:ascii="Arial" w:hAnsi="Arial" w:cs="Arial"/>
          <w:color w:val="000000"/>
          <w:sz w:val="18"/>
          <w:szCs w:val="18"/>
        </w:rPr>
        <w:t xml:space="preserve"> The District Court had jurisdiction over this case under </w:t>
      </w:r>
      <w:hyperlink r:id="rId136" w:history="1">
        <w:r w:rsidR="00A62E3B" w:rsidRPr="0019267D">
          <w:rPr>
            <w:rFonts w:ascii="Arial" w:hAnsi="Arial" w:cs="Arial"/>
            <w:color w:val="0000FF"/>
            <w:sz w:val="18"/>
            <w:szCs w:val="18"/>
          </w:rPr>
          <w:t>18 U.S.C. § 3231</w:t>
        </w:r>
      </w:hyperlink>
      <w:r w:rsidR="00A62E3B" w:rsidRPr="0019267D">
        <w:rPr>
          <w:rFonts w:ascii="Arial" w:hAnsi="Arial" w:cs="Arial"/>
          <w:color w:val="000000"/>
          <w:sz w:val="18"/>
          <w:szCs w:val="18"/>
        </w:rPr>
        <w:t xml:space="preserve">. We exercise appellate jurisdiction under </w:t>
      </w:r>
      <w:hyperlink r:id="rId137" w:history="1">
        <w:r w:rsidR="00A62E3B" w:rsidRPr="0019267D">
          <w:rPr>
            <w:rFonts w:ascii="Arial" w:hAnsi="Arial" w:cs="Arial"/>
            <w:color w:val="0000FF"/>
            <w:sz w:val="18"/>
            <w:szCs w:val="18"/>
          </w:rPr>
          <w:t>28 U.S.C. § 1291</w:t>
        </w:r>
      </w:hyperlink>
      <w:r w:rsidR="00A62E3B" w:rsidRPr="0019267D">
        <w:rPr>
          <w:rFonts w:ascii="Arial" w:hAnsi="Arial" w:cs="Arial"/>
          <w:color w:val="000000"/>
          <w:sz w:val="18"/>
          <w:szCs w:val="18"/>
        </w:rPr>
        <w:t xml:space="preserve">. We review statutory interpretations and conclusions of law de novo. </w:t>
      </w:r>
      <w:hyperlink r:id="rId138" w:history="1">
        <w:r w:rsidR="00A62E3B" w:rsidRPr="0019267D">
          <w:rPr>
            <w:rFonts w:ascii="Arial" w:hAnsi="Arial" w:cs="Arial"/>
            <w:i/>
            <w:iCs/>
            <w:color w:val="0000FF"/>
            <w:sz w:val="18"/>
            <w:szCs w:val="18"/>
          </w:rPr>
          <w:t>Kosma,</w:t>
        </w:r>
      </w:hyperlink>
      <w:hyperlink r:id="rId139" w:history="1">
        <w:r w:rsidR="00A62E3B" w:rsidRPr="0019267D">
          <w:rPr>
            <w:rFonts w:ascii="Arial" w:hAnsi="Arial" w:cs="Arial"/>
            <w:color w:val="0000FF"/>
            <w:sz w:val="18"/>
            <w:szCs w:val="18"/>
          </w:rPr>
          <w:t xml:space="preserve"> 951 F.2d at 553.</w:t>
        </w:r>
      </w:hyperlink>
      <w:r w:rsidR="00A62E3B" w:rsidRPr="0019267D">
        <w:rPr>
          <w:rFonts w:ascii="Arial" w:hAnsi="Arial" w:cs="Arial"/>
          <w:color w:val="000000"/>
          <w:sz w:val="18"/>
          <w:szCs w:val="18"/>
        </w:rPr>
        <w:t xml:space="preserve"> We exercise plenary review over the sufficiency of indictments. </w:t>
      </w:r>
      <w:hyperlink r:id="rId140" w:history="1">
        <w:r w:rsidR="00A62E3B" w:rsidRPr="0019267D">
          <w:rPr>
            <w:rFonts w:ascii="Arial" w:hAnsi="Arial" w:cs="Arial"/>
            <w:i/>
            <w:iCs/>
            <w:color w:val="0000FF"/>
            <w:sz w:val="18"/>
            <w:szCs w:val="18"/>
          </w:rPr>
          <w:t>United States v. Kemp,</w:t>
        </w:r>
      </w:hyperlink>
      <w:hyperlink r:id="rId141" w:history="1">
        <w:r w:rsidR="00A62E3B" w:rsidRPr="0019267D">
          <w:rPr>
            <w:rFonts w:ascii="Arial" w:hAnsi="Arial" w:cs="Arial"/>
            <w:color w:val="0000FF"/>
            <w:sz w:val="18"/>
            <w:szCs w:val="18"/>
          </w:rPr>
          <w:t xml:space="preserve"> 500 F.3d 257, 280 (3d Cir.2007)</w:t>
        </w:r>
      </w:hyperlink>
      <w:r w:rsidR="00A62E3B" w:rsidRPr="0019267D">
        <w:rPr>
          <w:rFonts w:ascii="Arial" w:hAnsi="Arial" w:cs="Arial"/>
          <w:color w:val="000000"/>
          <w:sz w:val="18"/>
          <w:szCs w:val="18"/>
        </w:rPr>
        <w:t xml:space="preserve">. “We apply a particularly deferential standard of review when deciding whether a jury verdict rests on legally sufficient evidence.” </w:t>
      </w:r>
      <w:hyperlink r:id="rId142" w:history="1">
        <w:r w:rsidR="00A62E3B" w:rsidRPr="0019267D">
          <w:rPr>
            <w:rFonts w:ascii="Arial" w:hAnsi="Arial" w:cs="Arial"/>
            <w:i/>
            <w:iCs/>
            <w:color w:val="0000FF"/>
            <w:sz w:val="18"/>
            <w:szCs w:val="18"/>
          </w:rPr>
          <w:t>United States v. Dent,</w:t>
        </w:r>
      </w:hyperlink>
      <w:hyperlink r:id="rId143" w:history="1">
        <w:r w:rsidR="00A62E3B" w:rsidRPr="0019267D">
          <w:rPr>
            <w:rFonts w:ascii="Arial" w:hAnsi="Arial" w:cs="Arial"/>
            <w:color w:val="0000FF"/>
            <w:sz w:val="18"/>
            <w:szCs w:val="18"/>
          </w:rPr>
          <w:t xml:space="preserve"> 149 F.3d 180, 187 (3d Cir.1998)</w:t>
        </w:r>
      </w:hyperlink>
      <w:r w:rsidR="00A62E3B" w:rsidRPr="0019267D">
        <w:rPr>
          <w:rFonts w:ascii="Arial" w:hAnsi="Arial" w:cs="Arial"/>
          <w:color w:val="000000"/>
          <w:sz w:val="18"/>
          <w:szCs w:val="18"/>
        </w:rPr>
        <w:t xml:space="preserve">. Because Elonis failed to object to the jury instructions at trial, we review whether the jury instructions stated the correct legal standard for plain error. </w:t>
      </w:r>
      <w:hyperlink r:id="rId144" w:history="1">
        <w:r w:rsidR="00A62E3B" w:rsidRPr="0019267D">
          <w:rPr>
            <w:rFonts w:ascii="Arial" w:hAnsi="Arial" w:cs="Arial"/>
            <w:i/>
            <w:iCs/>
            <w:color w:val="0000FF"/>
            <w:sz w:val="18"/>
            <w:szCs w:val="18"/>
          </w:rPr>
          <w:t>United States v. Lee,</w:t>
        </w:r>
      </w:hyperlink>
      <w:hyperlink r:id="rId145" w:history="1">
        <w:r w:rsidR="00A62E3B" w:rsidRPr="0019267D">
          <w:rPr>
            <w:rFonts w:ascii="Arial" w:hAnsi="Arial" w:cs="Arial"/>
            <w:color w:val="0000FF"/>
            <w:sz w:val="18"/>
            <w:szCs w:val="18"/>
          </w:rPr>
          <w:t xml:space="preserve"> 612 F.3d 170, 191 (3d Cir.2010)</w:t>
        </w:r>
      </w:hyperlink>
      <w:r w:rsidR="00A62E3B" w:rsidRPr="0019267D">
        <w:rPr>
          <w:rFonts w:ascii="Arial" w:hAnsi="Arial" w:cs="Arial"/>
          <w:color w:val="000000"/>
          <w:sz w:val="18"/>
          <w:szCs w:val="18"/>
        </w:rPr>
        <w:t>.</w:t>
      </w:r>
    </w:p>
    <w:p w14:paraId="779553E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6C13D6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A.</w:t>
      </w:r>
    </w:p>
    <w:p w14:paraId="2E5C985E"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12031595240" w:history="1">
        <w:r w:rsidR="00A62E3B" w:rsidRPr="0019267D">
          <w:rPr>
            <w:rFonts w:ascii="Arial" w:hAnsi="Arial" w:cs="Arial"/>
            <w:color w:val="0000FF"/>
            <w:sz w:val="18"/>
            <w:szCs w:val="18"/>
          </w:rPr>
          <w:t>[1]</w:t>
        </w:r>
      </w:hyperlink>
      <w:bookmarkStart w:id="25" w:name="Document1zzB12031595240"/>
      <w:bookmarkEnd w:id="25"/>
      <w:r w:rsidR="00A62E3B" w:rsidRPr="0019267D">
        <w:rPr>
          <w:rFonts w:ascii="Arial" w:hAnsi="Arial" w:cs="Arial"/>
          <w:color w:val="000000"/>
          <w:sz w:val="18"/>
          <w:szCs w:val="18"/>
        </w:rPr>
        <w:t xml:space="preserve"> Elonis was convicted under </w:t>
      </w:r>
      <w:hyperlink r:id="rId146" w:history="1">
        <w:r w:rsidR="00A62E3B" w:rsidRPr="0019267D">
          <w:rPr>
            <w:rFonts w:ascii="Arial" w:hAnsi="Arial" w:cs="Arial"/>
            <w:color w:val="0000FF"/>
            <w:sz w:val="18"/>
            <w:szCs w:val="18"/>
          </w:rPr>
          <w:t>18 U.S.C. § 875(c)</w:t>
        </w:r>
      </w:hyperlink>
      <w:r w:rsidR="00A62E3B" w:rsidRPr="0019267D">
        <w:rPr>
          <w:rFonts w:ascii="Arial" w:hAnsi="Arial" w:cs="Arial"/>
          <w:color w:val="000000"/>
          <w:sz w:val="18"/>
          <w:szCs w:val="18"/>
        </w:rPr>
        <w:t xml:space="preserve"> for “transmit[ting] in interstate or foreign commerce any communication containing any threat to kidnap any person or any threat to injure the person of another....” Elonis contends the trial court incorrectly instructed the jury on the standard of a true threat. The court gave the following jury instruction:</w:t>
      </w:r>
    </w:p>
    <w:p w14:paraId="314E17B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BF122A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 statement is a true threat when a defendant intentionally makes a statement in a context or under such circumstances wherein a reasonable person would foresee that the statement would be interpreted by those to whom the maker communicates the statement as a serious expression of an intention to inflict bodily injury or take the life of an individual.</w:t>
      </w:r>
    </w:p>
    <w:p w14:paraId="0CCAF93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1C8AF8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Trial Tr. 127, Oct. 20, 2011. Elonis posits that the Supreme Court decision in </w:t>
      </w:r>
      <w:hyperlink r:id="rId147"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requires that a defendant subjectively intend to threaten, and overturns the reasonable speaker standard we articulated in </w:t>
      </w:r>
      <w:hyperlink r:id="rId148" w:history="1">
        <w:r w:rsidRPr="0019267D">
          <w:rPr>
            <w:rFonts w:ascii="Arial" w:hAnsi="Arial" w:cs="Arial"/>
            <w:i/>
            <w:iCs/>
            <w:color w:val="0000FF"/>
            <w:sz w:val="18"/>
            <w:szCs w:val="18"/>
          </w:rPr>
          <w:t>United States v. Kosma,</w:t>
        </w:r>
      </w:hyperlink>
      <w:hyperlink r:id="rId149" w:history="1">
        <w:r w:rsidRPr="0019267D">
          <w:rPr>
            <w:rFonts w:ascii="Arial" w:hAnsi="Arial" w:cs="Arial"/>
            <w:color w:val="0000FF"/>
            <w:sz w:val="18"/>
            <w:szCs w:val="18"/>
          </w:rPr>
          <w:t xml:space="preserve"> 951 F.2d 549, 557 (3d Cir.1991)</w:t>
        </w:r>
      </w:hyperlink>
      <w:r w:rsidRPr="0019267D">
        <w:rPr>
          <w:rFonts w:ascii="Arial" w:hAnsi="Arial" w:cs="Arial"/>
          <w:color w:val="000000"/>
          <w:sz w:val="18"/>
          <w:szCs w:val="18"/>
        </w:rPr>
        <w:t>.</w:t>
      </w:r>
    </w:p>
    <w:p w14:paraId="6B03302D"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In </w:t>
      </w:r>
      <w:hyperlink r:id="rId150" w:history="1">
        <w:r w:rsidRPr="0019267D">
          <w:rPr>
            <w:rFonts w:ascii="Arial" w:hAnsi="Arial" w:cs="Arial"/>
            <w:i/>
            <w:iCs/>
            <w:color w:val="0000FF"/>
            <w:sz w:val="18"/>
            <w:szCs w:val="18"/>
          </w:rPr>
          <w:t>United States v. Kosma,</w:t>
        </w:r>
      </w:hyperlink>
      <w:r w:rsidRPr="0019267D">
        <w:rPr>
          <w:rFonts w:ascii="Arial" w:hAnsi="Arial" w:cs="Arial"/>
          <w:color w:val="000000"/>
          <w:sz w:val="18"/>
          <w:szCs w:val="18"/>
        </w:rPr>
        <w:t xml:space="preserve"> we held a true threat requires that</w:t>
      </w:r>
    </w:p>
    <w:p w14:paraId="745C0F8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ACC9E8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 defendant intentionally make a statement, written or oral, in a context or under such circumstances wherein a reasonable person would foresee that the statement would be interpreted by those to whom the maker communicates the statement as a serious expression of an intention to inflict bodily harm upon or to take the life of the President, and that the statement not be the result of mistake, duress, or coercion.</w:t>
      </w:r>
    </w:p>
    <w:p w14:paraId="66E9D3C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36EE22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151" w:history="1">
        <w:r w:rsidRPr="0019267D">
          <w:rPr>
            <w:rFonts w:ascii="Arial" w:hAnsi="Arial" w:cs="Arial"/>
            <w:i/>
            <w:iCs/>
            <w:color w:val="0000FF"/>
            <w:sz w:val="18"/>
            <w:szCs w:val="18"/>
          </w:rPr>
          <w:t>Id.</w:t>
        </w:r>
      </w:hyperlink>
      <w:hyperlink r:id="rId152" w:history="1">
        <w:r w:rsidRPr="0019267D">
          <w:rPr>
            <w:rFonts w:ascii="Arial" w:hAnsi="Arial" w:cs="Arial"/>
            <w:color w:val="0000FF"/>
            <w:sz w:val="18"/>
            <w:szCs w:val="18"/>
          </w:rPr>
          <w:t xml:space="preserve"> at 557</w:t>
        </w:r>
      </w:hyperlink>
      <w:r w:rsidRPr="0019267D">
        <w:rPr>
          <w:rFonts w:ascii="Arial" w:hAnsi="Arial" w:cs="Arial"/>
          <w:color w:val="000000"/>
          <w:sz w:val="18"/>
          <w:szCs w:val="18"/>
        </w:rPr>
        <w:t xml:space="preserve"> (quoting </w:t>
      </w:r>
      <w:hyperlink r:id="rId153" w:history="1">
        <w:r w:rsidRPr="0019267D">
          <w:rPr>
            <w:rFonts w:ascii="Arial" w:hAnsi="Arial" w:cs="Arial"/>
            <w:i/>
            <w:iCs/>
            <w:color w:val="0000FF"/>
            <w:sz w:val="18"/>
            <w:szCs w:val="18"/>
          </w:rPr>
          <w:t>Roy v. United States,</w:t>
        </w:r>
      </w:hyperlink>
      <w:hyperlink r:id="rId154" w:history="1">
        <w:r w:rsidRPr="0019267D">
          <w:rPr>
            <w:rFonts w:ascii="Arial" w:hAnsi="Arial" w:cs="Arial"/>
            <w:color w:val="0000FF"/>
            <w:sz w:val="18"/>
            <w:szCs w:val="18"/>
          </w:rPr>
          <w:t xml:space="preserve"> 416 F.2d 874, 877–78 (9th Cir.1969)</w:t>
        </w:r>
      </w:hyperlink>
      <w:r w:rsidRPr="0019267D">
        <w:rPr>
          <w:rFonts w:ascii="Arial" w:hAnsi="Arial" w:cs="Arial"/>
          <w:color w:val="000000"/>
          <w:sz w:val="18"/>
          <w:szCs w:val="18"/>
        </w:rPr>
        <w:t xml:space="preserve"> (emphasis omitted)). We rejected a subjective intent requirement that the defendant “intended at least to convey the impression that the threat was a serious one.” </w:t>
      </w:r>
      <w:hyperlink r:id="rId155" w:history="1">
        <w:r w:rsidRPr="0019267D">
          <w:rPr>
            <w:rFonts w:ascii="Arial" w:hAnsi="Arial" w:cs="Arial"/>
            <w:i/>
            <w:iCs/>
            <w:color w:val="0000FF"/>
            <w:sz w:val="18"/>
            <w:szCs w:val="18"/>
          </w:rPr>
          <w:t>Id.</w:t>
        </w:r>
      </w:hyperlink>
      <w:hyperlink r:id="rId156" w:history="1">
        <w:r w:rsidRPr="0019267D">
          <w:rPr>
            <w:rFonts w:ascii="Arial" w:hAnsi="Arial" w:cs="Arial"/>
            <w:color w:val="0000FF"/>
            <w:sz w:val="18"/>
            <w:szCs w:val="18"/>
          </w:rPr>
          <w:t xml:space="preserve"> at 558</w:t>
        </w:r>
      </w:hyperlink>
      <w:r w:rsidRPr="0019267D">
        <w:rPr>
          <w:rFonts w:ascii="Arial" w:hAnsi="Arial" w:cs="Arial"/>
          <w:color w:val="000000"/>
          <w:sz w:val="18"/>
          <w:szCs w:val="18"/>
        </w:rPr>
        <w:t xml:space="preserve"> (quoting </w:t>
      </w:r>
      <w:hyperlink r:id="rId157" w:history="1">
        <w:r w:rsidRPr="0019267D">
          <w:rPr>
            <w:rFonts w:ascii="Arial" w:hAnsi="Arial" w:cs="Arial"/>
            <w:i/>
            <w:iCs/>
            <w:color w:val="0000FF"/>
            <w:sz w:val="18"/>
            <w:szCs w:val="18"/>
          </w:rPr>
          <w:t>Rogers v. United States,</w:t>
        </w:r>
      </w:hyperlink>
      <w:hyperlink r:id="rId158" w:history="1">
        <w:r w:rsidRPr="0019267D">
          <w:rPr>
            <w:rFonts w:ascii="Arial" w:hAnsi="Arial" w:cs="Arial"/>
            <w:color w:val="0000FF"/>
            <w:sz w:val="18"/>
            <w:szCs w:val="18"/>
          </w:rPr>
          <w:t xml:space="preserve"> 422 U.S. 35, 46, 95 S.Ct. 2091, 45 L.Ed.2d 1 (1975)</w:t>
        </w:r>
      </w:hyperlink>
      <w:r w:rsidRPr="0019267D">
        <w:rPr>
          <w:rFonts w:ascii="Arial" w:hAnsi="Arial" w:cs="Arial"/>
          <w:color w:val="000000"/>
          <w:sz w:val="18"/>
          <w:szCs w:val="18"/>
        </w:rPr>
        <w:t xml:space="preserve"> (Marshall, J., concurring)). We found “any subjective test potentially frustrates the purposes of section 871—to prevent not only actual threats on the President's life, but also the harmful consequences which flow from such threats.” </w:t>
      </w:r>
      <w:hyperlink r:id="rId15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(explaining “it would make prosecution of these threats significantly more difficult”). We have held the same “knowingly and willfully” mens rea </w:t>
      </w:r>
      <w:hyperlink r:id="rId160" w:history="1">
        <w:r w:rsidRPr="0019267D">
          <w:rPr>
            <w:rFonts w:ascii="Arial" w:hAnsi="Arial" w:cs="Arial"/>
            <w:i/>
            <w:iCs/>
            <w:color w:val="0000FF"/>
            <w:sz w:val="18"/>
            <w:szCs w:val="18"/>
          </w:rPr>
          <w:t>Kosma</w:t>
        </w:r>
      </w:hyperlink>
      <w:r w:rsidRPr="0019267D">
        <w:rPr>
          <w:rFonts w:ascii="Arial" w:hAnsi="Arial" w:cs="Arial"/>
          <w:color w:val="000000"/>
          <w:sz w:val="18"/>
          <w:szCs w:val="18"/>
        </w:rPr>
        <w:t xml:space="preserve"> analyzed under </w:t>
      </w:r>
      <w:hyperlink r:id="rId161" w:history="1">
        <w:r w:rsidRPr="0019267D">
          <w:rPr>
            <w:rFonts w:ascii="Arial" w:hAnsi="Arial" w:cs="Arial"/>
            <w:color w:val="0000FF"/>
            <w:sz w:val="18"/>
            <w:szCs w:val="18"/>
          </w:rPr>
          <w:t>18 U.S.C. § 871</w:t>
        </w:r>
      </w:hyperlink>
      <w:r w:rsidRPr="0019267D">
        <w:rPr>
          <w:rFonts w:ascii="Arial" w:hAnsi="Arial" w:cs="Arial"/>
          <w:color w:val="000000"/>
          <w:sz w:val="18"/>
          <w:szCs w:val="18"/>
        </w:rPr>
        <w:t xml:space="preserve">, threats against the president, applies to </w:t>
      </w:r>
      <w:hyperlink r:id="rId162"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w:t>
      </w:r>
      <w:hyperlink r:id="rId163" w:history="1">
        <w:r w:rsidRPr="0019267D">
          <w:rPr>
            <w:rFonts w:ascii="Arial" w:hAnsi="Arial" w:cs="Arial"/>
            <w:i/>
            <w:iCs/>
            <w:color w:val="0000FF"/>
            <w:sz w:val="18"/>
            <w:szCs w:val="18"/>
          </w:rPr>
          <w:t>United States v. Himelwright,</w:t>
        </w:r>
      </w:hyperlink>
      <w:hyperlink r:id="rId164" w:history="1">
        <w:r w:rsidRPr="0019267D">
          <w:rPr>
            <w:rFonts w:ascii="Arial" w:hAnsi="Arial" w:cs="Arial"/>
            <w:color w:val="0000FF"/>
            <w:sz w:val="18"/>
            <w:szCs w:val="18"/>
          </w:rPr>
          <w:t xml:space="preserve"> 42 F.3d 777, 782 (3d Cir.1994)</w:t>
        </w:r>
      </w:hyperlink>
      <w:r w:rsidRPr="0019267D">
        <w:rPr>
          <w:rFonts w:ascii="Arial" w:hAnsi="Arial" w:cs="Arial"/>
          <w:color w:val="000000"/>
          <w:sz w:val="18"/>
          <w:szCs w:val="18"/>
        </w:rPr>
        <w:t xml:space="preserve"> (holding “the government bore only the burden of proving that Himelwright acted knowingly and willfully when he placed the threatening telephone calls and that those calls were reasonably perceived as threatening bodily injury”). Since our precedent is clear, the question is whether the Supreme Court decision in </w:t>
      </w:r>
      <w:hyperlink r:id="rId165"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overturned this standard.</w:t>
      </w:r>
    </w:p>
    <w:p w14:paraId="3FE77A2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E458DD9"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 first articulated the true threats exception to speech protected under the First Amendment in </w:t>
      </w:r>
      <w:hyperlink r:id="rId166" w:history="1">
        <w:r w:rsidRPr="0019267D">
          <w:rPr>
            <w:rFonts w:ascii="Arial" w:hAnsi="Arial" w:cs="Arial"/>
            <w:i/>
            <w:iCs/>
            <w:color w:val="0000FF"/>
            <w:sz w:val="18"/>
            <w:szCs w:val="18"/>
          </w:rPr>
          <w:t>Watts v. United States,</w:t>
        </w:r>
      </w:hyperlink>
      <w:hyperlink r:id="rId167" w:history="1">
        <w:r w:rsidRPr="0019267D">
          <w:rPr>
            <w:rFonts w:ascii="Arial" w:hAnsi="Arial" w:cs="Arial"/>
            <w:color w:val="0000FF"/>
            <w:sz w:val="18"/>
            <w:szCs w:val="18"/>
          </w:rPr>
          <w:t xml:space="preserve"> 394 U.S. 705, 89 S.Ct. 1399, 22 L.Ed.2d 664 (1969)</w:t>
        </w:r>
      </w:hyperlink>
      <w:r w:rsidRPr="0019267D">
        <w:rPr>
          <w:rFonts w:ascii="Arial" w:hAnsi="Arial" w:cs="Arial"/>
          <w:color w:val="000000"/>
          <w:sz w:val="18"/>
          <w:szCs w:val="18"/>
        </w:rPr>
        <w:t xml:space="preserve">. During a rally opposing the Vietnam war, Watts told the crowd, “I am not going. If they ever make me carry a rifle the first man I want to get in my sights is L.B.J.” </w:t>
      </w:r>
      <w:hyperlink r:id="rId168" w:history="1">
        <w:r w:rsidRPr="0019267D">
          <w:rPr>
            <w:rFonts w:ascii="Arial" w:hAnsi="Arial" w:cs="Arial"/>
            <w:i/>
            <w:iCs/>
            <w:color w:val="0000FF"/>
            <w:sz w:val="18"/>
            <w:szCs w:val="18"/>
          </w:rPr>
          <w:t>Id.</w:t>
        </w:r>
      </w:hyperlink>
      <w:hyperlink r:id="rId169" w:history="1">
        <w:r w:rsidRPr="0019267D">
          <w:rPr>
            <w:rFonts w:ascii="Arial" w:hAnsi="Arial" w:cs="Arial"/>
            <w:color w:val="0000FF"/>
            <w:sz w:val="18"/>
            <w:szCs w:val="18"/>
          </w:rPr>
          <w:t xml:space="preserve"> at 706, 89 S.Ct. 1399</w:t>
        </w:r>
      </w:hyperlink>
      <w:r w:rsidRPr="0019267D">
        <w:rPr>
          <w:rFonts w:ascii="Arial" w:hAnsi="Arial" w:cs="Arial"/>
          <w:color w:val="000000"/>
          <w:sz w:val="18"/>
          <w:szCs w:val="18"/>
        </w:rPr>
        <w:t xml:space="preserve"> (internal quotation marks omitted). The Court reversed his conviction for making a threat against the president because the statement was “political hyperbole,” rather than a true threat. </w:t>
      </w:r>
      <w:hyperlink r:id="rId170" w:history="1">
        <w:r w:rsidRPr="0019267D">
          <w:rPr>
            <w:rFonts w:ascii="Arial" w:hAnsi="Arial" w:cs="Arial"/>
            <w:i/>
            <w:iCs/>
            <w:color w:val="0000FF"/>
            <w:sz w:val="18"/>
            <w:szCs w:val="18"/>
          </w:rPr>
          <w:t>Id.</w:t>
        </w:r>
      </w:hyperlink>
      <w:hyperlink r:id="rId171" w:history="1">
        <w:r w:rsidRPr="0019267D">
          <w:rPr>
            <w:rFonts w:ascii="Arial" w:hAnsi="Arial" w:cs="Arial"/>
            <w:color w:val="0000FF"/>
            <w:sz w:val="18"/>
            <w:szCs w:val="18"/>
          </w:rPr>
          <w:t xml:space="preserve"> at 708, 89 S.Ct. 1399.</w:t>
        </w:r>
      </w:hyperlink>
      <w:r w:rsidRPr="0019267D">
        <w:rPr>
          <w:rFonts w:ascii="Arial" w:hAnsi="Arial" w:cs="Arial"/>
          <w:color w:val="000000"/>
          <w:sz w:val="18"/>
          <w:szCs w:val="18"/>
        </w:rPr>
        <w:t xml:space="preserve"> The Court articulated three factors supporting its finding: 1. the context was a political speech; 2. the statement was “expressly conditional”; and 3. “the reaction of the listeners” who “laughed after the statement was made.” </w:t>
      </w:r>
      <w:hyperlink r:id="rId172" w:history="1">
        <w:r w:rsidRPr="0019267D">
          <w:rPr>
            <w:rFonts w:ascii="Arial" w:hAnsi="Arial" w:cs="Arial"/>
            <w:i/>
            <w:iCs/>
            <w:color w:val="0000FF"/>
            <w:sz w:val="18"/>
            <w:szCs w:val="18"/>
          </w:rPr>
          <w:t>Id.</w:t>
        </w:r>
      </w:hyperlink>
      <w:hyperlink r:id="rId173" w:history="1">
        <w:r w:rsidRPr="0019267D">
          <w:rPr>
            <w:rFonts w:ascii="Arial" w:hAnsi="Arial" w:cs="Arial"/>
            <w:color w:val="0000FF"/>
            <w:sz w:val="18"/>
            <w:szCs w:val="18"/>
          </w:rPr>
          <w:t xml:space="preserve"> at 707–08, 89 S.Ct. 1399.</w:t>
        </w:r>
      </w:hyperlink>
      <w:r w:rsidRPr="0019267D">
        <w:rPr>
          <w:rFonts w:ascii="Arial" w:hAnsi="Arial" w:cs="Arial"/>
          <w:color w:val="000000"/>
          <w:sz w:val="18"/>
          <w:szCs w:val="18"/>
        </w:rPr>
        <w:t xml:space="preserve"> The Court did not address the true threats exception again until </w:t>
      </w:r>
      <w:hyperlink r:id="rId174"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in 2003.</w:t>
      </w:r>
      <w:hyperlink w:anchor="Document1zzB00332031595240" w:history="1">
        <w:r w:rsidRPr="0019267D">
          <w:rPr>
            <w:rFonts w:ascii="Arial" w:hAnsi="Arial" w:cs="Arial"/>
            <w:color w:val="0000FF"/>
            <w:sz w:val="18"/>
            <w:szCs w:val="18"/>
            <w:vertAlign w:val="superscript"/>
          </w:rPr>
          <w:t>FN3</w:t>
        </w:r>
      </w:hyperlink>
      <w:bookmarkStart w:id="26" w:name="Document1zzF00332031595240"/>
      <w:bookmarkEnd w:id="26"/>
    </w:p>
    <w:p w14:paraId="3D5F7E5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37EDEDF"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332031595240" w:history="1">
        <w:r w:rsidR="00A62E3B" w:rsidRPr="0019267D">
          <w:rPr>
            <w:rFonts w:ascii="Arial" w:hAnsi="Arial" w:cs="Arial"/>
            <w:color w:val="0000FF"/>
            <w:sz w:val="18"/>
            <w:szCs w:val="18"/>
          </w:rPr>
          <w:t>FN3.</w:t>
        </w:r>
      </w:hyperlink>
      <w:bookmarkStart w:id="27" w:name="Document1zzB00332031595240"/>
      <w:bookmarkEnd w:id="27"/>
      <w:r w:rsidR="00A62E3B" w:rsidRPr="0019267D">
        <w:rPr>
          <w:rFonts w:ascii="Arial" w:hAnsi="Arial" w:cs="Arial"/>
          <w:color w:val="000000"/>
          <w:sz w:val="18"/>
          <w:szCs w:val="18"/>
        </w:rPr>
        <w:t xml:space="preserve"> The Court did discuss the constitutional limits on banning “fighting words” in </w:t>
      </w:r>
      <w:hyperlink r:id="rId175" w:history="1">
        <w:r w:rsidR="00A62E3B" w:rsidRPr="0019267D">
          <w:rPr>
            <w:rFonts w:ascii="Arial" w:hAnsi="Arial" w:cs="Arial"/>
            <w:i/>
            <w:iCs/>
            <w:color w:val="0000FF"/>
            <w:sz w:val="18"/>
            <w:szCs w:val="18"/>
          </w:rPr>
          <w:t>R.A. V. v. City of St. Paul,</w:t>
        </w:r>
      </w:hyperlink>
      <w:hyperlink r:id="rId176" w:history="1">
        <w:r w:rsidR="00A62E3B" w:rsidRPr="0019267D">
          <w:rPr>
            <w:rFonts w:ascii="Arial" w:hAnsi="Arial" w:cs="Arial"/>
            <w:color w:val="0000FF"/>
            <w:sz w:val="18"/>
            <w:szCs w:val="18"/>
          </w:rPr>
          <w:t xml:space="preserve"> 505 U.S. 377, 388, 112 S.Ct. 2538, 120 L.Ed.2d 305 (1992)</w:t>
        </w:r>
      </w:hyperlink>
      <w:r w:rsidR="00A62E3B" w:rsidRPr="0019267D">
        <w:rPr>
          <w:rFonts w:ascii="Arial" w:hAnsi="Arial" w:cs="Arial"/>
          <w:color w:val="000000"/>
          <w:sz w:val="18"/>
          <w:szCs w:val="18"/>
        </w:rPr>
        <w:t>.</w:t>
      </w:r>
    </w:p>
    <w:p w14:paraId="0538CFE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F8BAD6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177" w:history="1">
        <w:r w:rsidRPr="0019267D">
          <w:rPr>
            <w:rFonts w:ascii="Arial" w:hAnsi="Arial" w:cs="Arial"/>
            <w:i/>
            <w:iCs/>
            <w:color w:val="0000FF"/>
            <w:sz w:val="18"/>
            <w:szCs w:val="18"/>
          </w:rPr>
          <w:t>Virginia v. Black</w:t>
        </w:r>
      </w:hyperlink>
      <w:r w:rsidRPr="0019267D">
        <w:rPr>
          <w:rFonts w:ascii="Arial" w:hAnsi="Arial" w:cs="Arial"/>
          <w:color w:val="000000"/>
          <w:sz w:val="18"/>
          <w:szCs w:val="18"/>
        </w:rPr>
        <w:t xml:space="preserve"> the Court considered a Virginia statute that banned burning a cross with the “intent of intimidating” and provided “[a]ny such burning of a cross shall be prima facie evidence of an intent to intimidate a person or group of persons.” </w:t>
      </w:r>
      <w:hyperlink r:id="rId178" w:history="1">
        <w:r w:rsidRPr="0019267D">
          <w:rPr>
            <w:rFonts w:ascii="Arial" w:hAnsi="Arial" w:cs="Arial"/>
            <w:color w:val="0000FF"/>
            <w:sz w:val="18"/>
            <w:szCs w:val="18"/>
          </w:rPr>
          <w:t>538 U.S. at 348, 123 S.Ct. 1536</w:t>
        </w:r>
      </w:hyperlink>
      <w:r w:rsidRPr="0019267D">
        <w:rPr>
          <w:rFonts w:ascii="Arial" w:hAnsi="Arial" w:cs="Arial"/>
          <w:color w:val="000000"/>
          <w:sz w:val="18"/>
          <w:szCs w:val="18"/>
        </w:rPr>
        <w:t xml:space="preserve"> (citation and internal quotation marks omitted). The Court reviewed three separate convictions of defendants under the statute and concluded that intimidating cross burning could be proscribed as a true threat under the First Amendment. </w:t>
      </w:r>
      <w:hyperlink r:id="rId179" w:history="1">
        <w:r w:rsidRPr="0019267D">
          <w:rPr>
            <w:rFonts w:ascii="Arial" w:hAnsi="Arial" w:cs="Arial"/>
            <w:i/>
            <w:iCs/>
            <w:color w:val="0000FF"/>
            <w:sz w:val="18"/>
            <w:szCs w:val="18"/>
          </w:rPr>
          <w:t>Id.</w:t>
        </w:r>
      </w:hyperlink>
      <w:hyperlink r:id="rId180" w:history="1">
        <w:r w:rsidRPr="0019267D">
          <w:rPr>
            <w:rFonts w:ascii="Arial" w:hAnsi="Arial" w:cs="Arial"/>
            <w:color w:val="0000FF"/>
            <w:sz w:val="18"/>
            <w:szCs w:val="18"/>
          </w:rPr>
          <w:t xml:space="preserve"> at 363, 123 S.Ct. 1536.</w:t>
        </w:r>
      </w:hyperlink>
      <w:r w:rsidRPr="0019267D">
        <w:rPr>
          <w:rFonts w:ascii="Arial" w:hAnsi="Arial" w:cs="Arial"/>
          <w:color w:val="000000"/>
          <w:sz w:val="18"/>
          <w:szCs w:val="18"/>
        </w:rPr>
        <w:t xml:space="preserve"> But the prima facie evidence provision violated due process, because it permitted a jury to convict whenever a defendant exercised his or her right to not put on a defense. </w:t>
      </w:r>
      <w:hyperlink r:id="rId181" w:history="1">
        <w:r w:rsidRPr="0019267D">
          <w:rPr>
            <w:rFonts w:ascii="Arial" w:hAnsi="Arial" w:cs="Arial"/>
            <w:i/>
            <w:iCs/>
            <w:color w:val="0000FF"/>
            <w:sz w:val="18"/>
            <w:szCs w:val="18"/>
          </w:rPr>
          <w:t>Id.</w:t>
        </w:r>
      </w:hyperlink>
      <w:hyperlink r:id="rId182" w:history="1">
        <w:r w:rsidRPr="0019267D">
          <w:rPr>
            <w:rFonts w:ascii="Arial" w:hAnsi="Arial" w:cs="Arial"/>
            <w:color w:val="0000FF"/>
            <w:sz w:val="18"/>
            <w:szCs w:val="18"/>
          </w:rPr>
          <w:t xml:space="preserve"> at 364–65, 123 S.Ct. 1536.</w:t>
        </w:r>
      </w:hyperlink>
    </w:p>
    <w:p w14:paraId="5C88FB6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E2158F1"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22031595240" w:history="1">
        <w:r w:rsidR="00A62E3B" w:rsidRPr="0019267D">
          <w:rPr>
            <w:rFonts w:ascii="Arial" w:hAnsi="Arial" w:cs="Arial"/>
            <w:color w:val="0000FF"/>
            <w:sz w:val="18"/>
            <w:szCs w:val="18"/>
          </w:rPr>
          <w:t>[2]</w:t>
        </w:r>
      </w:hyperlink>
      <w:bookmarkStart w:id="28" w:name="Document1zzB22031595240"/>
      <w:bookmarkEnd w:id="28"/>
      <w:r w:rsidR="00A62E3B" w:rsidRPr="0019267D">
        <w:rPr>
          <w:rFonts w:ascii="Arial" w:hAnsi="Arial" w:cs="Arial"/>
          <w:color w:val="000000"/>
          <w:sz w:val="18"/>
          <w:szCs w:val="18"/>
        </w:rPr>
        <w:t xml:space="preserve"> The Court reviewed the historic and contextual meanings behind cross burning, and found it conveyed a political message, a cultural message, and a threatening message, depending on the circumstances. </w:t>
      </w:r>
      <w:hyperlink r:id="rId183" w:history="1">
        <w:r w:rsidR="00A62E3B" w:rsidRPr="0019267D">
          <w:rPr>
            <w:rFonts w:ascii="Arial" w:hAnsi="Arial" w:cs="Arial"/>
            <w:i/>
            <w:iCs/>
            <w:color w:val="0000FF"/>
            <w:sz w:val="18"/>
            <w:szCs w:val="18"/>
          </w:rPr>
          <w:t>Id.</w:t>
        </w:r>
      </w:hyperlink>
      <w:hyperlink r:id="rId184" w:history="1">
        <w:r w:rsidR="00A62E3B" w:rsidRPr="0019267D">
          <w:rPr>
            <w:rFonts w:ascii="Arial" w:hAnsi="Arial" w:cs="Arial"/>
            <w:color w:val="0000FF"/>
            <w:sz w:val="18"/>
            <w:szCs w:val="18"/>
          </w:rPr>
          <w:t xml:space="preserve"> at 354–57, 123 S.Ct. 1536.</w:t>
        </w:r>
      </w:hyperlink>
      <w:r w:rsidR="00A62E3B" w:rsidRPr="0019267D">
        <w:rPr>
          <w:rFonts w:ascii="Arial" w:hAnsi="Arial" w:cs="Arial"/>
          <w:color w:val="000000"/>
          <w:sz w:val="18"/>
          <w:szCs w:val="18"/>
        </w:rPr>
        <w:t xml:space="preserve"> The Court then described the true threat exception generally before analyzing the Virginia statute:</w:t>
      </w:r>
    </w:p>
    <w:p w14:paraId="305DC3B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829CC6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“True threats” encompass those statements where the speaker means to communicate a serious expression of an intent to commit an act of unlawful violence to a particular individual or group of individuals. </w:t>
      </w:r>
      <w:r w:rsidRPr="0019267D">
        <w:rPr>
          <w:rFonts w:ascii="Arial" w:hAnsi="Arial" w:cs="Arial"/>
          <w:i/>
          <w:iCs/>
          <w:color w:val="000000"/>
          <w:sz w:val="18"/>
          <w:szCs w:val="18"/>
        </w:rPr>
        <w:t xml:space="preserve">See </w:t>
      </w:r>
      <w:hyperlink r:id="rId185" w:history="1">
        <w:r w:rsidRPr="0019267D">
          <w:rPr>
            <w:rFonts w:ascii="Arial" w:hAnsi="Arial" w:cs="Arial"/>
            <w:i/>
            <w:iCs/>
            <w:color w:val="0000FF"/>
            <w:sz w:val="18"/>
            <w:szCs w:val="18"/>
          </w:rPr>
          <w:t>Watts v. United States, supra,</w:t>
        </w:r>
      </w:hyperlink>
      <w:hyperlink r:id="rId186" w:history="1">
        <w:r w:rsidRPr="0019267D">
          <w:rPr>
            <w:rFonts w:ascii="Arial" w:hAnsi="Arial" w:cs="Arial"/>
            <w:color w:val="0000FF"/>
            <w:sz w:val="18"/>
            <w:szCs w:val="18"/>
          </w:rPr>
          <w:t xml:space="preserve"> at 708 [89 S.Ct. 1399]</w:t>
        </w:r>
      </w:hyperlink>
      <w:r w:rsidRPr="0019267D">
        <w:rPr>
          <w:rFonts w:ascii="Arial" w:hAnsi="Arial" w:cs="Arial"/>
          <w:color w:val="000000"/>
          <w:sz w:val="18"/>
          <w:szCs w:val="18"/>
        </w:rPr>
        <w:t xml:space="preserve"> ... (“political hyperbole” is not a true threat); </w:t>
      </w:r>
      <w:hyperlink r:id="rId187" w:history="1">
        <w:r w:rsidRPr="0019267D">
          <w:rPr>
            <w:rFonts w:ascii="Arial" w:hAnsi="Arial" w:cs="Arial"/>
            <w:i/>
            <w:iCs/>
            <w:color w:val="0000FF"/>
            <w:sz w:val="18"/>
            <w:szCs w:val="18"/>
          </w:rPr>
          <w:t>R.A.V. v. City of St. Paul,</w:t>
        </w:r>
      </w:hyperlink>
      <w:hyperlink r:id="rId188" w:history="1">
        <w:r w:rsidRPr="0019267D">
          <w:rPr>
            <w:rFonts w:ascii="Arial" w:hAnsi="Arial" w:cs="Arial"/>
            <w:color w:val="0000FF"/>
            <w:sz w:val="18"/>
            <w:szCs w:val="18"/>
          </w:rPr>
          <w:t xml:space="preserve"> 505 U.S., at 388 [112 S.Ct. 2538]</w:t>
        </w:r>
      </w:hyperlink>
      <w:r w:rsidRPr="0019267D">
        <w:rPr>
          <w:rFonts w:ascii="Arial" w:hAnsi="Arial" w:cs="Arial"/>
          <w:color w:val="000000"/>
          <w:sz w:val="18"/>
          <w:szCs w:val="18"/>
        </w:rPr>
        <w:t xml:space="preserve">.... The speaker need not actually intend to carry out the threat. Rather, a prohibition on true threats “protect[s] individuals from the fear of violence” and “from the disruption that fear engenders,” in addition to protecting people “from the possibility that the threatened violence will occur.” </w:t>
      </w:r>
      <w:hyperlink r:id="rId189" w:history="1">
        <w:r w:rsidRPr="0019267D">
          <w:rPr>
            <w:rFonts w:ascii="Arial" w:hAnsi="Arial" w:cs="Arial"/>
            <w:i/>
            <w:iCs/>
            <w:color w:val="0000FF"/>
            <w:sz w:val="18"/>
            <w:szCs w:val="18"/>
          </w:rPr>
          <w:t>Ibid.</w:t>
        </w:r>
      </w:hyperlink>
      <w:r w:rsidRPr="0019267D">
        <w:rPr>
          <w:rFonts w:ascii="Arial" w:hAnsi="Arial" w:cs="Arial"/>
          <w:color w:val="000000"/>
          <w:sz w:val="18"/>
          <w:szCs w:val="18"/>
        </w:rPr>
        <w:t xml:space="preserve"> Intimidation in the constitutionally proscribable sense of the word is a type of true threat, where a speaker directs a threat to a person or group of persons with the intent of placing the victim in fear of bodily harm or death. Respondents do not contest that some cross burnings fit within this meaning of intimidating speech, and rightly so. As noted in Part II, </w:t>
      </w:r>
      <w:r w:rsidRPr="0019267D">
        <w:rPr>
          <w:rFonts w:ascii="Arial" w:hAnsi="Arial" w:cs="Arial"/>
          <w:i/>
          <w:iCs/>
          <w:color w:val="000000"/>
          <w:sz w:val="18"/>
          <w:szCs w:val="18"/>
        </w:rPr>
        <w:t>supra,</w:t>
      </w:r>
      <w:r w:rsidRPr="0019267D">
        <w:rPr>
          <w:rFonts w:ascii="Arial" w:hAnsi="Arial" w:cs="Arial"/>
          <w:color w:val="000000"/>
          <w:sz w:val="18"/>
          <w:szCs w:val="18"/>
        </w:rPr>
        <w:t xml:space="preserve"> the history of cross burning in this country shows that cross burning is often intimidating, intended to create a pervasive fear in victims that they are a target of violence.</w:t>
      </w:r>
    </w:p>
    <w:p w14:paraId="1693302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7AA6258"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190" w:history="1">
        <w:r w:rsidRPr="0019267D">
          <w:rPr>
            <w:rFonts w:ascii="Arial" w:hAnsi="Arial" w:cs="Arial"/>
            <w:i/>
            <w:iCs/>
            <w:color w:val="0000FF"/>
            <w:sz w:val="18"/>
            <w:szCs w:val="18"/>
          </w:rPr>
          <w:t>Id.</w:t>
        </w:r>
      </w:hyperlink>
      <w:hyperlink r:id="rId191" w:history="1">
        <w:r w:rsidRPr="0019267D">
          <w:rPr>
            <w:rFonts w:ascii="Arial" w:hAnsi="Arial" w:cs="Arial"/>
            <w:color w:val="0000FF"/>
            <w:sz w:val="18"/>
            <w:szCs w:val="18"/>
          </w:rPr>
          <w:t xml:space="preserve"> at 359–60, 123 S.Ct. 1536</w:t>
        </w:r>
      </w:hyperlink>
      <w:r w:rsidRPr="0019267D">
        <w:rPr>
          <w:rFonts w:ascii="Arial" w:hAnsi="Arial" w:cs="Arial"/>
          <w:color w:val="000000"/>
          <w:sz w:val="18"/>
          <w:szCs w:val="18"/>
        </w:rPr>
        <w:t xml:space="preserve"> (citation omitted). Elonis contends that this definition of true threats means that the speaker must both intend to communicate and intend for the language to threaten the victim.</w:t>
      </w:r>
      <w:hyperlink w:anchor="Document1zzB00442031595240" w:history="1">
        <w:r w:rsidRPr="0019267D">
          <w:rPr>
            <w:rFonts w:ascii="Arial" w:hAnsi="Arial" w:cs="Arial"/>
            <w:color w:val="0000FF"/>
            <w:sz w:val="18"/>
            <w:szCs w:val="18"/>
            <w:vertAlign w:val="superscript"/>
          </w:rPr>
          <w:t>FN4</w:t>
        </w:r>
      </w:hyperlink>
      <w:bookmarkStart w:id="29" w:name="Document1zzF00442031595240"/>
      <w:bookmarkEnd w:id="29"/>
      <w:r w:rsidRPr="0019267D">
        <w:rPr>
          <w:rFonts w:ascii="Arial" w:hAnsi="Arial" w:cs="Arial"/>
          <w:color w:val="000000"/>
          <w:sz w:val="18"/>
          <w:szCs w:val="18"/>
        </w:rPr>
        <w:t xml:space="preserve"> But the Court did not have occasion to make such a sweeping holding, because the challenged Virginia statute already required a subjective intent to intimidate. We do not infer from the use of the term “intent” that the Court invalidated the objective intent standard the majority of circuits applied to </w:t>
      </w:r>
      <w:r w:rsidRPr="0019267D">
        <w:rPr>
          <w:rFonts w:ascii="Arial" w:hAnsi="Arial" w:cs="Arial"/>
          <w:color w:val="000000"/>
          <w:sz w:val="18"/>
          <w:szCs w:val="18"/>
        </w:rPr>
        <w:lastRenderedPageBreak/>
        <w:t>true threats.</w:t>
      </w:r>
      <w:hyperlink w:anchor="Document1zzB00552031595240" w:history="1">
        <w:r w:rsidRPr="0019267D">
          <w:rPr>
            <w:rFonts w:ascii="Arial" w:hAnsi="Arial" w:cs="Arial"/>
            <w:color w:val="0000FF"/>
            <w:sz w:val="18"/>
            <w:szCs w:val="18"/>
            <w:vertAlign w:val="superscript"/>
          </w:rPr>
          <w:t>FN5</w:t>
        </w:r>
      </w:hyperlink>
      <w:bookmarkStart w:id="30" w:name="Document1zzF00552031595240"/>
      <w:bookmarkEnd w:id="30"/>
      <w:r w:rsidRPr="0019267D">
        <w:rPr>
          <w:rFonts w:ascii="Arial" w:hAnsi="Arial" w:cs="Arial"/>
          <w:color w:val="000000"/>
          <w:sz w:val="18"/>
          <w:szCs w:val="18"/>
        </w:rPr>
        <w:t xml:space="preserve"> Instead, we read “statements where the speaker means to communicate a serious expression of an intent to commit an act of unlawful violence” to mean that the speaker must intend to make the communication. It would require adding language the Court did not write to read the passage as “statements where the speaker means to communicate [and intends the statement to be understood as] a serious expression of an intent to commit an act of unlawful violence.” </w:t>
      </w:r>
      <w:hyperlink r:id="rId192" w:history="1">
        <w:r w:rsidRPr="0019267D">
          <w:rPr>
            <w:rFonts w:ascii="Arial" w:hAnsi="Arial" w:cs="Arial"/>
            <w:i/>
            <w:iCs/>
            <w:color w:val="0000FF"/>
            <w:sz w:val="18"/>
            <w:szCs w:val="18"/>
          </w:rPr>
          <w:t>Id.</w:t>
        </w:r>
      </w:hyperlink>
      <w:hyperlink r:id="rId193" w:history="1">
        <w:r w:rsidRPr="0019267D">
          <w:rPr>
            <w:rFonts w:ascii="Arial" w:hAnsi="Arial" w:cs="Arial"/>
            <w:color w:val="0000FF"/>
            <w:sz w:val="18"/>
            <w:szCs w:val="18"/>
          </w:rPr>
          <w:t xml:space="preserve"> at 359, 123 S.Ct. 1536.</w:t>
        </w:r>
      </w:hyperlink>
      <w:r w:rsidRPr="0019267D">
        <w:rPr>
          <w:rFonts w:ascii="Arial" w:hAnsi="Arial" w:cs="Arial"/>
          <w:color w:val="000000"/>
          <w:sz w:val="18"/>
          <w:szCs w:val="18"/>
        </w:rPr>
        <w:t xml:space="preserve"> This is not what the Court wrote, and it is inconsistent with the logic animating the true threats exception.</w:t>
      </w:r>
    </w:p>
    <w:p w14:paraId="4E8B833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935A620"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442031595240" w:history="1">
        <w:r w:rsidR="00A62E3B" w:rsidRPr="0019267D">
          <w:rPr>
            <w:rFonts w:ascii="Arial" w:hAnsi="Arial" w:cs="Arial"/>
            <w:color w:val="0000FF"/>
            <w:sz w:val="18"/>
            <w:szCs w:val="18"/>
          </w:rPr>
          <w:t>FN4.</w:t>
        </w:r>
      </w:hyperlink>
      <w:bookmarkStart w:id="31" w:name="Document1zzB00442031595240"/>
      <w:bookmarkEnd w:id="31"/>
      <w:r w:rsidR="00A62E3B" w:rsidRPr="0019267D">
        <w:rPr>
          <w:rFonts w:ascii="Arial" w:hAnsi="Arial" w:cs="Arial"/>
          <w:color w:val="000000"/>
          <w:sz w:val="18"/>
          <w:szCs w:val="18"/>
        </w:rPr>
        <w:t xml:space="preserve"> Elonis also points to the passage “[i]ntimidation in the constitutionally proscribable sense of the word is a type of true threat, where a speaker directs a threat to a person or group of persons with the intent of placing the victim in fear of bodily harm or death.” </w:t>
      </w:r>
      <w:hyperlink r:id="rId194" w:history="1">
        <w:r w:rsidR="00A62E3B" w:rsidRPr="0019267D">
          <w:rPr>
            <w:rFonts w:ascii="Arial" w:hAnsi="Arial" w:cs="Arial"/>
            <w:i/>
            <w:iCs/>
            <w:color w:val="0000FF"/>
            <w:sz w:val="18"/>
            <w:szCs w:val="18"/>
          </w:rPr>
          <w:t>Black,</w:t>
        </w:r>
      </w:hyperlink>
      <w:hyperlink r:id="rId195" w:history="1">
        <w:r w:rsidR="00A62E3B" w:rsidRPr="0019267D">
          <w:rPr>
            <w:rFonts w:ascii="Arial" w:hAnsi="Arial" w:cs="Arial"/>
            <w:color w:val="0000FF"/>
            <w:sz w:val="18"/>
            <w:szCs w:val="18"/>
          </w:rPr>
          <w:t xml:space="preserve"> 538 U.S. at 360, 123 S.Ct. 1536.</w:t>
        </w:r>
      </w:hyperlink>
      <w:r w:rsidR="00A62E3B" w:rsidRPr="0019267D">
        <w:rPr>
          <w:rFonts w:ascii="Arial" w:hAnsi="Arial" w:cs="Arial"/>
          <w:color w:val="000000"/>
          <w:sz w:val="18"/>
          <w:szCs w:val="18"/>
        </w:rPr>
        <w:t xml:space="preserve"> But this sentence explains when intimidation can be a true threat, and does not define when threatening language is a true threat.</w:t>
      </w:r>
    </w:p>
    <w:p w14:paraId="7A330EF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3D1DE71"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552031595240" w:history="1">
        <w:r w:rsidR="00A62E3B" w:rsidRPr="0019267D">
          <w:rPr>
            <w:rFonts w:ascii="Arial" w:hAnsi="Arial" w:cs="Arial"/>
            <w:color w:val="0000FF"/>
            <w:sz w:val="18"/>
            <w:szCs w:val="18"/>
          </w:rPr>
          <w:t>FN5.</w:t>
        </w:r>
      </w:hyperlink>
      <w:bookmarkStart w:id="32" w:name="Document1zzB00552031595240"/>
      <w:bookmarkEnd w:id="32"/>
      <w:r w:rsidR="00A62E3B" w:rsidRPr="0019267D">
        <w:rPr>
          <w:rFonts w:ascii="Arial" w:hAnsi="Arial" w:cs="Arial"/>
          <w:color w:val="000000"/>
          <w:sz w:val="18"/>
          <w:szCs w:val="18"/>
        </w:rPr>
        <w:t xml:space="preserve"> </w:t>
      </w:r>
      <w:r w:rsidR="00A62E3B" w:rsidRPr="0019267D">
        <w:rPr>
          <w:rFonts w:ascii="Arial" w:hAnsi="Arial" w:cs="Arial"/>
          <w:i/>
          <w:iCs/>
          <w:color w:val="000000"/>
          <w:sz w:val="18"/>
          <w:szCs w:val="18"/>
        </w:rPr>
        <w:t xml:space="preserve">See, e.g., </w:t>
      </w:r>
      <w:hyperlink r:id="rId196" w:history="1">
        <w:r w:rsidR="00A62E3B" w:rsidRPr="0019267D">
          <w:rPr>
            <w:rFonts w:ascii="Arial" w:hAnsi="Arial" w:cs="Arial"/>
            <w:i/>
            <w:iCs/>
            <w:color w:val="0000FF"/>
            <w:sz w:val="18"/>
            <w:szCs w:val="18"/>
          </w:rPr>
          <w:t>United States v. Whiffen,</w:t>
        </w:r>
      </w:hyperlink>
      <w:hyperlink r:id="rId197" w:history="1">
        <w:r w:rsidR="00A62E3B" w:rsidRPr="0019267D">
          <w:rPr>
            <w:rFonts w:ascii="Arial" w:hAnsi="Arial" w:cs="Arial"/>
            <w:color w:val="0000FF"/>
            <w:sz w:val="18"/>
            <w:szCs w:val="18"/>
          </w:rPr>
          <w:t xml:space="preserve"> 121 F.3d 18, 20–21 (1st Cir.1997)</w:t>
        </w:r>
      </w:hyperlink>
      <w:r w:rsidR="00A62E3B" w:rsidRPr="0019267D">
        <w:rPr>
          <w:rFonts w:ascii="Arial" w:hAnsi="Arial" w:cs="Arial"/>
          <w:color w:val="000000"/>
          <w:sz w:val="18"/>
          <w:szCs w:val="18"/>
        </w:rPr>
        <w:t xml:space="preserve">; </w:t>
      </w:r>
      <w:hyperlink r:id="rId198" w:history="1">
        <w:r w:rsidR="00A62E3B" w:rsidRPr="0019267D">
          <w:rPr>
            <w:rFonts w:ascii="Arial" w:hAnsi="Arial" w:cs="Arial"/>
            <w:i/>
            <w:iCs/>
            <w:color w:val="0000FF"/>
            <w:sz w:val="18"/>
            <w:szCs w:val="18"/>
          </w:rPr>
          <w:t>United States v. Francis,</w:t>
        </w:r>
      </w:hyperlink>
      <w:hyperlink r:id="rId199" w:history="1">
        <w:r w:rsidR="00A62E3B" w:rsidRPr="0019267D">
          <w:rPr>
            <w:rFonts w:ascii="Arial" w:hAnsi="Arial" w:cs="Arial"/>
            <w:color w:val="0000FF"/>
            <w:sz w:val="18"/>
            <w:szCs w:val="18"/>
          </w:rPr>
          <w:t xml:space="preserve"> 164 F.3d 120, 122 (2d Cir.1999)</w:t>
        </w:r>
      </w:hyperlink>
      <w:r w:rsidR="00A62E3B" w:rsidRPr="0019267D">
        <w:rPr>
          <w:rFonts w:ascii="Arial" w:hAnsi="Arial" w:cs="Arial"/>
          <w:color w:val="000000"/>
          <w:sz w:val="18"/>
          <w:szCs w:val="18"/>
        </w:rPr>
        <w:t xml:space="preserve">; </w:t>
      </w:r>
      <w:hyperlink r:id="rId200" w:history="1">
        <w:r w:rsidR="00A62E3B" w:rsidRPr="0019267D">
          <w:rPr>
            <w:rFonts w:ascii="Arial" w:hAnsi="Arial" w:cs="Arial"/>
            <w:i/>
            <w:iCs/>
            <w:color w:val="0000FF"/>
            <w:sz w:val="18"/>
            <w:szCs w:val="18"/>
          </w:rPr>
          <w:t>United States v. Darby,</w:t>
        </w:r>
      </w:hyperlink>
      <w:hyperlink r:id="rId201" w:history="1">
        <w:r w:rsidR="00A62E3B" w:rsidRPr="0019267D">
          <w:rPr>
            <w:rFonts w:ascii="Arial" w:hAnsi="Arial" w:cs="Arial"/>
            <w:color w:val="0000FF"/>
            <w:sz w:val="18"/>
            <w:szCs w:val="18"/>
          </w:rPr>
          <w:t xml:space="preserve"> 37 F.3d 1059, 1066 (4th Cir.1994)</w:t>
        </w:r>
      </w:hyperlink>
      <w:r w:rsidR="00A62E3B" w:rsidRPr="0019267D">
        <w:rPr>
          <w:rFonts w:ascii="Arial" w:hAnsi="Arial" w:cs="Arial"/>
          <w:color w:val="000000"/>
          <w:sz w:val="18"/>
          <w:szCs w:val="18"/>
        </w:rPr>
        <w:t xml:space="preserve">; </w:t>
      </w:r>
      <w:hyperlink r:id="rId202" w:history="1">
        <w:r w:rsidR="00A62E3B" w:rsidRPr="0019267D">
          <w:rPr>
            <w:rFonts w:ascii="Arial" w:hAnsi="Arial" w:cs="Arial"/>
            <w:i/>
            <w:iCs/>
            <w:color w:val="0000FF"/>
            <w:sz w:val="18"/>
            <w:szCs w:val="18"/>
          </w:rPr>
          <w:t>United States v. Myers,</w:t>
        </w:r>
      </w:hyperlink>
      <w:hyperlink r:id="rId203" w:history="1">
        <w:r w:rsidR="00A62E3B" w:rsidRPr="0019267D">
          <w:rPr>
            <w:rFonts w:ascii="Arial" w:hAnsi="Arial" w:cs="Arial"/>
            <w:color w:val="0000FF"/>
            <w:sz w:val="18"/>
            <w:szCs w:val="18"/>
          </w:rPr>
          <w:t xml:space="preserve"> 104 F.3d 76, 80–81 (5th Cir.1997)</w:t>
        </w:r>
      </w:hyperlink>
      <w:r w:rsidR="00A62E3B" w:rsidRPr="0019267D">
        <w:rPr>
          <w:rFonts w:ascii="Arial" w:hAnsi="Arial" w:cs="Arial"/>
          <w:color w:val="000000"/>
          <w:sz w:val="18"/>
          <w:szCs w:val="18"/>
        </w:rPr>
        <w:t xml:space="preserve">; </w:t>
      </w:r>
      <w:hyperlink r:id="rId204" w:history="1">
        <w:r w:rsidR="00A62E3B" w:rsidRPr="0019267D">
          <w:rPr>
            <w:rFonts w:ascii="Arial" w:hAnsi="Arial" w:cs="Arial"/>
            <w:i/>
            <w:iCs/>
            <w:color w:val="0000FF"/>
            <w:sz w:val="18"/>
            <w:szCs w:val="18"/>
          </w:rPr>
          <w:t>United States v. DeAndino,</w:t>
        </w:r>
      </w:hyperlink>
      <w:hyperlink r:id="rId205" w:history="1">
        <w:r w:rsidR="00A62E3B" w:rsidRPr="0019267D">
          <w:rPr>
            <w:rFonts w:ascii="Arial" w:hAnsi="Arial" w:cs="Arial"/>
            <w:color w:val="0000FF"/>
            <w:sz w:val="18"/>
            <w:szCs w:val="18"/>
          </w:rPr>
          <w:t xml:space="preserve"> 958 F.2d 146, 148 (6th Cir.1992)</w:t>
        </w:r>
      </w:hyperlink>
      <w:r w:rsidR="00A62E3B" w:rsidRPr="0019267D">
        <w:rPr>
          <w:rFonts w:ascii="Arial" w:hAnsi="Arial" w:cs="Arial"/>
          <w:color w:val="000000"/>
          <w:sz w:val="18"/>
          <w:szCs w:val="18"/>
        </w:rPr>
        <w:t xml:space="preserve">; </w:t>
      </w:r>
      <w:hyperlink r:id="rId206" w:history="1">
        <w:r w:rsidR="00A62E3B" w:rsidRPr="0019267D">
          <w:rPr>
            <w:rFonts w:ascii="Arial" w:hAnsi="Arial" w:cs="Arial"/>
            <w:i/>
            <w:iCs/>
            <w:color w:val="0000FF"/>
            <w:sz w:val="18"/>
            <w:szCs w:val="18"/>
          </w:rPr>
          <w:t>United States v. Schneider,</w:t>
        </w:r>
      </w:hyperlink>
      <w:hyperlink r:id="rId207" w:history="1">
        <w:r w:rsidR="00A62E3B" w:rsidRPr="0019267D">
          <w:rPr>
            <w:rFonts w:ascii="Arial" w:hAnsi="Arial" w:cs="Arial"/>
            <w:color w:val="0000FF"/>
            <w:sz w:val="18"/>
            <w:szCs w:val="18"/>
          </w:rPr>
          <w:t xml:space="preserve"> 910 F.2d 1569, 1570 (7th Cir.1990)</w:t>
        </w:r>
      </w:hyperlink>
      <w:r w:rsidR="00A62E3B" w:rsidRPr="0019267D">
        <w:rPr>
          <w:rFonts w:ascii="Arial" w:hAnsi="Arial" w:cs="Arial"/>
          <w:color w:val="000000"/>
          <w:sz w:val="18"/>
          <w:szCs w:val="18"/>
        </w:rPr>
        <w:t xml:space="preserve">; </w:t>
      </w:r>
      <w:hyperlink r:id="rId208" w:history="1">
        <w:r w:rsidR="00A62E3B" w:rsidRPr="0019267D">
          <w:rPr>
            <w:rFonts w:ascii="Arial" w:hAnsi="Arial" w:cs="Arial"/>
            <w:i/>
            <w:iCs/>
            <w:color w:val="0000FF"/>
            <w:sz w:val="18"/>
            <w:szCs w:val="18"/>
          </w:rPr>
          <w:t>United States v. Manning,</w:t>
        </w:r>
      </w:hyperlink>
      <w:hyperlink r:id="rId209" w:history="1">
        <w:r w:rsidR="00A62E3B" w:rsidRPr="0019267D">
          <w:rPr>
            <w:rFonts w:ascii="Arial" w:hAnsi="Arial" w:cs="Arial"/>
            <w:color w:val="0000FF"/>
            <w:sz w:val="18"/>
            <w:szCs w:val="18"/>
          </w:rPr>
          <w:t xml:space="preserve"> 923 F.2d 83, 86 (8th Cir.1991)</w:t>
        </w:r>
      </w:hyperlink>
      <w:r w:rsidR="00A62E3B" w:rsidRPr="0019267D">
        <w:rPr>
          <w:rFonts w:ascii="Arial" w:hAnsi="Arial" w:cs="Arial"/>
          <w:color w:val="000000"/>
          <w:sz w:val="18"/>
          <w:szCs w:val="18"/>
        </w:rPr>
        <w:t xml:space="preserve">; </w:t>
      </w:r>
      <w:hyperlink r:id="rId210" w:history="1">
        <w:r w:rsidR="00A62E3B" w:rsidRPr="0019267D">
          <w:rPr>
            <w:rFonts w:ascii="Arial" w:hAnsi="Arial" w:cs="Arial"/>
            <w:i/>
            <w:iCs/>
            <w:color w:val="0000FF"/>
            <w:sz w:val="18"/>
            <w:szCs w:val="18"/>
          </w:rPr>
          <w:t>United States v. Hart,</w:t>
        </w:r>
      </w:hyperlink>
      <w:hyperlink r:id="rId211" w:history="1">
        <w:r w:rsidR="00A62E3B" w:rsidRPr="0019267D">
          <w:rPr>
            <w:rFonts w:ascii="Arial" w:hAnsi="Arial" w:cs="Arial"/>
            <w:color w:val="0000FF"/>
            <w:sz w:val="18"/>
            <w:szCs w:val="18"/>
          </w:rPr>
          <w:t xml:space="preserve"> 457 F.2d 1087, 1091 (10th Cir.1972)</w:t>
        </w:r>
      </w:hyperlink>
      <w:r w:rsidR="00A62E3B" w:rsidRPr="0019267D">
        <w:rPr>
          <w:rFonts w:ascii="Arial" w:hAnsi="Arial" w:cs="Arial"/>
          <w:color w:val="000000"/>
          <w:sz w:val="18"/>
          <w:szCs w:val="18"/>
        </w:rPr>
        <w:t xml:space="preserve">; </w:t>
      </w:r>
      <w:hyperlink r:id="rId212" w:history="1">
        <w:r w:rsidR="00A62E3B" w:rsidRPr="0019267D">
          <w:rPr>
            <w:rFonts w:ascii="Arial" w:hAnsi="Arial" w:cs="Arial"/>
            <w:i/>
            <w:iCs/>
            <w:color w:val="0000FF"/>
            <w:sz w:val="18"/>
            <w:szCs w:val="18"/>
          </w:rPr>
          <w:t>United States v. Callahan,</w:t>
        </w:r>
      </w:hyperlink>
      <w:hyperlink r:id="rId213" w:history="1">
        <w:r w:rsidR="00A62E3B" w:rsidRPr="0019267D">
          <w:rPr>
            <w:rFonts w:ascii="Arial" w:hAnsi="Arial" w:cs="Arial"/>
            <w:color w:val="0000FF"/>
            <w:sz w:val="18"/>
            <w:szCs w:val="18"/>
          </w:rPr>
          <w:t xml:space="preserve"> 702 F.2d 964, 965 (11th Cir.1983)</w:t>
        </w:r>
      </w:hyperlink>
      <w:r w:rsidR="00A62E3B" w:rsidRPr="0019267D">
        <w:rPr>
          <w:rFonts w:ascii="Arial" w:hAnsi="Arial" w:cs="Arial"/>
          <w:color w:val="000000"/>
          <w:sz w:val="18"/>
          <w:szCs w:val="18"/>
        </w:rPr>
        <w:t xml:space="preserve">; </w:t>
      </w:r>
      <w:hyperlink r:id="rId214" w:history="1">
        <w:r w:rsidR="00A62E3B" w:rsidRPr="0019267D">
          <w:rPr>
            <w:rFonts w:ascii="Arial" w:hAnsi="Arial" w:cs="Arial"/>
            <w:i/>
            <w:iCs/>
            <w:color w:val="0000FF"/>
            <w:sz w:val="18"/>
            <w:szCs w:val="18"/>
          </w:rPr>
          <w:t>Metz v. Dep't of Treasury,</w:t>
        </w:r>
      </w:hyperlink>
      <w:hyperlink r:id="rId215" w:history="1">
        <w:r w:rsidR="00A62E3B" w:rsidRPr="0019267D">
          <w:rPr>
            <w:rFonts w:ascii="Arial" w:hAnsi="Arial" w:cs="Arial"/>
            <w:color w:val="0000FF"/>
            <w:sz w:val="18"/>
            <w:szCs w:val="18"/>
          </w:rPr>
          <w:t xml:space="preserve"> 780 F.2d 1001, 1002 (Fed.Cir.1986)</w:t>
        </w:r>
      </w:hyperlink>
      <w:r w:rsidR="00A62E3B" w:rsidRPr="0019267D">
        <w:rPr>
          <w:rFonts w:ascii="Arial" w:hAnsi="Arial" w:cs="Arial"/>
          <w:color w:val="000000"/>
          <w:sz w:val="18"/>
          <w:szCs w:val="18"/>
        </w:rPr>
        <w:t>.</w:t>
      </w:r>
    </w:p>
    <w:p w14:paraId="754F5E4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0DFCF37"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“prohibition on true threats ‘protect[s] individuals from the fear of violence’ and ‘from the disruption that fear engenders,’ in addition to protecting people ‘from the possibility that the threatened violence will occur.’ ” </w:t>
      </w:r>
      <w:hyperlink r:id="rId216" w:history="1">
        <w:r w:rsidRPr="0019267D">
          <w:rPr>
            <w:rFonts w:ascii="Arial" w:hAnsi="Arial" w:cs="Arial"/>
            <w:i/>
            <w:iCs/>
            <w:color w:val="0000FF"/>
            <w:sz w:val="18"/>
            <w:szCs w:val="18"/>
          </w:rPr>
          <w:t>Id.</w:t>
        </w:r>
      </w:hyperlink>
      <w:hyperlink r:id="rId217" w:history="1">
        <w:r w:rsidRPr="0019267D">
          <w:rPr>
            <w:rFonts w:ascii="Arial" w:hAnsi="Arial" w:cs="Arial"/>
            <w:color w:val="0000FF"/>
            <w:sz w:val="18"/>
            <w:szCs w:val="18"/>
          </w:rPr>
          <w:t xml:space="preserve"> at 360, 123 S.Ct. 1536</w:t>
        </w:r>
      </w:hyperlink>
      <w:r w:rsidRPr="0019267D">
        <w:rPr>
          <w:rFonts w:ascii="Arial" w:hAnsi="Arial" w:cs="Arial"/>
          <w:color w:val="000000"/>
          <w:sz w:val="18"/>
          <w:szCs w:val="18"/>
        </w:rPr>
        <w:t xml:space="preserve"> (quoting </w:t>
      </w:r>
      <w:hyperlink r:id="rId218" w:history="1">
        <w:r w:rsidRPr="0019267D">
          <w:rPr>
            <w:rFonts w:ascii="Arial" w:hAnsi="Arial" w:cs="Arial"/>
            <w:i/>
            <w:iCs/>
            <w:color w:val="0000FF"/>
            <w:sz w:val="18"/>
            <w:szCs w:val="18"/>
          </w:rPr>
          <w:t>R.A. V.,</w:t>
        </w:r>
      </w:hyperlink>
      <w:hyperlink r:id="rId219" w:history="1">
        <w:r w:rsidRPr="0019267D">
          <w:rPr>
            <w:rFonts w:ascii="Arial" w:hAnsi="Arial" w:cs="Arial"/>
            <w:color w:val="0000FF"/>
            <w:sz w:val="18"/>
            <w:szCs w:val="18"/>
          </w:rPr>
          <w:t xml:space="preserve"> 505 U.S. at 388, 112 S.Ct. 2538).</w:t>
        </w:r>
      </w:hyperlink>
      <w:r w:rsidRPr="0019267D">
        <w:rPr>
          <w:rFonts w:ascii="Arial" w:hAnsi="Arial" w:cs="Arial"/>
          <w:color w:val="000000"/>
          <w:sz w:val="18"/>
          <w:szCs w:val="18"/>
        </w:rPr>
        <w:t xml:space="preserve"> Limiting the definition of true threats to only those statements where the speaker subjectively intended to threaten would fail to protect individuals from “the fear of violence” and the “disruption that fear engenders,” because it would protect speech that a reasonable speaker would understand to be threatening. </w:t>
      </w:r>
      <w:hyperlink r:id="rId220" w:history="1">
        <w:r w:rsidRPr="0019267D">
          <w:rPr>
            <w:rFonts w:ascii="Arial" w:hAnsi="Arial" w:cs="Arial"/>
            <w:i/>
            <w:iCs/>
            <w:color w:val="0000FF"/>
            <w:sz w:val="18"/>
            <w:szCs w:val="18"/>
          </w:rPr>
          <w:t>Id.</w:t>
        </w:r>
      </w:hyperlink>
    </w:p>
    <w:p w14:paraId="251D1E2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91AF90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further contends the unconstitutionality of the prima facie evidence provision in </w:t>
      </w:r>
      <w:hyperlink r:id="rId221"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indicates a subjective intent to threaten is required. The Court found the fact that the defendant burned a cross could not be prima facie evidence of intent to intimidate. </w:t>
      </w:r>
      <w:hyperlink r:id="rId222" w:history="1">
        <w:r w:rsidRPr="0019267D">
          <w:rPr>
            <w:rFonts w:ascii="Arial" w:hAnsi="Arial" w:cs="Arial"/>
            <w:i/>
            <w:iCs/>
            <w:color w:val="0000FF"/>
            <w:sz w:val="18"/>
            <w:szCs w:val="18"/>
          </w:rPr>
          <w:t>Id.</w:t>
        </w:r>
      </w:hyperlink>
      <w:hyperlink r:id="rId223" w:history="1">
        <w:r w:rsidRPr="0019267D">
          <w:rPr>
            <w:rFonts w:ascii="Arial" w:hAnsi="Arial" w:cs="Arial"/>
            <w:color w:val="0000FF"/>
            <w:sz w:val="18"/>
            <w:szCs w:val="18"/>
          </w:rPr>
          <w:t xml:space="preserve"> at 364–65, 123 S.Ct. 1536.</w:t>
        </w:r>
      </w:hyperlink>
      <w:r w:rsidRPr="0019267D">
        <w:rPr>
          <w:rFonts w:ascii="Arial" w:hAnsi="Arial" w:cs="Arial"/>
          <w:color w:val="000000"/>
          <w:sz w:val="18"/>
          <w:szCs w:val="18"/>
        </w:rPr>
        <w:t xml:space="preserve"> The Court explained that while cross burning was often employed as intimidation or a threat of physical violence against others, it could also function as a symbol of solidarity for those within the white supremacist movement. </w:t>
      </w:r>
      <w:hyperlink r:id="rId224" w:history="1">
        <w:r w:rsidRPr="0019267D">
          <w:rPr>
            <w:rFonts w:ascii="Arial" w:hAnsi="Arial" w:cs="Arial"/>
            <w:i/>
            <w:iCs/>
            <w:color w:val="0000FF"/>
            <w:sz w:val="18"/>
            <w:szCs w:val="18"/>
          </w:rPr>
          <w:t>Id.</w:t>
        </w:r>
      </w:hyperlink>
      <w:hyperlink r:id="rId225" w:history="1">
        <w:r w:rsidRPr="0019267D">
          <w:rPr>
            <w:rFonts w:ascii="Arial" w:hAnsi="Arial" w:cs="Arial"/>
            <w:color w:val="0000FF"/>
            <w:sz w:val="18"/>
            <w:szCs w:val="18"/>
          </w:rPr>
          <w:t xml:space="preserve"> at 365–66, 123 S.Ct. 1536.</w:t>
        </w:r>
      </w:hyperlink>
      <w:r w:rsidRPr="0019267D">
        <w:rPr>
          <w:rFonts w:ascii="Arial" w:hAnsi="Arial" w:cs="Arial"/>
          <w:color w:val="000000"/>
          <w:sz w:val="18"/>
          <w:szCs w:val="18"/>
        </w:rPr>
        <w:t xml:space="preserve"> Less frequently, crosses had been burned outside of the white supremacist context, such as stage performances. </w:t>
      </w:r>
      <w:hyperlink r:id="rId226" w:history="1">
        <w:r w:rsidRPr="0019267D">
          <w:rPr>
            <w:rFonts w:ascii="Arial" w:hAnsi="Arial" w:cs="Arial"/>
            <w:i/>
            <w:iCs/>
            <w:color w:val="0000FF"/>
            <w:sz w:val="18"/>
            <w:szCs w:val="18"/>
          </w:rPr>
          <w:t>Id.</w:t>
        </w:r>
      </w:hyperlink>
      <w:hyperlink r:id="rId227" w:history="1">
        <w:r w:rsidRPr="0019267D">
          <w:rPr>
            <w:rFonts w:ascii="Arial" w:hAnsi="Arial" w:cs="Arial"/>
            <w:color w:val="0000FF"/>
            <w:sz w:val="18"/>
            <w:szCs w:val="18"/>
          </w:rPr>
          <w:t xml:space="preserve"> at 366, 123 S.Ct. 1536.</w:t>
        </w:r>
      </w:hyperlink>
      <w:r w:rsidRPr="0019267D">
        <w:rPr>
          <w:rFonts w:ascii="Arial" w:hAnsi="Arial" w:cs="Arial"/>
          <w:color w:val="000000"/>
          <w:sz w:val="18"/>
          <w:szCs w:val="18"/>
        </w:rPr>
        <w:t xml:space="preserve"> Since the burning of a cross could have a constitutionally-protected political message as well as a threatening message, the prima facie evidence provision failed to distinguish protected speech from unprotected threats. Furthermore, the prima facie evidence provision denied defendants the right to not put on a defense, since the prosecution did not have to produce any evidence of intent to intimidate, which was an element of the crime. </w:t>
      </w:r>
      <w:hyperlink r:id="rId228" w:history="1">
        <w:r w:rsidRPr="0019267D">
          <w:rPr>
            <w:rFonts w:ascii="Arial" w:hAnsi="Arial" w:cs="Arial"/>
            <w:i/>
            <w:iCs/>
            <w:color w:val="0000FF"/>
            <w:sz w:val="18"/>
            <w:szCs w:val="18"/>
          </w:rPr>
          <w:t>Id.</w:t>
        </w:r>
      </w:hyperlink>
      <w:hyperlink r:id="rId229" w:history="1">
        <w:r w:rsidRPr="0019267D">
          <w:rPr>
            <w:rFonts w:ascii="Arial" w:hAnsi="Arial" w:cs="Arial"/>
            <w:color w:val="0000FF"/>
            <w:sz w:val="18"/>
            <w:szCs w:val="18"/>
          </w:rPr>
          <w:t xml:space="preserve"> at 364–65, 123 S.Ct. 1536.</w:t>
        </w:r>
      </w:hyperlink>
    </w:p>
    <w:p w14:paraId="4AD0DA6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958450A"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32031595240" w:history="1">
        <w:r w:rsidR="00A62E3B" w:rsidRPr="0019267D">
          <w:rPr>
            <w:rFonts w:ascii="Arial" w:hAnsi="Arial" w:cs="Arial"/>
            <w:color w:val="0000FF"/>
            <w:sz w:val="18"/>
            <w:szCs w:val="18"/>
          </w:rPr>
          <w:t>[3]</w:t>
        </w:r>
      </w:hyperlink>
      <w:bookmarkStart w:id="33" w:name="Document1zzB32031595240"/>
      <w:bookmarkEnd w:id="33"/>
      <w:r w:rsidR="00A62E3B" w:rsidRPr="0019267D">
        <w:rPr>
          <w:rFonts w:ascii="Arial" w:hAnsi="Arial" w:cs="Arial"/>
          <w:color w:val="000000"/>
          <w:sz w:val="18"/>
          <w:szCs w:val="18"/>
        </w:rPr>
        <w:t xml:space="preserve"> We do not find that the unconstitutionality of Virginia's prima facie evidence provision means the true threats exception requires a subjective intent to threaten. First, the prima facie evidence provision did not allow the factfinder to consider the context to construe the meaning of the conduct, </w:t>
      </w:r>
      <w:hyperlink r:id="rId230" w:history="1">
        <w:r w:rsidR="00A62E3B" w:rsidRPr="0019267D">
          <w:rPr>
            <w:rFonts w:ascii="Arial" w:hAnsi="Arial" w:cs="Arial"/>
            <w:i/>
            <w:iCs/>
            <w:color w:val="0000FF"/>
            <w:sz w:val="18"/>
            <w:szCs w:val="18"/>
          </w:rPr>
          <w:t>id.</w:t>
        </w:r>
      </w:hyperlink>
      <w:hyperlink r:id="rId231" w:history="1">
        <w:r w:rsidR="00A62E3B" w:rsidRPr="0019267D">
          <w:rPr>
            <w:rFonts w:ascii="Arial" w:hAnsi="Arial" w:cs="Arial"/>
            <w:color w:val="0000FF"/>
            <w:sz w:val="18"/>
            <w:szCs w:val="18"/>
          </w:rPr>
          <w:t xml:space="preserve"> at 365–66, 123 S.Ct. 1536,</w:t>
        </w:r>
      </w:hyperlink>
      <w:r w:rsidR="00A62E3B" w:rsidRPr="0019267D">
        <w:rPr>
          <w:rFonts w:ascii="Arial" w:hAnsi="Arial" w:cs="Arial"/>
          <w:color w:val="000000"/>
          <w:sz w:val="18"/>
          <w:szCs w:val="18"/>
        </w:rPr>
        <w:t xml:space="preserve"> whereas the reasonable person standard does encompass context to determine whether the statement was a serious expression of intent to inflict bodily harm. Second, cross-burning is conduct that may or may not convey a meaning, as opposed to the language in this case which has inherent meaning in addition to the meaning derived from context. Finally, the prima facie evidence provision violated the defendant's due process rights to not put on a defense, because the defendant could be convicted even when the prosecution had not proven all the elements of the crime. </w:t>
      </w:r>
      <w:hyperlink r:id="rId232" w:history="1">
        <w:r w:rsidR="00A62E3B" w:rsidRPr="0019267D">
          <w:rPr>
            <w:rFonts w:ascii="Arial" w:hAnsi="Arial" w:cs="Arial"/>
            <w:i/>
            <w:iCs/>
            <w:color w:val="0000FF"/>
            <w:sz w:val="18"/>
            <w:szCs w:val="18"/>
          </w:rPr>
          <w:t>Id.</w:t>
        </w:r>
      </w:hyperlink>
      <w:r w:rsidR="00A62E3B" w:rsidRPr="0019267D">
        <w:rPr>
          <w:rFonts w:ascii="Arial" w:hAnsi="Arial" w:cs="Arial"/>
          <w:color w:val="000000"/>
          <w:sz w:val="18"/>
          <w:szCs w:val="18"/>
        </w:rPr>
        <w:t xml:space="preserve"> That is not an issue here because the government had to prove that a reasonable person would foresee Elonis's statements would be understood as threats.</w:t>
      </w:r>
    </w:p>
    <w:p w14:paraId="5A5D685F"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C79F940"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majority of circuits that have considered this question have not found the Supreme Court decision in </w:t>
      </w:r>
      <w:hyperlink r:id="rId233"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to require a subjective intent to threaten. </w:t>
      </w:r>
      <w:r w:rsidRPr="0019267D">
        <w:rPr>
          <w:rFonts w:ascii="Arial" w:hAnsi="Arial" w:cs="Arial"/>
          <w:i/>
          <w:iCs/>
          <w:color w:val="000000"/>
          <w:sz w:val="18"/>
          <w:szCs w:val="18"/>
        </w:rPr>
        <w:t xml:space="preserve">See </w:t>
      </w:r>
      <w:hyperlink r:id="rId234" w:history="1">
        <w:r w:rsidRPr="0019267D">
          <w:rPr>
            <w:rFonts w:ascii="Arial" w:hAnsi="Arial" w:cs="Arial"/>
            <w:i/>
            <w:iCs/>
            <w:color w:val="0000FF"/>
            <w:sz w:val="18"/>
            <w:szCs w:val="18"/>
          </w:rPr>
          <w:t>United States v. White,</w:t>
        </w:r>
      </w:hyperlink>
      <w:hyperlink r:id="rId235" w:history="1">
        <w:r w:rsidRPr="0019267D">
          <w:rPr>
            <w:rFonts w:ascii="Arial" w:hAnsi="Arial" w:cs="Arial"/>
            <w:color w:val="0000FF"/>
            <w:sz w:val="18"/>
            <w:szCs w:val="18"/>
          </w:rPr>
          <w:t xml:space="preserve"> 670 F.3d 498, 508 (4th Cir.2012)</w:t>
        </w:r>
      </w:hyperlink>
      <w:r w:rsidRPr="0019267D">
        <w:rPr>
          <w:rFonts w:ascii="Arial" w:hAnsi="Arial" w:cs="Arial"/>
          <w:color w:val="000000"/>
          <w:sz w:val="18"/>
          <w:szCs w:val="18"/>
        </w:rPr>
        <w:t xml:space="preserve"> (“A careful reading of the requirements of </w:t>
      </w:r>
      <w:hyperlink r:id="rId236"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together with the definition from </w:t>
      </w:r>
      <w:hyperlink r:id="rId237"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does not, in our opinion, lead to the conclusion that </w:t>
      </w:r>
      <w:hyperlink r:id="rId238"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introduced a specific-intent-to-threaten requirement into </w:t>
      </w:r>
      <w:hyperlink r:id="rId239"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w:t>
      </w:r>
      <w:hyperlink r:id="rId240" w:history="1">
        <w:r w:rsidRPr="0019267D">
          <w:rPr>
            <w:rFonts w:ascii="Arial" w:hAnsi="Arial" w:cs="Arial"/>
            <w:i/>
            <w:iCs/>
            <w:color w:val="0000FF"/>
            <w:sz w:val="18"/>
            <w:szCs w:val="18"/>
          </w:rPr>
          <w:t>United States v. Jeffries,</w:t>
        </w:r>
      </w:hyperlink>
      <w:hyperlink r:id="rId241" w:history="1">
        <w:r w:rsidRPr="0019267D">
          <w:rPr>
            <w:rFonts w:ascii="Arial" w:hAnsi="Arial" w:cs="Arial"/>
            <w:color w:val="0000FF"/>
            <w:sz w:val="18"/>
            <w:szCs w:val="18"/>
          </w:rPr>
          <w:t xml:space="preserve"> 692 F.3d 473, 479 (6th Cir.2012)</w:t>
        </w:r>
      </w:hyperlink>
      <w:r w:rsidRPr="0019267D">
        <w:rPr>
          <w:rFonts w:ascii="Arial" w:hAnsi="Arial" w:cs="Arial"/>
          <w:color w:val="000000"/>
          <w:sz w:val="18"/>
          <w:szCs w:val="18"/>
        </w:rPr>
        <w:t xml:space="preserve"> (“[T]he position reads too much into </w:t>
      </w:r>
      <w:hyperlink r:id="rId242" w:history="1">
        <w:r w:rsidRPr="0019267D">
          <w:rPr>
            <w:rFonts w:ascii="Arial" w:hAnsi="Arial" w:cs="Arial"/>
            <w:i/>
            <w:iCs/>
            <w:color w:val="0000FF"/>
            <w:sz w:val="18"/>
            <w:szCs w:val="18"/>
          </w:rPr>
          <w:t>Black</w:t>
        </w:r>
      </w:hyperlink>
      <w:r w:rsidRPr="0019267D">
        <w:rPr>
          <w:rFonts w:ascii="Arial" w:hAnsi="Arial" w:cs="Arial"/>
          <w:color w:val="000000"/>
          <w:sz w:val="18"/>
          <w:szCs w:val="18"/>
        </w:rPr>
        <w:t>.”);</w:t>
      </w:r>
      <w:r w:rsidRPr="0019267D">
        <w:rPr>
          <w:rFonts w:ascii="Arial" w:hAnsi="Arial" w:cs="Arial"/>
          <w:i/>
          <w:iCs/>
          <w:color w:val="000000"/>
          <w:sz w:val="18"/>
          <w:szCs w:val="18"/>
        </w:rPr>
        <w:t xml:space="preserve"> </w:t>
      </w:r>
      <w:hyperlink r:id="rId243" w:history="1">
        <w:r w:rsidRPr="0019267D">
          <w:rPr>
            <w:rFonts w:ascii="Arial" w:hAnsi="Arial" w:cs="Arial"/>
            <w:i/>
            <w:iCs/>
            <w:color w:val="0000FF"/>
            <w:sz w:val="18"/>
            <w:szCs w:val="18"/>
          </w:rPr>
          <w:t>United States v. Mabie,</w:t>
        </w:r>
      </w:hyperlink>
      <w:hyperlink r:id="rId244" w:history="1">
        <w:r w:rsidRPr="0019267D">
          <w:rPr>
            <w:rFonts w:ascii="Arial" w:hAnsi="Arial" w:cs="Arial"/>
            <w:color w:val="0000FF"/>
            <w:sz w:val="18"/>
            <w:szCs w:val="18"/>
          </w:rPr>
          <w:t xml:space="preserve"> 663 F.3d 322, 332–33 (8th Cir.2011)</w:t>
        </w:r>
      </w:hyperlink>
      <w:r w:rsidRPr="0019267D">
        <w:rPr>
          <w:rFonts w:ascii="Arial" w:hAnsi="Arial" w:cs="Arial"/>
          <w:color w:val="000000"/>
          <w:sz w:val="18"/>
          <w:szCs w:val="18"/>
        </w:rPr>
        <w:t xml:space="preserve">, </w:t>
      </w:r>
      <w:r w:rsidRPr="0019267D">
        <w:rPr>
          <w:rFonts w:ascii="Arial" w:hAnsi="Arial" w:cs="Arial"/>
          <w:i/>
          <w:iCs/>
          <w:color w:val="000000"/>
          <w:sz w:val="18"/>
          <w:szCs w:val="18"/>
        </w:rPr>
        <w:t>cert. denied,</w:t>
      </w:r>
      <w:r w:rsidRPr="0019267D">
        <w:rPr>
          <w:rFonts w:ascii="Arial" w:hAnsi="Arial" w:cs="Arial"/>
          <w:color w:val="000000"/>
          <w:sz w:val="18"/>
          <w:szCs w:val="18"/>
        </w:rPr>
        <w:t xml:space="preserve"> </w:t>
      </w:r>
      <w:hyperlink r:id="rId245" w:history="1">
        <w:r w:rsidRPr="0019267D">
          <w:rPr>
            <w:rFonts w:ascii="Arial" w:hAnsi="Arial" w:cs="Arial"/>
            <w:color w:val="0000FF"/>
            <w:sz w:val="18"/>
            <w:szCs w:val="18"/>
          </w:rPr>
          <w:t>––– U.S. ––––, 133 S.Ct. 107, 184 L.Ed.2d 50 (2012)</w:t>
        </w:r>
      </w:hyperlink>
      <w:r w:rsidRPr="0019267D">
        <w:rPr>
          <w:rFonts w:ascii="Arial" w:hAnsi="Arial" w:cs="Arial"/>
          <w:color w:val="000000"/>
          <w:sz w:val="18"/>
          <w:szCs w:val="18"/>
        </w:rPr>
        <w:t xml:space="preserve"> (noting the objective test had been applied many times after </w:t>
      </w:r>
      <w:hyperlink r:id="rId246"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 </w:t>
      </w:r>
      <w:hyperlink w:anchor="Document1zzB00662031595240" w:history="1">
        <w:r w:rsidRPr="0019267D">
          <w:rPr>
            <w:rFonts w:ascii="Arial" w:hAnsi="Arial" w:cs="Arial"/>
            <w:color w:val="0000FF"/>
            <w:sz w:val="18"/>
            <w:szCs w:val="18"/>
            <w:vertAlign w:val="superscript"/>
          </w:rPr>
          <w:t>FN6</w:t>
        </w:r>
      </w:hyperlink>
      <w:bookmarkStart w:id="34" w:name="Document1zzF00662031595240"/>
      <w:bookmarkEnd w:id="34"/>
      <w:r w:rsidRPr="0019267D">
        <w:rPr>
          <w:rFonts w:ascii="Arial" w:hAnsi="Arial" w:cs="Arial"/>
          <w:color w:val="000000"/>
          <w:sz w:val="18"/>
          <w:szCs w:val="18"/>
        </w:rPr>
        <w:t xml:space="preserve">; </w:t>
      </w:r>
      <w:hyperlink r:id="rId247" w:history="1">
        <w:r w:rsidRPr="0019267D">
          <w:rPr>
            <w:rFonts w:ascii="Arial" w:hAnsi="Arial" w:cs="Arial"/>
            <w:i/>
            <w:iCs/>
            <w:color w:val="0000FF"/>
            <w:sz w:val="18"/>
            <w:szCs w:val="18"/>
          </w:rPr>
          <w:t>United States v. Nicklas,</w:t>
        </w:r>
      </w:hyperlink>
      <w:hyperlink r:id="rId248" w:history="1">
        <w:r w:rsidRPr="0019267D">
          <w:rPr>
            <w:rFonts w:ascii="Arial" w:hAnsi="Arial" w:cs="Arial"/>
            <w:color w:val="0000FF"/>
            <w:sz w:val="18"/>
            <w:szCs w:val="18"/>
          </w:rPr>
          <w:t xml:space="preserve"> 713 F.3d 435, 440 (8th Cir.2013)</w:t>
        </w:r>
      </w:hyperlink>
      <w:r w:rsidRPr="0019267D">
        <w:rPr>
          <w:rFonts w:ascii="Arial" w:hAnsi="Arial" w:cs="Arial"/>
          <w:color w:val="000000"/>
          <w:sz w:val="18"/>
          <w:szCs w:val="18"/>
        </w:rPr>
        <w:t xml:space="preserve"> (quoting extensively from </w:t>
      </w:r>
      <w:hyperlink r:id="rId249" w:history="1">
        <w:r w:rsidRPr="0019267D">
          <w:rPr>
            <w:rFonts w:ascii="Arial" w:hAnsi="Arial" w:cs="Arial"/>
            <w:i/>
            <w:iCs/>
            <w:color w:val="0000FF"/>
            <w:sz w:val="18"/>
            <w:szCs w:val="18"/>
          </w:rPr>
          <w:t>Jeffries,</w:t>
        </w:r>
      </w:hyperlink>
      <w:r w:rsidRPr="0019267D">
        <w:rPr>
          <w:rFonts w:ascii="Arial" w:hAnsi="Arial" w:cs="Arial"/>
          <w:color w:val="000000"/>
          <w:sz w:val="18"/>
          <w:szCs w:val="18"/>
        </w:rPr>
        <w:t xml:space="preserve"> the court “concluded </w:t>
      </w:r>
      <w:hyperlink r:id="rId250"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does not require the government to prove a defendant specifically intended his or her statements to be threatening”).</w:t>
      </w:r>
    </w:p>
    <w:p w14:paraId="7E5BE5F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691124A"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662031595240" w:history="1">
        <w:r w:rsidR="00A62E3B" w:rsidRPr="0019267D">
          <w:rPr>
            <w:rFonts w:ascii="Arial" w:hAnsi="Arial" w:cs="Arial"/>
            <w:color w:val="0000FF"/>
            <w:sz w:val="18"/>
            <w:szCs w:val="18"/>
          </w:rPr>
          <w:t>FN6.</w:t>
        </w:r>
      </w:hyperlink>
      <w:bookmarkStart w:id="35" w:name="Document1zzB00662031595240"/>
      <w:bookmarkEnd w:id="35"/>
      <w:r w:rsidR="00A62E3B" w:rsidRPr="0019267D">
        <w:rPr>
          <w:rFonts w:ascii="Arial" w:hAnsi="Arial" w:cs="Arial"/>
          <w:color w:val="000000"/>
          <w:sz w:val="18"/>
          <w:szCs w:val="18"/>
        </w:rPr>
        <w:t xml:space="preserve"> The Eighth Circuit cited the following cases applying an objective standard after the Supreme Court's decision in </w:t>
      </w:r>
      <w:hyperlink r:id="rId251" w:history="1">
        <w:r w:rsidR="00A62E3B" w:rsidRPr="0019267D">
          <w:rPr>
            <w:rFonts w:ascii="Arial" w:hAnsi="Arial" w:cs="Arial"/>
            <w:i/>
            <w:iCs/>
            <w:color w:val="0000FF"/>
            <w:sz w:val="18"/>
            <w:szCs w:val="18"/>
          </w:rPr>
          <w:t>Black:</w:t>
        </w:r>
      </w:hyperlink>
    </w:p>
    <w:p w14:paraId="26775C2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C1711A5" w14:textId="77777777" w:rsidR="00A62E3B" w:rsidRPr="0019267D" w:rsidRDefault="00A62E3B" w:rsidP="00A62E3B">
      <w:pPr>
        <w:widowControl w:val="0"/>
        <w:autoSpaceDE w:val="0"/>
        <w:autoSpaceDN w:val="0"/>
        <w:adjustRightInd w:val="0"/>
        <w:ind w:left="900"/>
        <w:jc w:val="both"/>
        <w:rPr>
          <w:rFonts w:ascii="Arial" w:hAnsi="Arial" w:cs="Arial"/>
          <w:color w:val="000000"/>
          <w:sz w:val="18"/>
          <w:szCs w:val="18"/>
        </w:rPr>
      </w:pPr>
      <w:r w:rsidRPr="0019267D">
        <w:rPr>
          <w:rFonts w:ascii="Arial" w:hAnsi="Arial" w:cs="Arial"/>
          <w:color w:val="000000"/>
          <w:sz w:val="18"/>
          <w:szCs w:val="18"/>
        </w:rPr>
        <w:t xml:space="preserve"> </w:t>
      </w:r>
      <w:hyperlink r:id="rId252" w:history="1">
        <w:r w:rsidRPr="0019267D">
          <w:rPr>
            <w:rFonts w:ascii="Arial" w:hAnsi="Arial" w:cs="Arial"/>
            <w:i/>
            <w:iCs/>
            <w:color w:val="0000FF"/>
            <w:sz w:val="18"/>
            <w:szCs w:val="18"/>
          </w:rPr>
          <w:t>United States v. Beale,</w:t>
        </w:r>
      </w:hyperlink>
      <w:hyperlink r:id="rId253" w:history="1">
        <w:r w:rsidRPr="0019267D">
          <w:rPr>
            <w:rFonts w:ascii="Arial" w:hAnsi="Arial" w:cs="Arial"/>
            <w:color w:val="0000FF"/>
            <w:sz w:val="18"/>
            <w:szCs w:val="18"/>
          </w:rPr>
          <w:t xml:space="preserve"> 620 F.3d 856, 865 (8th Cir.2010)</w:t>
        </w:r>
      </w:hyperlink>
      <w:r w:rsidRPr="0019267D">
        <w:rPr>
          <w:rFonts w:ascii="Arial" w:hAnsi="Arial" w:cs="Arial"/>
          <w:color w:val="000000"/>
          <w:sz w:val="18"/>
          <w:szCs w:val="18"/>
        </w:rPr>
        <w:t xml:space="preserve"> ...; </w:t>
      </w:r>
      <w:hyperlink r:id="rId254" w:history="1">
        <w:r w:rsidRPr="0019267D">
          <w:rPr>
            <w:rFonts w:ascii="Arial" w:hAnsi="Arial" w:cs="Arial"/>
            <w:i/>
            <w:iCs/>
            <w:color w:val="0000FF"/>
            <w:sz w:val="18"/>
            <w:szCs w:val="18"/>
          </w:rPr>
          <w:t>United States v. Armel,</w:t>
        </w:r>
      </w:hyperlink>
      <w:hyperlink r:id="rId255" w:history="1">
        <w:r w:rsidRPr="0019267D">
          <w:rPr>
            <w:rFonts w:ascii="Arial" w:hAnsi="Arial" w:cs="Arial"/>
            <w:color w:val="0000FF"/>
            <w:sz w:val="18"/>
            <w:szCs w:val="18"/>
          </w:rPr>
          <w:t xml:space="preserve"> 585 F.3d 182, 185 (4th Cir.2009)</w:t>
        </w:r>
      </w:hyperlink>
      <w:r w:rsidRPr="0019267D">
        <w:rPr>
          <w:rFonts w:ascii="Arial" w:hAnsi="Arial" w:cs="Arial"/>
          <w:color w:val="000000"/>
          <w:sz w:val="18"/>
          <w:szCs w:val="18"/>
        </w:rPr>
        <w:t xml:space="preserve"> (applying an objective test in a true threat analysis); </w:t>
      </w:r>
      <w:hyperlink r:id="rId256" w:history="1">
        <w:r w:rsidRPr="0019267D">
          <w:rPr>
            <w:rFonts w:ascii="Arial" w:hAnsi="Arial" w:cs="Arial"/>
            <w:i/>
            <w:iCs/>
            <w:color w:val="0000FF"/>
            <w:sz w:val="18"/>
            <w:szCs w:val="18"/>
          </w:rPr>
          <w:t>Porter v. Ascension Parish Sch. Bd.,</w:t>
        </w:r>
      </w:hyperlink>
      <w:hyperlink r:id="rId257" w:history="1">
        <w:r w:rsidRPr="0019267D">
          <w:rPr>
            <w:rFonts w:ascii="Arial" w:hAnsi="Arial" w:cs="Arial"/>
            <w:color w:val="0000FF"/>
            <w:sz w:val="18"/>
            <w:szCs w:val="18"/>
          </w:rPr>
          <w:t xml:space="preserve"> 393 F.3d 608, 616–17 (5th Cir.2004)</w:t>
        </w:r>
      </w:hyperlink>
      <w:r w:rsidRPr="0019267D">
        <w:rPr>
          <w:rFonts w:ascii="Arial" w:hAnsi="Arial" w:cs="Arial"/>
          <w:color w:val="000000"/>
          <w:sz w:val="18"/>
          <w:szCs w:val="18"/>
        </w:rPr>
        <w:t xml:space="preserve"> (“[T]o lose the protection of the First Amendment and be lawfully punished, the threat must be intentionally or knowingly </w:t>
      </w:r>
      <w:r w:rsidRPr="0019267D">
        <w:rPr>
          <w:rFonts w:ascii="Arial" w:hAnsi="Arial" w:cs="Arial"/>
          <w:i/>
          <w:iCs/>
          <w:color w:val="000000"/>
          <w:sz w:val="18"/>
          <w:szCs w:val="18"/>
        </w:rPr>
        <w:t>communicated</w:t>
      </w:r>
      <w:r w:rsidRPr="0019267D">
        <w:rPr>
          <w:rFonts w:ascii="Arial" w:hAnsi="Arial" w:cs="Arial"/>
          <w:color w:val="000000"/>
          <w:sz w:val="18"/>
          <w:szCs w:val="18"/>
        </w:rPr>
        <w:t xml:space="preserve"> to either the object of the threat or a third person.”); </w:t>
      </w:r>
      <w:hyperlink r:id="rId258" w:history="1">
        <w:r w:rsidRPr="0019267D">
          <w:rPr>
            <w:rFonts w:ascii="Arial" w:hAnsi="Arial" w:cs="Arial"/>
            <w:i/>
            <w:iCs/>
            <w:color w:val="0000FF"/>
            <w:sz w:val="18"/>
            <w:szCs w:val="18"/>
          </w:rPr>
          <w:t>United States v. Zavrel,</w:t>
        </w:r>
      </w:hyperlink>
      <w:hyperlink r:id="rId259" w:history="1">
        <w:r w:rsidRPr="0019267D">
          <w:rPr>
            <w:rFonts w:ascii="Arial" w:hAnsi="Arial" w:cs="Arial"/>
            <w:color w:val="0000FF"/>
            <w:sz w:val="18"/>
            <w:szCs w:val="18"/>
          </w:rPr>
          <w:t xml:space="preserve"> 384 F.3d 130, 136 (3d Cir.2004)</w:t>
        </w:r>
      </w:hyperlink>
      <w:r w:rsidRPr="0019267D">
        <w:rPr>
          <w:rFonts w:ascii="Arial" w:hAnsi="Arial" w:cs="Arial"/>
          <w:color w:val="000000"/>
          <w:sz w:val="18"/>
          <w:szCs w:val="18"/>
        </w:rPr>
        <w:t xml:space="preserve"> (applying an objective test in a true threat analysis).</w:t>
      </w:r>
    </w:p>
    <w:p w14:paraId="2C0CB9B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F3E567B" w14:textId="77777777" w:rsidR="00A62E3B" w:rsidRPr="0019267D" w:rsidRDefault="00A62E3B" w:rsidP="00A62E3B">
      <w:pPr>
        <w:widowControl w:val="0"/>
        <w:autoSpaceDE w:val="0"/>
        <w:autoSpaceDN w:val="0"/>
        <w:adjustRightInd w:val="0"/>
        <w:ind w:left="900"/>
        <w:jc w:val="both"/>
        <w:rPr>
          <w:rFonts w:ascii="Arial" w:hAnsi="Arial" w:cs="Arial"/>
          <w:color w:val="000000"/>
          <w:sz w:val="18"/>
          <w:szCs w:val="18"/>
        </w:rPr>
      </w:pPr>
      <w:r w:rsidRPr="0019267D">
        <w:rPr>
          <w:rFonts w:ascii="Arial" w:hAnsi="Arial" w:cs="Arial"/>
          <w:color w:val="000000"/>
          <w:sz w:val="18"/>
          <w:szCs w:val="18"/>
        </w:rPr>
        <w:t xml:space="preserve"> </w:t>
      </w:r>
      <w:hyperlink r:id="rId260" w:history="1">
        <w:r w:rsidRPr="0019267D">
          <w:rPr>
            <w:rFonts w:ascii="Arial" w:hAnsi="Arial" w:cs="Arial"/>
            <w:i/>
            <w:iCs/>
            <w:color w:val="0000FF"/>
            <w:sz w:val="18"/>
            <w:szCs w:val="18"/>
          </w:rPr>
          <w:t>Mabie,</w:t>
        </w:r>
      </w:hyperlink>
      <w:hyperlink r:id="rId261" w:history="1">
        <w:r w:rsidRPr="0019267D">
          <w:rPr>
            <w:rFonts w:ascii="Arial" w:hAnsi="Arial" w:cs="Arial"/>
            <w:color w:val="0000FF"/>
            <w:sz w:val="18"/>
            <w:szCs w:val="18"/>
          </w:rPr>
          <w:t xml:space="preserve"> 663 F.3d at 332</w:t>
        </w:r>
      </w:hyperlink>
      <w:r w:rsidRPr="0019267D">
        <w:rPr>
          <w:rFonts w:ascii="Arial" w:hAnsi="Arial" w:cs="Arial"/>
          <w:color w:val="000000"/>
          <w:sz w:val="18"/>
          <w:szCs w:val="18"/>
        </w:rPr>
        <w:t>.</w:t>
      </w:r>
    </w:p>
    <w:p w14:paraId="1588B03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7DBCC86"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Fourth Circuit in </w:t>
      </w:r>
      <w:hyperlink r:id="rId262" w:history="1">
        <w:r w:rsidRPr="0019267D">
          <w:rPr>
            <w:rFonts w:ascii="Arial" w:hAnsi="Arial" w:cs="Arial"/>
            <w:i/>
            <w:iCs/>
            <w:color w:val="0000FF"/>
            <w:sz w:val="18"/>
            <w:szCs w:val="18"/>
          </w:rPr>
          <w:t>United States v. White</w:t>
        </w:r>
      </w:hyperlink>
      <w:r w:rsidRPr="0019267D">
        <w:rPr>
          <w:rFonts w:ascii="Arial" w:hAnsi="Arial" w:cs="Arial"/>
          <w:color w:val="000000"/>
          <w:sz w:val="18"/>
          <w:szCs w:val="18"/>
        </w:rPr>
        <w:t xml:space="preserve"> considered the same criminal statute, </w:t>
      </w:r>
      <w:hyperlink r:id="rId263"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and found the Court in </w:t>
      </w:r>
      <w:hyperlink r:id="rId264"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“gave no indication it was redefining a general intent crime such as </w:t>
      </w:r>
      <w:hyperlink r:id="rId265"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to be a specific intent crime.” </w:t>
      </w:r>
      <w:hyperlink r:id="rId266" w:history="1">
        <w:r w:rsidRPr="0019267D">
          <w:rPr>
            <w:rFonts w:ascii="Arial" w:hAnsi="Arial" w:cs="Arial"/>
            <w:color w:val="0000FF"/>
            <w:sz w:val="18"/>
            <w:szCs w:val="18"/>
          </w:rPr>
          <w:t>670 F.3d at 509.</w:t>
        </w:r>
      </w:hyperlink>
      <w:r w:rsidRPr="0019267D">
        <w:rPr>
          <w:rFonts w:ascii="Arial" w:hAnsi="Arial" w:cs="Arial"/>
          <w:color w:val="000000"/>
          <w:sz w:val="18"/>
          <w:szCs w:val="18"/>
        </w:rPr>
        <w:t xml:space="preserve"> The Fourth Circuit reasoned that </w:t>
      </w:r>
      <w:hyperlink r:id="rId267"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had analyzed a statute that included a specific intent element, whereas </w:t>
      </w:r>
      <w:hyperlink r:id="rId268"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had consistently been applied as a general intent statute. </w:t>
      </w:r>
      <w:hyperlink r:id="rId269" w:history="1">
        <w:r w:rsidRPr="0019267D">
          <w:rPr>
            <w:rFonts w:ascii="Arial" w:hAnsi="Arial" w:cs="Arial"/>
            <w:i/>
            <w:iCs/>
            <w:color w:val="0000FF"/>
            <w:sz w:val="18"/>
            <w:szCs w:val="18"/>
          </w:rPr>
          <w:t>Id.</w:t>
        </w:r>
      </w:hyperlink>
      <w:hyperlink r:id="rId270" w:history="1">
        <w:r w:rsidRPr="0019267D">
          <w:rPr>
            <w:rFonts w:ascii="Arial" w:hAnsi="Arial" w:cs="Arial"/>
            <w:color w:val="0000FF"/>
            <w:sz w:val="18"/>
            <w:szCs w:val="18"/>
          </w:rPr>
          <w:t xml:space="preserve"> at 508.</w:t>
        </w:r>
      </w:hyperlink>
      <w:r w:rsidRPr="0019267D">
        <w:rPr>
          <w:rFonts w:ascii="Arial" w:hAnsi="Arial" w:cs="Arial"/>
          <w:color w:val="000000"/>
          <w:sz w:val="18"/>
          <w:szCs w:val="18"/>
        </w:rPr>
        <w:t xml:space="preserve"> The court further distinguished </w:t>
      </w:r>
      <w:hyperlink r:id="rId271"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by noting the multiple meanings of cross-burning necessitated a finding of intent to distinguish protected speech from true threats. </w:t>
      </w:r>
      <w:hyperlink r:id="rId272" w:history="1">
        <w:r w:rsidRPr="0019267D">
          <w:rPr>
            <w:rFonts w:ascii="Arial" w:hAnsi="Arial" w:cs="Arial"/>
            <w:i/>
            <w:iCs/>
            <w:color w:val="0000FF"/>
            <w:sz w:val="18"/>
            <w:szCs w:val="18"/>
          </w:rPr>
          <w:t>Id.</w:t>
        </w:r>
      </w:hyperlink>
      <w:hyperlink r:id="rId273" w:history="1">
        <w:r w:rsidRPr="0019267D">
          <w:rPr>
            <w:rFonts w:ascii="Arial" w:hAnsi="Arial" w:cs="Arial"/>
            <w:color w:val="0000FF"/>
            <w:sz w:val="18"/>
            <w:szCs w:val="18"/>
          </w:rPr>
          <w:t xml:space="preserve"> at 511.</w:t>
        </w:r>
      </w:hyperlink>
      <w:r w:rsidRPr="0019267D">
        <w:rPr>
          <w:rFonts w:ascii="Arial" w:hAnsi="Arial" w:cs="Arial"/>
          <w:color w:val="000000"/>
          <w:sz w:val="18"/>
          <w:szCs w:val="18"/>
        </w:rPr>
        <w:t xml:space="preserve"> The court in </w:t>
      </w:r>
      <w:hyperlink r:id="rId274" w:history="1">
        <w:r w:rsidRPr="0019267D">
          <w:rPr>
            <w:rFonts w:ascii="Arial" w:hAnsi="Arial" w:cs="Arial"/>
            <w:i/>
            <w:iCs/>
            <w:color w:val="0000FF"/>
            <w:sz w:val="18"/>
            <w:szCs w:val="18"/>
          </w:rPr>
          <w:t>White</w:t>
        </w:r>
      </w:hyperlink>
      <w:r w:rsidRPr="0019267D">
        <w:rPr>
          <w:rFonts w:ascii="Arial" w:hAnsi="Arial" w:cs="Arial"/>
          <w:color w:val="000000"/>
          <w:sz w:val="18"/>
          <w:szCs w:val="18"/>
        </w:rPr>
        <w:t xml:space="preserve"> found this same problem did not exist for threatening language because it has no First Amendment value. </w:t>
      </w:r>
      <w:hyperlink r:id="rId275"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Finally, the court found the general intent standard for </w:t>
      </w:r>
      <w:hyperlink r:id="rId276"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offenses did not chill “statements of jest or political hyperbole” because “any such statements will, under the objective test, always be protected by the consideration of the context and of how a reasonable recipient would understand the statement.” </w:t>
      </w:r>
      <w:hyperlink r:id="rId277" w:history="1">
        <w:r w:rsidRPr="0019267D">
          <w:rPr>
            <w:rFonts w:ascii="Arial" w:hAnsi="Arial" w:cs="Arial"/>
            <w:i/>
            <w:iCs/>
            <w:color w:val="0000FF"/>
            <w:sz w:val="18"/>
            <w:szCs w:val="18"/>
          </w:rPr>
          <w:t>Id.</w:t>
        </w:r>
      </w:hyperlink>
      <w:hyperlink r:id="rId278" w:history="1">
        <w:r w:rsidRPr="0019267D">
          <w:rPr>
            <w:rFonts w:ascii="Arial" w:hAnsi="Arial" w:cs="Arial"/>
            <w:color w:val="0000FF"/>
            <w:sz w:val="18"/>
            <w:szCs w:val="18"/>
          </w:rPr>
          <w:t xml:space="preserve"> at 509.</w:t>
        </w:r>
      </w:hyperlink>
      <w:hyperlink w:anchor="Document1zzB00772031595240" w:history="1">
        <w:r w:rsidRPr="0019267D">
          <w:rPr>
            <w:rFonts w:ascii="Arial" w:hAnsi="Arial" w:cs="Arial"/>
            <w:color w:val="0000FF"/>
            <w:sz w:val="18"/>
            <w:szCs w:val="18"/>
            <w:vertAlign w:val="superscript"/>
          </w:rPr>
          <w:t>FN7</w:t>
        </w:r>
      </w:hyperlink>
      <w:bookmarkStart w:id="36" w:name="Document1zzF00772031595240"/>
      <w:bookmarkEnd w:id="36"/>
    </w:p>
    <w:p w14:paraId="0641F52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B6726D9"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772031595240" w:history="1">
        <w:r w:rsidR="00A62E3B" w:rsidRPr="0019267D">
          <w:rPr>
            <w:rFonts w:ascii="Arial" w:hAnsi="Arial" w:cs="Arial"/>
            <w:color w:val="0000FF"/>
            <w:sz w:val="18"/>
            <w:szCs w:val="18"/>
          </w:rPr>
          <w:t>FN7.</w:t>
        </w:r>
      </w:hyperlink>
      <w:bookmarkStart w:id="37" w:name="Document1zzB00772031595240"/>
      <w:bookmarkEnd w:id="37"/>
      <w:r w:rsidR="00A62E3B" w:rsidRPr="0019267D">
        <w:rPr>
          <w:rFonts w:ascii="Arial" w:hAnsi="Arial" w:cs="Arial"/>
          <w:color w:val="000000"/>
          <w:sz w:val="18"/>
          <w:szCs w:val="18"/>
        </w:rPr>
        <w:t xml:space="preserve"> The Fourth Circuit test focuses on the reasonable recipient, but our test asks whether a reasonable speaker would foresee the statement would be understood as a threat.</w:t>
      </w:r>
    </w:p>
    <w:p w14:paraId="2F4A1D7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9590E69"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279" w:history="1">
        <w:r w:rsidRPr="0019267D">
          <w:rPr>
            <w:rFonts w:ascii="Arial" w:hAnsi="Arial" w:cs="Arial"/>
            <w:i/>
            <w:iCs/>
            <w:color w:val="0000FF"/>
            <w:sz w:val="18"/>
            <w:szCs w:val="18"/>
          </w:rPr>
          <w:t>United States v. Jeffries</w:t>
        </w:r>
      </w:hyperlink>
      <w:r w:rsidRPr="0019267D">
        <w:rPr>
          <w:rFonts w:ascii="Arial" w:hAnsi="Arial" w:cs="Arial"/>
          <w:color w:val="000000"/>
          <w:sz w:val="18"/>
          <w:szCs w:val="18"/>
        </w:rPr>
        <w:t xml:space="preserve"> the Sixth Circuit agreed that </w:t>
      </w:r>
      <w:hyperlink r:id="rId280"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does not require a subjective intent to threaten to convict under </w:t>
      </w:r>
      <w:hyperlink r:id="rId281"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w:t>
      </w:r>
      <w:hyperlink r:id="rId282" w:history="1">
        <w:r w:rsidRPr="0019267D">
          <w:rPr>
            <w:rFonts w:ascii="Arial" w:hAnsi="Arial" w:cs="Arial"/>
            <w:color w:val="0000FF"/>
            <w:sz w:val="18"/>
            <w:szCs w:val="18"/>
          </w:rPr>
          <w:t>692 F.3d at 479.</w:t>
        </w:r>
      </w:hyperlink>
      <w:r w:rsidRPr="0019267D">
        <w:rPr>
          <w:rFonts w:ascii="Arial" w:hAnsi="Arial" w:cs="Arial"/>
          <w:color w:val="000000"/>
          <w:sz w:val="18"/>
          <w:szCs w:val="18"/>
        </w:rPr>
        <w:t xml:space="preserve"> Because </w:t>
      </w:r>
      <w:hyperlink r:id="rId283"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interpreted a statute that already had a subjective intent requirement, the Sixth Circuit found the Court was not presented with the question whether an objective intent standard is constitutional. </w:t>
      </w:r>
      <w:hyperlink r:id="rId284" w:history="1">
        <w:r w:rsidRPr="0019267D">
          <w:rPr>
            <w:rFonts w:ascii="Arial" w:hAnsi="Arial" w:cs="Arial"/>
            <w:i/>
            <w:iCs/>
            <w:color w:val="0000FF"/>
            <w:sz w:val="18"/>
            <w:szCs w:val="18"/>
          </w:rPr>
          <w:t>Id.</w:t>
        </w:r>
      </w:hyperlink>
      <w:r w:rsidRPr="0019267D">
        <w:rPr>
          <w:rFonts w:ascii="Arial" w:hAnsi="Arial" w:cs="Arial"/>
          <w:i/>
          <w:iCs/>
          <w:color w:val="000000"/>
          <w:sz w:val="18"/>
          <w:szCs w:val="18"/>
        </w:rPr>
        <w:t xml:space="preserve"> </w:t>
      </w:r>
      <w:hyperlink r:id="rId285" w:history="1">
        <w:r w:rsidRPr="0019267D">
          <w:rPr>
            <w:rFonts w:ascii="Arial" w:hAnsi="Arial" w:cs="Arial"/>
            <w:i/>
            <w:iCs/>
            <w:color w:val="0000FF"/>
            <w:sz w:val="18"/>
            <w:szCs w:val="18"/>
          </w:rPr>
          <w:t>Jeffries</w:t>
        </w:r>
      </w:hyperlink>
      <w:r w:rsidRPr="0019267D">
        <w:rPr>
          <w:rFonts w:ascii="Arial" w:hAnsi="Arial" w:cs="Arial"/>
          <w:color w:val="000000"/>
          <w:sz w:val="18"/>
          <w:szCs w:val="18"/>
        </w:rPr>
        <w:t xml:space="preserve"> also found that the Court's ruling on the prima facie evidence provision did not address the specific intent question because “the statute lacked any standard at all.” </w:t>
      </w:r>
      <w:hyperlink r:id="rId286" w:history="1">
        <w:r w:rsidRPr="0019267D">
          <w:rPr>
            <w:rFonts w:ascii="Arial" w:hAnsi="Arial" w:cs="Arial"/>
            <w:i/>
            <w:iCs/>
            <w:color w:val="0000FF"/>
            <w:sz w:val="18"/>
            <w:szCs w:val="18"/>
          </w:rPr>
          <w:t>Id.</w:t>
        </w:r>
      </w:hyperlink>
      <w:hyperlink r:id="rId287" w:history="1">
        <w:r w:rsidRPr="0019267D">
          <w:rPr>
            <w:rFonts w:ascii="Arial" w:hAnsi="Arial" w:cs="Arial"/>
            <w:color w:val="0000FF"/>
            <w:sz w:val="18"/>
            <w:szCs w:val="18"/>
          </w:rPr>
          <w:t xml:space="preserve"> at 479–80.</w:t>
        </w:r>
      </w:hyperlink>
      <w:r w:rsidRPr="0019267D">
        <w:rPr>
          <w:rFonts w:ascii="Arial" w:hAnsi="Arial" w:cs="Arial"/>
          <w:color w:val="000000"/>
          <w:sz w:val="18"/>
          <w:szCs w:val="18"/>
        </w:rPr>
        <w:t xml:space="preserve"> Like the Fourth Circuit in </w:t>
      </w:r>
      <w:hyperlink r:id="rId288" w:history="1">
        <w:r w:rsidRPr="0019267D">
          <w:rPr>
            <w:rFonts w:ascii="Arial" w:hAnsi="Arial" w:cs="Arial"/>
            <w:i/>
            <w:iCs/>
            <w:color w:val="0000FF"/>
            <w:sz w:val="18"/>
            <w:szCs w:val="18"/>
          </w:rPr>
          <w:t>White,</w:t>
        </w:r>
      </w:hyperlink>
      <w:r w:rsidRPr="0019267D">
        <w:rPr>
          <w:rFonts w:ascii="Arial" w:hAnsi="Arial" w:cs="Arial"/>
          <w:color w:val="000000"/>
          <w:sz w:val="18"/>
          <w:szCs w:val="18"/>
        </w:rPr>
        <w:t xml:space="preserve"> the Sixth Circuit explained that the prima facie evidence provision failed to distinguish between protected speech and threats by not allowing for consideration of any contextual factors. </w:t>
      </w:r>
      <w:hyperlink r:id="rId289" w:history="1">
        <w:r w:rsidRPr="0019267D">
          <w:rPr>
            <w:rFonts w:ascii="Arial" w:hAnsi="Arial" w:cs="Arial"/>
            <w:i/>
            <w:iCs/>
            <w:color w:val="0000FF"/>
            <w:sz w:val="18"/>
            <w:szCs w:val="18"/>
          </w:rPr>
          <w:t>Id.</w:t>
        </w:r>
      </w:hyperlink>
      <w:hyperlink r:id="rId290" w:history="1">
        <w:r w:rsidRPr="0019267D">
          <w:rPr>
            <w:rFonts w:ascii="Arial" w:hAnsi="Arial" w:cs="Arial"/>
            <w:color w:val="0000FF"/>
            <w:sz w:val="18"/>
            <w:szCs w:val="18"/>
          </w:rPr>
          <w:t xml:space="preserve"> at 480.</w:t>
        </w:r>
      </w:hyperlink>
      <w:r w:rsidRPr="0019267D">
        <w:rPr>
          <w:rFonts w:ascii="Arial" w:hAnsi="Arial" w:cs="Arial"/>
          <w:color w:val="000000"/>
          <w:sz w:val="18"/>
          <w:szCs w:val="18"/>
        </w:rPr>
        <w:t xml:space="preserve"> In contrast, “[t]he reasonable-person standard winnows out protected speech because, instead of ignoring context, it forces jurors to examine the circumstances in which a statement is made.” </w:t>
      </w:r>
      <w:hyperlink r:id="rId291"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 Ninth Circuit took a different view, and found the true threats definition in </w:t>
      </w:r>
      <w:hyperlink r:id="rId292" w:history="1">
        <w:r w:rsidRPr="0019267D">
          <w:rPr>
            <w:rFonts w:ascii="Arial" w:hAnsi="Arial" w:cs="Arial"/>
            <w:i/>
            <w:iCs/>
            <w:color w:val="0000FF"/>
            <w:sz w:val="18"/>
            <w:szCs w:val="18"/>
          </w:rPr>
          <w:t>Black</w:t>
        </w:r>
      </w:hyperlink>
      <w:r w:rsidRPr="0019267D">
        <w:rPr>
          <w:rFonts w:ascii="Arial" w:hAnsi="Arial" w:cs="Arial"/>
          <w:color w:val="000000"/>
          <w:sz w:val="18"/>
          <w:szCs w:val="18"/>
        </w:rPr>
        <w:t xml:space="preserve"> requires the speaker both intend to communicate and “intend for his language to </w:t>
      </w:r>
      <w:r w:rsidRPr="0019267D">
        <w:rPr>
          <w:rFonts w:ascii="Arial" w:hAnsi="Arial" w:cs="Arial"/>
          <w:i/>
          <w:iCs/>
          <w:color w:val="000000"/>
          <w:sz w:val="18"/>
          <w:szCs w:val="18"/>
        </w:rPr>
        <w:t>threaten</w:t>
      </w:r>
      <w:r w:rsidRPr="0019267D">
        <w:rPr>
          <w:rFonts w:ascii="Arial" w:hAnsi="Arial" w:cs="Arial"/>
          <w:color w:val="000000"/>
          <w:sz w:val="18"/>
          <w:szCs w:val="18"/>
        </w:rPr>
        <w:t xml:space="preserve"> the victim.” </w:t>
      </w:r>
      <w:hyperlink r:id="rId293" w:history="1">
        <w:r w:rsidRPr="0019267D">
          <w:rPr>
            <w:rFonts w:ascii="Arial" w:hAnsi="Arial" w:cs="Arial"/>
            <w:i/>
            <w:iCs/>
            <w:color w:val="0000FF"/>
            <w:sz w:val="18"/>
            <w:szCs w:val="18"/>
          </w:rPr>
          <w:t>United States v. Cassel,</w:t>
        </w:r>
      </w:hyperlink>
      <w:hyperlink r:id="rId294" w:history="1">
        <w:r w:rsidRPr="0019267D">
          <w:rPr>
            <w:rFonts w:ascii="Arial" w:hAnsi="Arial" w:cs="Arial"/>
            <w:color w:val="0000FF"/>
            <w:sz w:val="18"/>
            <w:szCs w:val="18"/>
          </w:rPr>
          <w:t xml:space="preserve"> 408 F.3d 622, 631 (9th Cir.2005)</w:t>
        </w:r>
      </w:hyperlink>
      <w:r w:rsidRPr="0019267D">
        <w:rPr>
          <w:rFonts w:ascii="Arial" w:hAnsi="Arial" w:cs="Arial"/>
          <w:color w:val="000000"/>
          <w:sz w:val="18"/>
          <w:szCs w:val="18"/>
        </w:rPr>
        <w:t xml:space="preserve">. The Ninth Circuit reasoned that the unconstitutionality of the prima facie provision meant that the Court required a finding of intent to threaten for all speech labeled as “true threats,” and not just cross burning. </w:t>
      </w:r>
      <w:hyperlink r:id="rId295" w:history="1">
        <w:r w:rsidRPr="0019267D">
          <w:rPr>
            <w:rFonts w:ascii="Arial" w:hAnsi="Arial" w:cs="Arial"/>
            <w:i/>
            <w:iCs/>
            <w:color w:val="0000FF"/>
            <w:sz w:val="18"/>
            <w:szCs w:val="18"/>
          </w:rPr>
          <w:t>Id.</w:t>
        </w:r>
      </w:hyperlink>
      <w:hyperlink r:id="rId296" w:history="1">
        <w:r w:rsidRPr="0019267D">
          <w:rPr>
            <w:rFonts w:ascii="Arial" w:hAnsi="Arial" w:cs="Arial"/>
            <w:color w:val="0000FF"/>
            <w:sz w:val="18"/>
            <w:szCs w:val="18"/>
          </w:rPr>
          <w:t xml:space="preserve"> at 631–32</w:t>
        </w:r>
      </w:hyperlink>
      <w:r w:rsidRPr="0019267D">
        <w:rPr>
          <w:rFonts w:ascii="Arial" w:hAnsi="Arial" w:cs="Arial"/>
          <w:color w:val="000000"/>
          <w:sz w:val="18"/>
          <w:szCs w:val="18"/>
        </w:rPr>
        <w:t xml:space="preserve"> (“[T]he prima facie evidence provision rendered the statute facially unconstitutional because it effectively eliminated the intent requirement.”). “We are therefore bound to conclude that speech may be deemed unprotected by the First Amendment as a ‘true threat’ only upon proof that the speaker subjectively intended the speech as a threat.” </w:t>
      </w:r>
      <w:hyperlink r:id="rId297" w:history="1">
        <w:r w:rsidRPr="0019267D">
          <w:rPr>
            <w:rFonts w:ascii="Arial" w:hAnsi="Arial" w:cs="Arial"/>
            <w:i/>
            <w:iCs/>
            <w:color w:val="0000FF"/>
            <w:sz w:val="18"/>
            <w:szCs w:val="18"/>
          </w:rPr>
          <w:t>Id.</w:t>
        </w:r>
      </w:hyperlink>
      <w:hyperlink r:id="rId298" w:history="1">
        <w:r w:rsidRPr="0019267D">
          <w:rPr>
            <w:rFonts w:ascii="Arial" w:hAnsi="Arial" w:cs="Arial"/>
            <w:color w:val="0000FF"/>
            <w:sz w:val="18"/>
            <w:szCs w:val="18"/>
          </w:rPr>
          <w:t xml:space="preserve"> at 633.</w:t>
        </w:r>
      </w:hyperlink>
      <w:hyperlink w:anchor="Document1zzB00882031595240" w:history="1">
        <w:r w:rsidRPr="0019267D">
          <w:rPr>
            <w:rFonts w:ascii="Arial" w:hAnsi="Arial" w:cs="Arial"/>
            <w:color w:val="0000FF"/>
            <w:sz w:val="18"/>
            <w:szCs w:val="18"/>
            <w:vertAlign w:val="superscript"/>
          </w:rPr>
          <w:t>FN8</w:t>
        </w:r>
      </w:hyperlink>
      <w:bookmarkStart w:id="38" w:name="Document1zzF00882031595240"/>
      <w:bookmarkEnd w:id="38"/>
    </w:p>
    <w:p w14:paraId="788AA41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9C6E1CB"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882031595240" w:history="1">
        <w:r w:rsidR="00A62E3B" w:rsidRPr="0019267D">
          <w:rPr>
            <w:rFonts w:ascii="Arial" w:hAnsi="Arial" w:cs="Arial"/>
            <w:color w:val="0000FF"/>
            <w:sz w:val="18"/>
            <w:szCs w:val="18"/>
          </w:rPr>
          <w:t>FN8.</w:t>
        </w:r>
      </w:hyperlink>
      <w:bookmarkStart w:id="39" w:name="Document1zzB00882031595240"/>
      <w:bookmarkEnd w:id="39"/>
      <w:r w:rsidR="00A62E3B" w:rsidRPr="0019267D">
        <w:rPr>
          <w:rFonts w:ascii="Arial" w:hAnsi="Arial" w:cs="Arial"/>
          <w:color w:val="000000"/>
          <w:sz w:val="18"/>
          <w:szCs w:val="18"/>
        </w:rPr>
        <w:t xml:space="preserve"> Similarly, in </w:t>
      </w:r>
      <w:hyperlink r:id="rId299" w:history="1">
        <w:r w:rsidR="00A62E3B" w:rsidRPr="0019267D">
          <w:rPr>
            <w:rFonts w:ascii="Arial" w:hAnsi="Arial" w:cs="Arial"/>
            <w:i/>
            <w:iCs/>
            <w:color w:val="0000FF"/>
            <w:sz w:val="18"/>
            <w:szCs w:val="18"/>
          </w:rPr>
          <w:t>United States v. Bagdasarian</w:t>
        </w:r>
      </w:hyperlink>
      <w:r w:rsidR="00A62E3B" w:rsidRPr="0019267D">
        <w:rPr>
          <w:rFonts w:ascii="Arial" w:hAnsi="Arial" w:cs="Arial"/>
          <w:color w:val="000000"/>
          <w:sz w:val="18"/>
          <w:szCs w:val="18"/>
        </w:rPr>
        <w:t xml:space="preserve"> the Ninth Circuit wrote in dicta that, in light of </w:t>
      </w:r>
      <w:hyperlink r:id="rId300" w:history="1">
        <w:r w:rsidR="00A62E3B" w:rsidRPr="0019267D">
          <w:rPr>
            <w:rFonts w:ascii="Arial" w:hAnsi="Arial" w:cs="Arial"/>
            <w:i/>
            <w:iCs/>
            <w:color w:val="0000FF"/>
            <w:sz w:val="18"/>
            <w:szCs w:val="18"/>
          </w:rPr>
          <w:t>Black</w:t>
        </w:r>
      </w:hyperlink>
      <w:r w:rsidR="00A62E3B" w:rsidRPr="0019267D">
        <w:rPr>
          <w:rFonts w:ascii="Arial" w:hAnsi="Arial" w:cs="Arial"/>
          <w:i/>
          <w:iCs/>
          <w:color w:val="000000"/>
          <w:sz w:val="18"/>
          <w:szCs w:val="18"/>
        </w:rPr>
        <w:t>, “[a]</w:t>
      </w:r>
      <w:r w:rsidR="00A62E3B" w:rsidRPr="0019267D">
        <w:rPr>
          <w:rFonts w:ascii="Arial" w:hAnsi="Arial" w:cs="Arial"/>
          <w:color w:val="000000"/>
          <w:sz w:val="18"/>
          <w:szCs w:val="18"/>
        </w:rPr>
        <w:t xml:space="preserve"> statement that the speaker does not intend as a threat is afforded constitutional protection and cannot be held criminal.” </w:t>
      </w:r>
      <w:hyperlink r:id="rId301" w:history="1">
        <w:r w:rsidR="00A62E3B" w:rsidRPr="0019267D">
          <w:rPr>
            <w:rFonts w:ascii="Arial" w:hAnsi="Arial" w:cs="Arial"/>
            <w:color w:val="0000FF"/>
            <w:sz w:val="18"/>
            <w:szCs w:val="18"/>
          </w:rPr>
          <w:t>652 F.3d 1113, 1122 (9th Cir.2011)</w:t>
        </w:r>
      </w:hyperlink>
      <w:r w:rsidR="00A62E3B" w:rsidRPr="0019267D">
        <w:rPr>
          <w:rFonts w:ascii="Arial" w:hAnsi="Arial" w:cs="Arial"/>
          <w:color w:val="000000"/>
          <w:sz w:val="18"/>
          <w:szCs w:val="18"/>
        </w:rPr>
        <w:t>.</w:t>
      </w:r>
    </w:p>
    <w:p w14:paraId="5DD1334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DA9722D"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42031595240" w:history="1">
        <w:r w:rsidR="00A62E3B" w:rsidRPr="0019267D">
          <w:rPr>
            <w:rFonts w:ascii="Arial" w:hAnsi="Arial" w:cs="Arial"/>
            <w:color w:val="0000FF"/>
            <w:sz w:val="18"/>
            <w:szCs w:val="18"/>
          </w:rPr>
          <w:t>[4]</w:t>
        </w:r>
      </w:hyperlink>
      <w:bookmarkStart w:id="40" w:name="Document1zzB42031595240"/>
      <w:bookmarkEnd w:id="40"/>
      <w:r w:rsidR="00A62E3B" w:rsidRPr="0019267D">
        <w:rPr>
          <w:rFonts w:ascii="Arial" w:hAnsi="Arial" w:cs="Arial"/>
          <w:color w:val="000000"/>
          <w:sz w:val="18"/>
          <w:szCs w:val="18"/>
        </w:rPr>
        <w:t xml:space="preserve"> Regardless of the state of the law in the Ninth Circuit, we find that </w:t>
      </w:r>
      <w:hyperlink r:id="rId302" w:history="1">
        <w:r w:rsidR="00A62E3B" w:rsidRPr="0019267D">
          <w:rPr>
            <w:rFonts w:ascii="Arial" w:hAnsi="Arial" w:cs="Arial"/>
            <w:i/>
            <w:iCs/>
            <w:color w:val="0000FF"/>
            <w:sz w:val="18"/>
            <w:szCs w:val="18"/>
          </w:rPr>
          <w:t>Black</w:t>
        </w:r>
      </w:hyperlink>
      <w:r w:rsidR="00A62E3B" w:rsidRPr="0019267D">
        <w:rPr>
          <w:rFonts w:ascii="Arial" w:hAnsi="Arial" w:cs="Arial"/>
          <w:color w:val="000000"/>
          <w:sz w:val="18"/>
          <w:szCs w:val="18"/>
        </w:rPr>
        <w:t xml:space="preserve"> does not alter our precedent. We agree with the Fourth Circuit that </w:t>
      </w:r>
      <w:hyperlink r:id="rId303" w:history="1">
        <w:r w:rsidR="00A62E3B" w:rsidRPr="0019267D">
          <w:rPr>
            <w:rFonts w:ascii="Arial" w:hAnsi="Arial" w:cs="Arial"/>
            <w:i/>
            <w:iCs/>
            <w:color w:val="0000FF"/>
            <w:sz w:val="18"/>
            <w:szCs w:val="18"/>
          </w:rPr>
          <w:t>Black</w:t>
        </w:r>
      </w:hyperlink>
      <w:r w:rsidR="00A62E3B" w:rsidRPr="0019267D">
        <w:rPr>
          <w:rFonts w:ascii="Arial" w:hAnsi="Arial" w:cs="Arial"/>
          <w:color w:val="000000"/>
          <w:sz w:val="18"/>
          <w:szCs w:val="18"/>
        </w:rPr>
        <w:t xml:space="preserve"> does not clearly overturn the objective test the majority of circuits applied to </w:t>
      </w:r>
      <w:hyperlink r:id="rId304" w:history="1">
        <w:r w:rsidR="00A62E3B" w:rsidRPr="0019267D">
          <w:rPr>
            <w:rFonts w:ascii="Arial" w:hAnsi="Arial" w:cs="Arial"/>
            <w:color w:val="0000FF"/>
            <w:sz w:val="18"/>
            <w:szCs w:val="18"/>
          </w:rPr>
          <w:t>§ 875(c)</w:t>
        </w:r>
      </w:hyperlink>
      <w:r w:rsidR="00A62E3B" w:rsidRPr="0019267D">
        <w:rPr>
          <w:rFonts w:ascii="Arial" w:hAnsi="Arial" w:cs="Arial"/>
          <w:color w:val="000000"/>
          <w:sz w:val="18"/>
          <w:szCs w:val="18"/>
        </w:rPr>
        <w:t xml:space="preserve">. </w:t>
      </w:r>
      <w:hyperlink r:id="rId305" w:history="1">
        <w:r w:rsidR="00A62E3B" w:rsidRPr="0019267D">
          <w:rPr>
            <w:rFonts w:ascii="Arial" w:hAnsi="Arial" w:cs="Arial"/>
            <w:i/>
            <w:iCs/>
            <w:color w:val="0000FF"/>
            <w:sz w:val="18"/>
            <w:szCs w:val="18"/>
          </w:rPr>
          <w:t>Black</w:t>
        </w:r>
      </w:hyperlink>
      <w:r w:rsidR="00A62E3B" w:rsidRPr="0019267D">
        <w:rPr>
          <w:rFonts w:ascii="Arial" w:hAnsi="Arial" w:cs="Arial"/>
          <w:color w:val="000000"/>
          <w:sz w:val="18"/>
          <w:szCs w:val="18"/>
        </w:rPr>
        <w:t xml:space="preserve"> does not say that the true threats exception requires a subjective intent to threaten. Furthermore, our standard does require a finding of intent to communicate. The jury had to find Elonis “knowingly and willfully” transmitted a “communication containing ... [a] threat to injure the person of another.” </w:t>
      </w:r>
      <w:hyperlink r:id="rId306" w:history="1">
        <w:r w:rsidR="00A62E3B" w:rsidRPr="0019267D">
          <w:rPr>
            <w:rFonts w:ascii="Arial" w:hAnsi="Arial" w:cs="Arial"/>
            <w:color w:val="0000FF"/>
            <w:sz w:val="18"/>
            <w:szCs w:val="18"/>
          </w:rPr>
          <w:t>18 U.S.C. § 875(c)</w:t>
        </w:r>
      </w:hyperlink>
      <w:r w:rsidR="00A62E3B" w:rsidRPr="0019267D">
        <w:rPr>
          <w:rFonts w:ascii="Arial" w:hAnsi="Arial" w:cs="Arial"/>
          <w:color w:val="000000"/>
          <w:sz w:val="18"/>
          <w:szCs w:val="18"/>
        </w:rPr>
        <w:t xml:space="preserve">. A threat is made “knowingly” as when it is “made intentionally and not [as] the result of mistake, coercion or duress.” </w:t>
      </w:r>
      <w:hyperlink r:id="rId307" w:history="1">
        <w:r w:rsidR="00A62E3B" w:rsidRPr="0019267D">
          <w:rPr>
            <w:rFonts w:ascii="Arial" w:hAnsi="Arial" w:cs="Arial"/>
            <w:i/>
            <w:iCs/>
            <w:color w:val="0000FF"/>
            <w:sz w:val="18"/>
            <w:szCs w:val="18"/>
          </w:rPr>
          <w:t>Kosma,</w:t>
        </w:r>
      </w:hyperlink>
      <w:hyperlink r:id="rId308" w:history="1">
        <w:r w:rsidR="00A62E3B" w:rsidRPr="0019267D">
          <w:rPr>
            <w:rFonts w:ascii="Arial" w:hAnsi="Arial" w:cs="Arial"/>
            <w:color w:val="0000FF"/>
            <w:sz w:val="18"/>
            <w:szCs w:val="18"/>
          </w:rPr>
          <w:t xml:space="preserve"> 951 F.2d at 557</w:t>
        </w:r>
      </w:hyperlink>
      <w:r w:rsidR="00A62E3B" w:rsidRPr="0019267D">
        <w:rPr>
          <w:rFonts w:ascii="Arial" w:hAnsi="Arial" w:cs="Arial"/>
          <w:color w:val="000000"/>
          <w:sz w:val="18"/>
          <w:szCs w:val="18"/>
        </w:rPr>
        <w:t xml:space="preserve"> (quotation omitted). A threat is made willfully when “a reasonable person would foresee that the statement would be interpreted by those to whom the maker communicates the statement as a serious expression of an intention to inflict bodily harm.” </w:t>
      </w:r>
      <w:hyperlink r:id="rId309" w:history="1">
        <w:r w:rsidR="00A62E3B" w:rsidRPr="0019267D">
          <w:rPr>
            <w:rFonts w:ascii="Arial" w:hAnsi="Arial" w:cs="Arial"/>
            <w:i/>
            <w:iCs/>
            <w:color w:val="0000FF"/>
            <w:sz w:val="18"/>
            <w:szCs w:val="18"/>
          </w:rPr>
          <w:t>Id.</w:t>
        </w:r>
      </w:hyperlink>
      <w:r w:rsidR="00A62E3B" w:rsidRPr="0019267D">
        <w:rPr>
          <w:rFonts w:ascii="Arial" w:hAnsi="Arial" w:cs="Arial"/>
          <w:color w:val="000000"/>
          <w:sz w:val="18"/>
          <w:szCs w:val="18"/>
        </w:rPr>
        <w:t xml:space="preserve"> (citation and emphasis omitted). This objective intent standard protects non-threatening speech while addressing the harm caused by true threats. Accordingly, the </w:t>
      </w:r>
      <w:hyperlink r:id="rId310" w:history="1">
        <w:r w:rsidR="00A62E3B" w:rsidRPr="0019267D">
          <w:rPr>
            <w:rFonts w:ascii="Arial" w:hAnsi="Arial" w:cs="Arial"/>
            <w:i/>
            <w:iCs/>
            <w:color w:val="0000FF"/>
            <w:sz w:val="18"/>
            <w:szCs w:val="18"/>
          </w:rPr>
          <w:t>Kosma</w:t>
        </w:r>
      </w:hyperlink>
      <w:r w:rsidR="00A62E3B" w:rsidRPr="0019267D">
        <w:rPr>
          <w:rFonts w:ascii="Arial" w:hAnsi="Arial" w:cs="Arial"/>
          <w:color w:val="000000"/>
          <w:sz w:val="18"/>
          <w:szCs w:val="18"/>
        </w:rPr>
        <w:t xml:space="preserve"> objective intent standard applies to this case and the District Court did not err in instructing the jury.</w:t>
      </w:r>
    </w:p>
    <w:p w14:paraId="288E0F7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CF3863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B.</w:t>
      </w:r>
    </w:p>
    <w:p w14:paraId="5570EB35"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52031595240" w:history="1">
        <w:r w:rsidR="00A62E3B" w:rsidRPr="0019267D">
          <w:rPr>
            <w:rFonts w:ascii="Arial" w:hAnsi="Arial" w:cs="Arial"/>
            <w:color w:val="0000FF"/>
            <w:sz w:val="18"/>
            <w:szCs w:val="18"/>
          </w:rPr>
          <w:t>[5]</w:t>
        </w:r>
      </w:hyperlink>
      <w:bookmarkStart w:id="41" w:name="Document1zzB52031595240"/>
      <w:bookmarkEnd w:id="41"/>
      <w:r w:rsidR="00A62E3B" w:rsidRPr="0019267D">
        <w:rPr>
          <w:rFonts w:ascii="Arial" w:hAnsi="Arial" w:cs="Arial"/>
          <w:color w:val="000000"/>
          <w:sz w:val="18"/>
          <w:szCs w:val="18"/>
        </w:rPr>
        <w:fldChar w:fldCharType="begin"/>
      </w:r>
      <w:r w:rsidR="00A62E3B" w:rsidRPr="0019267D">
        <w:rPr>
          <w:rFonts w:ascii="Arial" w:hAnsi="Arial" w:cs="Arial"/>
          <w:color w:val="000000"/>
          <w:sz w:val="18"/>
          <w:szCs w:val="18"/>
        </w:rPr>
        <w:instrText>HYPERLINK \l "Document1zzF62031595240"</w:instrText>
      </w:r>
      <w:r w:rsidR="00A62E3B" w:rsidRPr="0019267D">
        <w:rPr>
          <w:rFonts w:ascii="Arial" w:hAnsi="Arial" w:cs="Arial"/>
          <w:color w:val="000000"/>
          <w:sz w:val="18"/>
          <w:szCs w:val="18"/>
        </w:rPr>
        <w:fldChar w:fldCharType="separate"/>
      </w:r>
      <w:r w:rsidR="00A62E3B" w:rsidRPr="0019267D">
        <w:rPr>
          <w:rFonts w:ascii="Arial" w:hAnsi="Arial" w:cs="Arial"/>
          <w:color w:val="0000FF"/>
          <w:sz w:val="18"/>
          <w:szCs w:val="18"/>
        </w:rPr>
        <w:t>[6]</w:t>
      </w:r>
      <w:r w:rsidR="00A62E3B" w:rsidRPr="0019267D">
        <w:rPr>
          <w:rFonts w:ascii="Arial" w:hAnsi="Arial" w:cs="Arial"/>
          <w:color w:val="000000"/>
          <w:sz w:val="18"/>
          <w:szCs w:val="18"/>
        </w:rPr>
        <w:fldChar w:fldCharType="end"/>
      </w:r>
      <w:bookmarkStart w:id="42" w:name="Document1zzB62031595240"/>
      <w:bookmarkEnd w:id="42"/>
      <w:r w:rsidR="00A62E3B" w:rsidRPr="0019267D">
        <w:rPr>
          <w:rFonts w:ascii="Arial" w:hAnsi="Arial" w:cs="Arial"/>
          <w:color w:val="000000"/>
          <w:sz w:val="18"/>
          <w:szCs w:val="18"/>
        </w:rPr>
        <w:t xml:space="preserve"> Elonis contends the indictment was insufficient because it did not quote the language of the allegedly threatening </w:t>
      </w:r>
      <w:r w:rsidR="00A62E3B" w:rsidRPr="0019267D">
        <w:rPr>
          <w:rFonts w:ascii="Arial" w:hAnsi="Arial" w:cs="Arial"/>
          <w:color w:val="000000"/>
          <w:sz w:val="18"/>
          <w:szCs w:val="18"/>
        </w:rPr>
        <w:lastRenderedPageBreak/>
        <w:t xml:space="preserve">statements. An indictment “must be a plain, concise, and definite written statement of the essential facts constituting the offense charged.” </w:t>
      </w:r>
      <w:hyperlink r:id="rId311" w:history="1">
        <w:r w:rsidR="00A62E3B" w:rsidRPr="0019267D">
          <w:rPr>
            <w:rFonts w:ascii="Arial" w:hAnsi="Arial" w:cs="Arial"/>
            <w:color w:val="0000FF"/>
            <w:sz w:val="18"/>
            <w:szCs w:val="18"/>
          </w:rPr>
          <w:t>Fed.R.Crim.P. 7(c)(1)</w:t>
        </w:r>
      </w:hyperlink>
      <w:r w:rsidR="00A62E3B" w:rsidRPr="0019267D">
        <w:rPr>
          <w:rFonts w:ascii="Arial" w:hAnsi="Arial" w:cs="Arial"/>
          <w:color w:val="000000"/>
          <w:sz w:val="18"/>
          <w:szCs w:val="18"/>
        </w:rPr>
        <w:t xml:space="preserve">. An indictment is sufficient when it “(1) contains the elements of the offense intended to be charged, (2) sufficiently apprises the defendant of what he must be prepared to meet, and (3) allows the defendant to show with accuracy to what extent he may plead a former acquittal or conviction in the event of a subsequent prosecution.” </w:t>
      </w:r>
      <w:hyperlink r:id="rId312" w:history="1">
        <w:r w:rsidR="00A62E3B" w:rsidRPr="0019267D">
          <w:rPr>
            <w:rFonts w:ascii="Arial" w:hAnsi="Arial" w:cs="Arial"/>
            <w:i/>
            <w:iCs/>
            <w:color w:val="0000FF"/>
            <w:sz w:val="18"/>
            <w:szCs w:val="18"/>
          </w:rPr>
          <w:t>United States v. Vitillo,</w:t>
        </w:r>
      </w:hyperlink>
      <w:hyperlink r:id="rId313" w:history="1">
        <w:r w:rsidR="00A62E3B" w:rsidRPr="0019267D">
          <w:rPr>
            <w:rFonts w:ascii="Arial" w:hAnsi="Arial" w:cs="Arial"/>
            <w:color w:val="0000FF"/>
            <w:sz w:val="18"/>
            <w:szCs w:val="18"/>
          </w:rPr>
          <w:t xml:space="preserve"> 490 F.3d 314, 321 (3d Cir.2007)</w:t>
        </w:r>
      </w:hyperlink>
      <w:r w:rsidR="00A62E3B" w:rsidRPr="0019267D">
        <w:rPr>
          <w:rFonts w:ascii="Arial" w:hAnsi="Arial" w:cs="Arial"/>
          <w:color w:val="000000"/>
          <w:sz w:val="18"/>
          <w:szCs w:val="18"/>
        </w:rPr>
        <w:t xml:space="preserve"> (internal quotations omitted). We have found an indictment is sufficient “where it informs the defendant of the statute he is charged with violating, lists the elements of a violation under the statute, and specifies the time period during which the violations occurred.” </w:t>
      </w:r>
      <w:hyperlink r:id="rId314" w:history="1">
        <w:r w:rsidR="00A62E3B" w:rsidRPr="0019267D">
          <w:rPr>
            <w:rFonts w:ascii="Arial" w:hAnsi="Arial" w:cs="Arial"/>
            <w:i/>
            <w:iCs/>
            <w:color w:val="0000FF"/>
            <w:sz w:val="18"/>
            <w:szCs w:val="18"/>
          </w:rPr>
          <w:t>United States v. Huet,</w:t>
        </w:r>
      </w:hyperlink>
      <w:hyperlink r:id="rId315" w:history="1">
        <w:r w:rsidR="00A62E3B" w:rsidRPr="0019267D">
          <w:rPr>
            <w:rFonts w:ascii="Arial" w:hAnsi="Arial" w:cs="Arial"/>
            <w:color w:val="0000FF"/>
            <w:sz w:val="18"/>
            <w:szCs w:val="18"/>
          </w:rPr>
          <w:t xml:space="preserve"> 665 F.3d 588, 595 (3d Cir.2012)</w:t>
        </w:r>
      </w:hyperlink>
      <w:r w:rsidR="00A62E3B" w:rsidRPr="0019267D">
        <w:rPr>
          <w:rFonts w:ascii="Arial" w:hAnsi="Arial" w:cs="Arial"/>
          <w:color w:val="000000"/>
          <w:sz w:val="18"/>
          <w:szCs w:val="18"/>
        </w:rPr>
        <w:t xml:space="preserve">, </w:t>
      </w:r>
      <w:r w:rsidR="00A62E3B" w:rsidRPr="0019267D">
        <w:rPr>
          <w:rFonts w:ascii="Arial" w:hAnsi="Arial" w:cs="Arial"/>
          <w:i/>
          <w:iCs/>
          <w:color w:val="000000"/>
          <w:sz w:val="18"/>
          <w:szCs w:val="18"/>
        </w:rPr>
        <w:t>cert. denied,</w:t>
      </w:r>
      <w:r w:rsidR="00A62E3B" w:rsidRPr="0019267D">
        <w:rPr>
          <w:rFonts w:ascii="Arial" w:hAnsi="Arial" w:cs="Arial"/>
          <w:color w:val="000000"/>
          <w:sz w:val="18"/>
          <w:szCs w:val="18"/>
        </w:rPr>
        <w:t xml:space="preserve"> </w:t>
      </w:r>
      <w:hyperlink r:id="rId316" w:history="1">
        <w:r w:rsidR="00A62E3B" w:rsidRPr="0019267D">
          <w:rPr>
            <w:rFonts w:ascii="Arial" w:hAnsi="Arial" w:cs="Arial"/>
            <w:color w:val="0000FF"/>
            <w:sz w:val="18"/>
            <w:szCs w:val="18"/>
          </w:rPr>
          <w:t>––– U.S. ––––, 133 S.Ct. 422, 184 L.Ed.2d 256 (2012)</w:t>
        </w:r>
      </w:hyperlink>
      <w:r w:rsidR="00A62E3B" w:rsidRPr="0019267D">
        <w:rPr>
          <w:rFonts w:ascii="Arial" w:hAnsi="Arial" w:cs="Arial"/>
          <w:color w:val="000000"/>
          <w:sz w:val="18"/>
          <w:szCs w:val="18"/>
        </w:rPr>
        <w:t>.</w:t>
      </w:r>
    </w:p>
    <w:p w14:paraId="67FC3A9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2600FF0"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317" w:history="1">
        <w:r w:rsidRPr="0019267D">
          <w:rPr>
            <w:rFonts w:ascii="Arial" w:hAnsi="Arial" w:cs="Arial"/>
            <w:i/>
            <w:iCs/>
            <w:color w:val="0000FF"/>
            <w:sz w:val="18"/>
            <w:szCs w:val="18"/>
          </w:rPr>
          <w:t>Huet</w:t>
        </w:r>
      </w:hyperlink>
      <w:r w:rsidRPr="0019267D">
        <w:rPr>
          <w:rFonts w:ascii="Arial" w:hAnsi="Arial" w:cs="Arial"/>
          <w:color w:val="000000"/>
          <w:sz w:val="18"/>
          <w:szCs w:val="18"/>
        </w:rPr>
        <w:t xml:space="preserve"> we found an indictment for aiding and abetting a felon in possession of a firearm was sufficient because it alleged the previous felony conviction of the principal, the time period of the violation and the specific weapon involved, and alleged the defendant “knowingly aided and abetted Hall's possession of that firearm.” </w:t>
      </w:r>
      <w:hyperlink r:id="rId318" w:history="1">
        <w:r w:rsidRPr="0019267D">
          <w:rPr>
            <w:rFonts w:ascii="Arial" w:hAnsi="Arial" w:cs="Arial"/>
            <w:i/>
            <w:iCs/>
            <w:color w:val="0000FF"/>
            <w:sz w:val="18"/>
            <w:szCs w:val="18"/>
          </w:rPr>
          <w:t>Id.</w:t>
        </w:r>
      </w:hyperlink>
      <w:hyperlink r:id="rId319" w:history="1">
        <w:r w:rsidRPr="0019267D">
          <w:rPr>
            <w:rFonts w:ascii="Arial" w:hAnsi="Arial" w:cs="Arial"/>
            <w:color w:val="0000FF"/>
            <w:sz w:val="18"/>
            <w:szCs w:val="18"/>
          </w:rPr>
          <w:t xml:space="preserve"> at 596.</w:t>
        </w:r>
      </w:hyperlink>
      <w:r w:rsidRPr="0019267D">
        <w:rPr>
          <w:rFonts w:ascii="Arial" w:hAnsi="Arial" w:cs="Arial"/>
          <w:color w:val="000000"/>
          <w:sz w:val="18"/>
          <w:szCs w:val="18"/>
        </w:rPr>
        <w:t xml:space="preserve"> “No more was required to allow Huet to prepare her defense and invoke double jeopardy.” </w:t>
      </w:r>
      <w:hyperlink r:id="rId320" w:history="1">
        <w:r w:rsidRPr="0019267D">
          <w:rPr>
            <w:rFonts w:ascii="Arial" w:hAnsi="Arial" w:cs="Arial"/>
            <w:i/>
            <w:iCs/>
            <w:color w:val="0000FF"/>
            <w:sz w:val="18"/>
            <w:szCs w:val="18"/>
          </w:rPr>
          <w:t>Id.</w:t>
        </w:r>
      </w:hyperlink>
    </w:p>
    <w:p w14:paraId="4A5051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659BAAE"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Eighth Circuit considered an indictment that did not include the verbatim contents of a letter, the date it was written, or the name of the author. </w:t>
      </w:r>
      <w:hyperlink r:id="rId321" w:history="1">
        <w:r w:rsidRPr="0019267D">
          <w:rPr>
            <w:rFonts w:ascii="Arial" w:hAnsi="Arial" w:cs="Arial"/>
            <w:i/>
            <w:iCs/>
            <w:color w:val="0000FF"/>
            <w:sz w:val="18"/>
            <w:szCs w:val="18"/>
          </w:rPr>
          <w:t>Keys v. United States,</w:t>
        </w:r>
      </w:hyperlink>
      <w:hyperlink r:id="rId322" w:history="1">
        <w:r w:rsidRPr="0019267D">
          <w:rPr>
            <w:rFonts w:ascii="Arial" w:hAnsi="Arial" w:cs="Arial"/>
            <w:color w:val="0000FF"/>
            <w:sz w:val="18"/>
            <w:szCs w:val="18"/>
          </w:rPr>
          <w:t xml:space="preserve"> 126 F.2d 181, 184–85 (8th Cir.1942)</w:t>
        </w:r>
      </w:hyperlink>
      <w:r w:rsidRPr="0019267D">
        <w:rPr>
          <w:rFonts w:ascii="Arial" w:hAnsi="Arial" w:cs="Arial"/>
          <w:color w:val="000000"/>
          <w:sz w:val="18"/>
          <w:szCs w:val="18"/>
        </w:rPr>
        <w:t xml:space="preserve">. The indictment for communicating a threat to injure with the intent to extort merely stated the letter threatened to harm the reputation of the victim with intent to extort. </w:t>
      </w:r>
      <w:hyperlink r:id="rId323" w:history="1">
        <w:r w:rsidRPr="0019267D">
          <w:rPr>
            <w:rFonts w:ascii="Arial" w:hAnsi="Arial" w:cs="Arial"/>
            <w:i/>
            <w:iCs/>
            <w:color w:val="0000FF"/>
            <w:sz w:val="18"/>
            <w:szCs w:val="18"/>
          </w:rPr>
          <w:t>Id.</w:t>
        </w:r>
      </w:hyperlink>
      <w:hyperlink r:id="rId324" w:history="1">
        <w:r w:rsidRPr="0019267D">
          <w:rPr>
            <w:rFonts w:ascii="Arial" w:hAnsi="Arial" w:cs="Arial"/>
            <w:color w:val="0000FF"/>
            <w:sz w:val="18"/>
            <w:szCs w:val="18"/>
          </w:rPr>
          <w:t xml:space="preserve"> at 182–83.</w:t>
        </w:r>
      </w:hyperlink>
      <w:r w:rsidRPr="0019267D">
        <w:rPr>
          <w:rFonts w:ascii="Arial" w:hAnsi="Arial" w:cs="Arial"/>
          <w:color w:val="000000"/>
          <w:sz w:val="18"/>
          <w:szCs w:val="18"/>
        </w:rPr>
        <w:t xml:space="preserve"> Since the indictment summarized the contents of the letter, provided the date it was mailed and the name of the addressee, the Eighth Circuit found there could be no confusion as to the elements and subject of the crime. </w:t>
      </w:r>
      <w:hyperlink r:id="rId325" w:history="1">
        <w:r w:rsidRPr="0019267D">
          <w:rPr>
            <w:rFonts w:ascii="Arial" w:hAnsi="Arial" w:cs="Arial"/>
            <w:i/>
            <w:iCs/>
            <w:color w:val="0000FF"/>
            <w:sz w:val="18"/>
            <w:szCs w:val="18"/>
          </w:rPr>
          <w:t>Id.</w:t>
        </w:r>
      </w:hyperlink>
      <w:hyperlink r:id="rId326" w:history="1">
        <w:r w:rsidRPr="0019267D">
          <w:rPr>
            <w:rFonts w:ascii="Arial" w:hAnsi="Arial" w:cs="Arial"/>
            <w:color w:val="0000FF"/>
            <w:sz w:val="18"/>
            <w:szCs w:val="18"/>
          </w:rPr>
          <w:t xml:space="preserve"> at 185</w:t>
        </w:r>
      </w:hyperlink>
      <w:r w:rsidRPr="0019267D">
        <w:rPr>
          <w:rFonts w:ascii="Arial" w:hAnsi="Arial" w:cs="Arial"/>
          <w:color w:val="000000"/>
          <w:sz w:val="18"/>
          <w:szCs w:val="18"/>
        </w:rPr>
        <w:t xml:space="preserve"> (“The fact that the defendant upon reading the indictment recognized the letter referred to and made no objection to the description at the time indicates the want of merit in his present criticism.”).</w:t>
      </w:r>
    </w:p>
    <w:p w14:paraId="3B5B697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CEA0CA4"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To find a violation of </w:t>
      </w:r>
      <w:hyperlink r:id="rId327" w:history="1">
        <w:r w:rsidRPr="0019267D">
          <w:rPr>
            <w:rFonts w:ascii="Arial" w:hAnsi="Arial" w:cs="Arial"/>
            <w:color w:val="0000FF"/>
            <w:sz w:val="18"/>
            <w:szCs w:val="18"/>
          </w:rPr>
          <w:t>18 U.S.C. § 875(c)</w:t>
        </w:r>
      </w:hyperlink>
      <w:r w:rsidRPr="0019267D">
        <w:rPr>
          <w:rFonts w:ascii="Arial" w:hAnsi="Arial" w:cs="Arial"/>
          <w:color w:val="000000"/>
          <w:sz w:val="18"/>
          <w:szCs w:val="18"/>
        </w:rPr>
        <w:t xml:space="preserve"> a defendant must transmit in interstate or foreign commerce a communication containing a threat to injure or kidnap a person. </w:t>
      </w:r>
      <w:hyperlink r:id="rId328" w:history="1">
        <w:r w:rsidRPr="0019267D">
          <w:rPr>
            <w:rFonts w:ascii="Arial" w:hAnsi="Arial" w:cs="Arial"/>
            <w:color w:val="0000FF"/>
            <w:sz w:val="18"/>
            <w:szCs w:val="18"/>
          </w:rPr>
          <w:t>18 U.S.C. § 875(c)</w:t>
        </w:r>
      </w:hyperlink>
      <w:r w:rsidRPr="0019267D">
        <w:rPr>
          <w:rFonts w:ascii="Arial" w:hAnsi="Arial" w:cs="Arial"/>
          <w:color w:val="000000"/>
          <w:sz w:val="18"/>
          <w:szCs w:val="18"/>
        </w:rPr>
        <w:t>. Here the indictment on Count 2 stated:</w:t>
      </w:r>
    </w:p>
    <w:p w14:paraId="79F3C69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815A47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On or about November 6, 2010, through on or about November 15, 2010, in Bethlehem, in the Eastern District of Pennsylvania, and elsewhere, defendant ANTHONY DOUGLAS ELONIS knowingly and willfully transmitted in interstate and foreign commerce, via a computer and the Internet, a communication to others, that is, a communication containing a threat to injure the person of another, specifically, a threat to injure and kill T. E., a person known to the grand jury. In violation of </w:t>
      </w:r>
      <w:hyperlink r:id="rId329" w:history="1">
        <w:r w:rsidRPr="0019267D">
          <w:rPr>
            <w:rFonts w:ascii="Arial" w:hAnsi="Arial" w:cs="Arial"/>
            <w:color w:val="0000FF"/>
            <w:sz w:val="18"/>
            <w:szCs w:val="18"/>
          </w:rPr>
          <w:t>Title 18, United States Code, Section 875(c)</w:t>
        </w:r>
      </w:hyperlink>
      <w:r w:rsidRPr="0019267D">
        <w:rPr>
          <w:rFonts w:ascii="Arial" w:hAnsi="Arial" w:cs="Arial"/>
          <w:color w:val="000000"/>
          <w:sz w:val="18"/>
          <w:szCs w:val="18"/>
        </w:rPr>
        <w:t>.</w:t>
      </w:r>
    </w:p>
    <w:p w14:paraId="1152F90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728DAFC"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indictment on the other counts was identical, but stated each date of the threat, the nature of the threat, and the subjects of the threat. Count 3 alleged “a threat to injure employees of the Pennsylvania State Police and the Berks County Sheriff's Department”; Count 4 alleged “a threat to injure a kindergarten class of elementary school children”; and Count 5 alleged “a threat to injure an agent of the Federal Bureau of Investigation.” Elonis contends the indictment was deficient because they did not include the allegedly threatening statements.</w:t>
      </w:r>
    </w:p>
    <w:p w14:paraId="3565D40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E84129F"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indictment was sufficient because the counts describe the elements of the violation, the nature of the threat, the subject of the threat, and the time period of the alleged violation. For example, Count Four alleged defendant communicated over the internet on November 16, 2010 “a threat to injure a kindergarten class.” If Elonis had already been charged with this statement, the indictment provided enough information to challenge a subsequent prosecution. Based on the indictment, defendant was notified he needed to dispute that the statement was a threat, that he communicated the statement, and that he transmitted the statement through interstate commerce. Moreover, like the defendant in </w:t>
      </w:r>
      <w:hyperlink r:id="rId330" w:history="1">
        <w:r w:rsidRPr="0019267D">
          <w:rPr>
            <w:rFonts w:ascii="Arial" w:hAnsi="Arial" w:cs="Arial"/>
            <w:i/>
            <w:iCs/>
            <w:color w:val="0000FF"/>
            <w:sz w:val="18"/>
            <w:szCs w:val="18"/>
          </w:rPr>
          <w:t>Keys,</w:t>
        </w:r>
      </w:hyperlink>
      <w:r w:rsidRPr="0019267D">
        <w:rPr>
          <w:rFonts w:ascii="Arial" w:hAnsi="Arial" w:cs="Arial"/>
          <w:color w:val="000000"/>
          <w:sz w:val="18"/>
          <w:szCs w:val="18"/>
        </w:rPr>
        <w:t xml:space="preserve"> Elonis was able to identify which internet communications the indictment described, since he did not raise the issue until after trial.</w:t>
      </w:r>
      <w:hyperlink w:anchor="Document1zzB00992031595240" w:history="1">
        <w:r w:rsidRPr="0019267D">
          <w:rPr>
            <w:rFonts w:ascii="Arial" w:hAnsi="Arial" w:cs="Arial"/>
            <w:color w:val="0000FF"/>
            <w:sz w:val="18"/>
            <w:szCs w:val="18"/>
            <w:vertAlign w:val="superscript"/>
          </w:rPr>
          <w:t>FN9</w:t>
        </w:r>
      </w:hyperlink>
      <w:bookmarkStart w:id="43" w:name="Document1zzF00992031595240"/>
      <w:bookmarkEnd w:id="43"/>
    </w:p>
    <w:p w14:paraId="4BCB1DD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4A440D1B"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0992031595240" w:history="1">
        <w:r w:rsidR="00A62E3B" w:rsidRPr="0019267D">
          <w:rPr>
            <w:rFonts w:ascii="Arial" w:hAnsi="Arial" w:cs="Arial"/>
            <w:color w:val="0000FF"/>
            <w:sz w:val="18"/>
            <w:szCs w:val="18"/>
          </w:rPr>
          <w:t>FN9.</w:t>
        </w:r>
      </w:hyperlink>
      <w:bookmarkStart w:id="44" w:name="Document1zzB00992031595240"/>
      <w:bookmarkEnd w:id="44"/>
      <w:r w:rsidR="00A62E3B" w:rsidRPr="0019267D">
        <w:rPr>
          <w:rFonts w:ascii="Arial" w:hAnsi="Arial" w:cs="Arial"/>
          <w:color w:val="000000"/>
          <w:sz w:val="18"/>
          <w:szCs w:val="18"/>
        </w:rPr>
        <w:t xml:space="preserve"> Elonis did challenge the sufficiency of the indictment prior to trial, but only on constitutional grounds. The indictment did not include a subjective intent to threaten.</w:t>
      </w:r>
    </w:p>
    <w:p w14:paraId="2FB79C6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1F7DBD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C.</w:t>
      </w:r>
    </w:p>
    <w:p w14:paraId="0CBA427E"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contends there was insufficient evidence to convict on Counts 3 and 5 of the indictment because the statements on which they were based were not threats. “A claim of insufficiency of evidence places a very heavy burden on the appellant.” </w:t>
      </w:r>
      <w:hyperlink r:id="rId331" w:history="1">
        <w:r w:rsidRPr="0019267D">
          <w:rPr>
            <w:rFonts w:ascii="Arial" w:hAnsi="Arial" w:cs="Arial"/>
            <w:i/>
            <w:iCs/>
            <w:color w:val="0000FF"/>
            <w:sz w:val="18"/>
            <w:szCs w:val="18"/>
          </w:rPr>
          <w:t>United States v. Coyle,</w:t>
        </w:r>
      </w:hyperlink>
      <w:hyperlink r:id="rId332" w:history="1">
        <w:r w:rsidRPr="0019267D">
          <w:rPr>
            <w:rFonts w:ascii="Arial" w:hAnsi="Arial" w:cs="Arial"/>
            <w:color w:val="0000FF"/>
            <w:sz w:val="18"/>
            <w:szCs w:val="18"/>
          </w:rPr>
          <w:t xml:space="preserve"> 63 F.3d 1239, 1243 (3d Cir.1995)</w:t>
        </w:r>
      </w:hyperlink>
      <w:r w:rsidRPr="0019267D">
        <w:rPr>
          <w:rFonts w:ascii="Arial" w:hAnsi="Arial" w:cs="Arial"/>
          <w:color w:val="000000"/>
          <w:sz w:val="18"/>
          <w:szCs w:val="18"/>
        </w:rPr>
        <w:t xml:space="preserve">. “[T]he relevant question is whether, after viewing the evidence in the light most favorable to the prosecution, any rational trier of fact could have found the essential elements of the crime beyond a reasonable doubt.” </w:t>
      </w:r>
      <w:hyperlink r:id="rId333" w:history="1">
        <w:r w:rsidRPr="0019267D">
          <w:rPr>
            <w:rFonts w:ascii="Arial" w:hAnsi="Arial" w:cs="Arial"/>
            <w:i/>
            <w:iCs/>
            <w:color w:val="0000FF"/>
            <w:sz w:val="18"/>
            <w:szCs w:val="18"/>
          </w:rPr>
          <w:t>Jackson v. Virginia,</w:t>
        </w:r>
      </w:hyperlink>
      <w:hyperlink r:id="rId334" w:history="1">
        <w:r w:rsidRPr="0019267D">
          <w:rPr>
            <w:rFonts w:ascii="Arial" w:hAnsi="Arial" w:cs="Arial"/>
            <w:color w:val="0000FF"/>
            <w:sz w:val="18"/>
            <w:szCs w:val="18"/>
          </w:rPr>
          <w:t xml:space="preserve"> 443 U.S. 307, 319, 99 S.Ct. 2781, 61 L.Ed.2d 560 (1979)</w:t>
        </w:r>
      </w:hyperlink>
      <w:r w:rsidRPr="0019267D">
        <w:rPr>
          <w:rFonts w:ascii="Arial" w:hAnsi="Arial" w:cs="Arial"/>
          <w:color w:val="000000"/>
          <w:sz w:val="18"/>
          <w:szCs w:val="18"/>
        </w:rPr>
        <w:t xml:space="preserve"> (emphasis omitted).</w:t>
      </w:r>
    </w:p>
    <w:p w14:paraId="60959EC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6F8612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lastRenderedPageBreak/>
        <w:t>1.</w:t>
      </w:r>
    </w:p>
    <w:p w14:paraId="61B3E57D"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72031595240" w:history="1">
        <w:r w:rsidR="00A62E3B" w:rsidRPr="0019267D">
          <w:rPr>
            <w:rFonts w:ascii="Arial" w:hAnsi="Arial" w:cs="Arial"/>
            <w:color w:val="0000FF"/>
            <w:sz w:val="18"/>
            <w:szCs w:val="18"/>
          </w:rPr>
          <w:t>[7]</w:t>
        </w:r>
      </w:hyperlink>
      <w:bookmarkStart w:id="45" w:name="Document1zzB72031595240"/>
      <w:bookmarkEnd w:id="45"/>
      <w:r w:rsidR="00A62E3B" w:rsidRPr="0019267D">
        <w:rPr>
          <w:rFonts w:ascii="Arial" w:hAnsi="Arial" w:cs="Arial"/>
          <w:color w:val="000000"/>
          <w:sz w:val="18"/>
          <w:szCs w:val="18"/>
        </w:rPr>
        <w:t xml:space="preserve"> Elonis contends Count 3 was based on a conditional statement, which he asserts cannot be a true threat. In </w:t>
      </w:r>
      <w:hyperlink r:id="rId335" w:history="1">
        <w:r w:rsidR="00A62E3B" w:rsidRPr="0019267D">
          <w:rPr>
            <w:rFonts w:ascii="Arial" w:hAnsi="Arial" w:cs="Arial"/>
            <w:i/>
            <w:iCs/>
            <w:color w:val="0000FF"/>
            <w:sz w:val="18"/>
            <w:szCs w:val="18"/>
          </w:rPr>
          <w:t>Watts</w:t>
        </w:r>
      </w:hyperlink>
      <w:r w:rsidR="00A62E3B" w:rsidRPr="0019267D">
        <w:rPr>
          <w:rFonts w:ascii="Arial" w:hAnsi="Arial" w:cs="Arial"/>
          <w:color w:val="000000"/>
          <w:sz w:val="18"/>
          <w:szCs w:val="18"/>
        </w:rPr>
        <w:t xml:space="preserve"> the Supreme Court found the conditional nature of defendant's statement to be one of the three factors demonstrating it was not a true threat. </w:t>
      </w:r>
      <w:hyperlink r:id="rId336" w:history="1">
        <w:r w:rsidR="00A62E3B" w:rsidRPr="0019267D">
          <w:rPr>
            <w:rFonts w:ascii="Arial" w:hAnsi="Arial" w:cs="Arial"/>
            <w:i/>
            <w:iCs/>
            <w:color w:val="0000FF"/>
            <w:sz w:val="18"/>
            <w:szCs w:val="18"/>
          </w:rPr>
          <w:t>Watts,</w:t>
        </w:r>
      </w:hyperlink>
      <w:hyperlink r:id="rId337" w:history="1">
        <w:r w:rsidR="00A62E3B" w:rsidRPr="0019267D">
          <w:rPr>
            <w:rFonts w:ascii="Arial" w:hAnsi="Arial" w:cs="Arial"/>
            <w:color w:val="0000FF"/>
            <w:sz w:val="18"/>
            <w:szCs w:val="18"/>
          </w:rPr>
          <w:t xml:space="preserve"> 394 U.S. at 708, 89 S.Ct. 1399</w:t>
        </w:r>
      </w:hyperlink>
      <w:r w:rsidR="00A62E3B" w:rsidRPr="0019267D">
        <w:rPr>
          <w:rFonts w:ascii="Arial" w:hAnsi="Arial" w:cs="Arial"/>
          <w:color w:val="000000"/>
          <w:sz w:val="18"/>
          <w:szCs w:val="18"/>
        </w:rPr>
        <w:t xml:space="preserve"> (“Taken in context, and regarding the expressly conditional nature of the statement and the reaction of the listeners, we do not see how it could be interpreted otherwise.”). Elonis posted the following on his Facebook page:</w:t>
      </w:r>
    </w:p>
    <w:p w14:paraId="4D77E1D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B1F2755"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Fold up your PFA and put it in your pocket</w:t>
      </w:r>
    </w:p>
    <w:p w14:paraId="4534ACE3"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0D9657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Is it thick enough to stop a bullet?</w:t>
      </w:r>
    </w:p>
    <w:p w14:paraId="7F1680B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D55ABD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Try to enforce an Order</w:t>
      </w:r>
    </w:p>
    <w:p w14:paraId="7AAD9D7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17F8419"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That was improperly granted in the first place</w:t>
      </w:r>
    </w:p>
    <w:p w14:paraId="43FB9C3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6A4711A"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Me thinks the judge needs an education on true threat jurisprudence</w:t>
      </w:r>
    </w:p>
    <w:p w14:paraId="0D93AFB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5C9AF76"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prison time will add zeroes to my settlement</w:t>
      </w:r>
    </w:p>
    <w:p w14:paraId="555D3ED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540E3C5"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Which you won't see a lick</w:t>
      </w:r>
    </w:p>
    <w:p w14:paraId="556EEDB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BA21D6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Because you suck dog dick in front of children</w:t>
      </w:r>
    </w:p>
    <w:p w14:paraId="354E104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ED2EE7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 * *</w:t>
      </w:r>
    </w:p>
    <w:p w14:paraId="4D1375C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99C9E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if worse comes to worse</w:t>
      </w:r>
    </w:p>
    <w:p w14:paraId="6CE46E4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2666F7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I've got enough explosives to take care of the state police and the sheriff's department</w:t>
      </w:r>
    </w:p>
    <w:p w14:paraId="7ECFA09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E51AC8E"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[link: Freedom of Speech, www. wikipedia. org]</w:t>
      </w:r>
    </w:p>
    <w:p w14:paraId="1E55B7C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597902D2"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We considered the impact of conditional statements on the true threat analysis in </w:t>
      </w:r>
      <w:hyperlink r:id="rId338" w:history="1">
        <w:r w:rsidRPr="0019267D">
          <w:rPr>
            <w:rFonts w:ascii="Arial" w:hAnsi="Arial" w:cs="Arial"/>
            <w:i/>
            <w:iCs/>
            <w:color w:val="0000FF"/>
            <w:sz w:val="18"/>
            <w:szCs w:val="18"/>
          </w:rPr>
          <w:t>Kosma,</w:t>
        </w:r>
      </w:hyperlink>
      <w:hyperlink r:id="rId339" w:history="1">
        <w:r w:rsidRPr="0019267D">
          <w:rPr>
            <w:rFonts w:ascii="Arial" w:hAnsi="Arial" w:cs="Arial"/>
            <w:color w:val="0000FF"/>
            <w:sz w:val="18"/>
            <w:szCs w:val="18"/>
          </w:rPr>
          <w:t xml:space="preserve"> 951 F.2d at 554.</w:t>
        </w:r>
      </w:hyperlink>
      <w:r w:rsidRPr="0019267D">
        <w:rPr>
          <w:rFonts w:ascii="Arial" w:hAnsi="Arial" w:cs="Arial"/>
          <w:color w:val="000000"/>
          <w:sz w:val="18"/>
          <w:szCs w:val="18"/>
        </w:rPr>
        <w:t xml:space="preserve"> We found that </w:t>
      </w:r>
      <w:hyperlink r:id="rId340" w:history="1">
        <w:r w:rsidRPr="0019267D">
          <w:rPr>
            <w:rFonts w:ascii="Arial" w:hAnsi="Arial" w:cs="Arial"/>
            <w:i/>
            <w:iCs/>
            <w:color w:val="0000FF"/>
            <w:sz w:val="18"/>
            <w:szCs w:val="18"/>
          </w:rPr>
          <w:t>Watts</w:t>
        </w:r>
      </w:hyperlink>
      <w:r w:rsidRPr="0019267D">
        <w:rPr>
          <w:rFonts w:ascii="Arial" w:hAnsi="Arial" w:cs="Arial"/>
          <w:color w:val="000000"/>
          <w:sz w:val="18"/>
          <w:szCs w:val="18"/>
        </w:rPr>
        <w:t xml:space="preserve"> did not hold conditional statements can never be true threats. </w:t>
      </w:r>
      <w:hyperlink r:id="rId341" w:history="1">
        <w:r w:rsidRPr="0019267D">
          <w:rPr>
            <w:rFonts w:ascii="Arial" w:hAnsi="Arial" w:cs="Arial"/>
            <w:i/>
            <w:iCs/>
            <w:color w:val="0000FF"/>
            <w:sz w:val="18"/>
            <w:szCs w:val="18"/>
          </w:rPr>
          <w:t>Id.</w:t>
        </w:r>
      </w:hyperlink>
      <w:hyperlink r:id="rId342" w:history="1">
        <w:r w:rsidRPr="0019267D">
          <w:rPr>
            <w:rFonts w:ascii="Arial" w:hAnsi="Arial" w:cs="Arial"/>
            <w:color w:val="0000FF"/>
            <w:sz w:val="18"/>
            <w:szCs w:val="18"/>
          </w:rPr>
          <w:t xml:space="preserve"> at 554 n. 8</w:t>
        </w:r>
      </w:hyperlink>
      <w:r w:rsidRPr="0019267D">
        <w:rPr>
          <w:rFonts w:ascii="Arial" w:hAnsi="Arial" w:cs="Arial"/>
          <w:color w:val="000000"/>
          <w:sz w:val="18"/>
          <w:szCs w:val="18"/>
        </w:rPr>
        <w:t xml:space="preserve"> (“Even if Kosma's threats were truly conditional, they could still be considered true threats.”). We explained the conditional statements in </w:t>
      </w:r>
      <w:hyperlink r:id="rId343" w:history="1">
        <w:r w:rsidRPr="0019267D">
          <w:rPr>
            <w:rFonts w:ascii="Arial" w:hAnsi="Arial" w:cs="Arial"/>
            <w:i/>
            <w:iCs/>
            <w:color w:val="0000FF"/>
            <w:sz w:val="18"/>
            <w:szCs w:val="18"/>
          </w:rPr>
          <w:t>Watts</w:t>
        </w:r>
      </w:hyperlink>
      <w:r w:rsidRPr="0019267D">
        <w:rPr>
          <w:rFonts w:ascii="Arial" w:hAnsi="Arial" w:cs="Arial"/>
          <w:color w:val="000000"/>
          <w:sz w:val="18"/>
          <w:szCs w:val="18"/>
        </w:rPr>
        <w:t xml:space="preserve"> “were dependent on the defendant's induction into the armed forces—a condition which the defendant stated would never happen.” </w:t>
      </w:r>
      <w:hyperlink r:id="rId344" w:history="1">
        <w:r w:rsidRPr="0019267D">
          <w:rPr>
            <w:rFonts w:ascii="Arial" w:hAnsi="Arial" w:cs="Arial"/>
            <w:i/>
            <w:iCs/>
            <w:color w:val="0000FF"/>
            <w:sz w:val="18"/>
            <w:szCs w:val="18"/>
          </w:rPr>
          <w:t>Id.</w:t>
        </w:r>
      </w:hyperlink>
      <w:hyperlink r:id="rId345" w:history="1">
        <w:r w:rsidRPr="0019267D">
          <w:rPr>
            <w:rFonts w:ascii="Arial" w:hAnsi="Arial" w:cs="Arial"/>
            <w:color w:val="0000FF"/>
            <w:sz w:val="18"/>
            <w:szCs w:val="18"/>
          </w:rPr>
          <w:t xml:space="preserve"> at 554.</w:t>
        </w:r>
      </w:hyperlink>
      <w:r w:rsidRPr="0019267D">
        <w:rPr>
          <w:rFonts w:ascii="Arial" w:hAnsi="Arial" w:cs="Arial"/>
          <w:color w:val="000000"/>
          <w:sz w:val="18"/>
          <w:szCs w:val="18"/>
        </w:rPr>
        <w:t xml:space="preserve"> Because the defendant's threats in </w:t>
      </w:r>
      <w:hyperlink r:id="rId346" w:history="1">
        <w:r w:rsidRPr="0019267D">
          <w:rPr>
            <w:rFonts w:ascii="Arial" w:hAnsi="Arial" w:cs="Arial"/>
            <w:i/>
            <w:iCs/>
            <w:color w:val="0000FF"/>
            <w:sz w:val="18"/>
            <w:szCs w:val="18"/>
          </w:rPr>
          <w:t>Kosma</w:t>
        </w:r>
      </w:hyperlink>
      <w:r w:rsidRPr="0019267D">
        <w:rPr>
          <w:rFonts w:ascii="Arial" w:hAnsi="Arial" w:cs="Arial"/>
          <w:color w:val="000000"/>
          <w:sz w:val="18"/>
          <w:szCs w:val="18"/>
        </w:rPr>
        <w:t xml:space="preserve"> stated a precise time and place for carrying out the alleged threats, they were true threats. </w:t>
      </w:r>
      <w:hyperlink r:id="rId347" w:history="1">
        <w:r w:rsidRPr="0019267D">
          <w:rPr>
            <w:rFonts w:ascii="Arial" w:hAnsi="Arial" w:cs="Arial"/>
            <w:i/>
            <w:iCs/>
            <w:color w:val="0000FF"/>
            <w:sz w:val="18"/>
            <w:szCs w:val="18"/>
          </w:rPr>
          <w:t>Id.</w:t>
        </w:r>
      </w:hyperlink>
    </w:p>
    <w:p w14:paraId="126E19D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4E227FF"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82031595240" w:history="1">
        <w:r w:rsidR="00A62E3B" w:rsidRPr="0019267D">
          <w:rPr>
            <w:rFonts w:ascii="Arial" w:hAnsi="Arial" w:cs="Arial"/>
            <w:color w:val="0000FF"/>
            <w:sz w:val="18"/>
            <w:szCs w:val="18"/>
          </w:rPr>
          <w:t>[8]</w:t>
        </w:r>
      </w:hyperlink>
      <w:bookmarkStart w:id="46" w:name="Document1zzB82031595240"/>
      <w:bookmarkEnd w:id="46"/>
      <w:r w:rsidR="00A62E3B" w:rsidRPr="0019267D">
        <w:rPr>
          <w:rFonts w:ascii="Arial" w:hAnsi="Arial" w:cs="Arial"/>
          <w:color w:val="000000"/>
          <w:sz w:val="18"/>
          <w:szCs w:val="18"/>
        </w:rPr>
        <w:t xml:space="preserve"> Here the District Court found that a reasonable jury could find the statement to be a true threat. </w:t>
      </w:r>
      <w:hyperlink r:id="rId348" w:history="1">
        <w:r w:rsidR="00A62E3B" w:rsidRPr="0019267D">
          <w:rPr>
            <w:rFonts w:ascii="Arial" w:hAnsi="Arial" w:cs="Arial"/>
            <w:i/>
            <w:iCs/>
            <w:color w:val="0000FF"/>
            <w:sz w:val="18"/>
            <w:szCs w:val="18"/>
          </w:rPr>
          <w:t>United States v. Elonis,</w:t>
        </w:r>
      </w:hyperlink>
      <w:hyperlink r:id="rId349" w:history="1">
        <w:r w:rsidR="00A62E3B" w:rsidRPr="0019267D">
          <w:rPr>
            <w:rFonts w:ascii="Arial" w:hAnsi="Arial" w:cs="Arial"/>
            <w:color w:val="0000FF"/>
            <w:sz w:val="18"/>
            <w:szCs w:val="18"/>
          </w:rPr>
          <w:t xml:space="preserve"> 897 F.Supp.2d 335, 346 (E.D.Pa.2012)</w:t>
        </w:r>
      </w:hyperlink>
      <w:r w:rsidR="00A62E3B" w:rsidRPr="0019267D">
        <w:rPr>
          <w:rFonts w:ascii="Arial" w:hAnsi="Arial" w:cs="Arial"/>
          <w:color w:val="000000"/>
          <w:sz w:val="18"/>
          <w:szCs w:val="18"/>
        </w:rPr>
        <w:t xml:space="preserve">. Unlike in </w:t>
      </w:r>
      <w:hyperlink r:id="rId350" w:history="1">
        <w:r w:rsidR="00A62E3B" w:rsidRPr="0019267D">
          <w:rPr>
            <w:rFonts w:ascii="Arial" w:hAnsi="Arial" w:cs="Arial"/>
            <w:i/>
            <w:iCs/>
            <w:color w:val="0000FF"/>
            <w:sz w:val="18"/>
            <w:szCs w:val="18"/>
          </w:rPr>
          <w:t>Watts,</w:t>
        </w:r>
      </w:hyperlink>
      <w:r w:rsidR="00A62E3B" w:rsidRPr="0019267D">
        <w:rPr>
          <w:rFonts w:ascii="Arial" w:hAnsi="Arial" w:cs="Arial"/>
          <w:color w:val="000000"/>
          <w:sz w:val="18"/>
          <w:szCs w:val="18"/>
        </w:rPr>
        <w:t xml:space="preserve"> Elonis did not vow the condition precedent would never occur. However, this case is also unlike </w:t>
      </w:r>
      <w:hyperlink r:id="rId351" w:history="1">
        <w:r w:rsidR="00A62E3B" w:rsidRPr="0019267D">
          <w:rPr>
            <w:rFonts w:ascii="Arial" w:hAnsi="Arial" w:cs="Arial"/>
            <w:i/>
            <w:iCs/>
            <w:color w:val="0000FF"/>
            <w:sz w:val="18"/>
            <w:szCs w:val="18"/>
          </w:rPr>
          <w:t>Kosma,</w:t>
        </w:r>
      </w:hyperlink>
      <w:r w:rsidR="00A62E3B" w:rsidRPr="0019267D">
        <w:rPr>
          <w:rFonts w:ascii="Arial" w:hAnsi="Arial" w:cs="Arial"/>
          <w:color w:val="000000"/>
          <w:sz w:val="18"/>
          <w:szCs w:val="18"/>
        </w:rPr>
        <w:t xml:space="preserve"> where the statement included a particular time and place. Elonis's statement only conveys a vague timeline or condition. But, taken as a whole, a jury could have found defendant was threatening to use explosives on officers who “[t]ry to enforce an Order” of protection that was granted to his wife. Since there is no rule that a conditional statement cannot be a true threat—the words and context can demonstrate whether the statement was a serious expression of intent to harm—and we give substantial deference to a jury's verdict, there was not insufficient evidence for the jury to find the statement was a threat.</w:t>
      </w:r>
    </w:p>
    <w:p w14:paraId="132521C7"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28D955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2.</w:t>
      </w:r>
    </w:p>
    <w:p w14:paraId="5CA7712A"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92031595240" w:history="1">
        <w:r w:rsidR="00A62E3B" w:rsidRPr="0019267D">
          <w:rPr>
            <w:rFonts w:ascii="Arial" w:hAnsi="Arial" w:cs="Arial"/>
            <w:color w:val="0000FF"/>
            <w:sz w:val="18"/>
            <w:szCs w:val="18"/>
          </w:rPr>
          <w:t>[9]</w:t>
        </w:r>
      </w:hyperlink>
      <w:bookmarkStart w:id="47" w:name="Document1zzB92031595240"/>
      <w:bookmarkEnd w:id="47"/>
      <w:r w:rsidR="00A62E3B" w:rsidRPr="0019267D">
        <w:rPr>
          <w:rFonts w:ascii="Arial" w:hAnsi="Arial" w:cs="Arial"/>
          <w:color w:val="000000"/>
          <w:sz w:val="18"/>
          <w:szCs w:val="18"/>
        </w:rPr>
        <w:t xml:space="preserve"> Defendant contends that the statement on which Count 5 is based is a description of past conduct, not a future intent to harm:</w:t>
      </w:r>
    </w:p>
    <w:p w14:paraId="1EAD3F70"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76763BB"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You know your shit's ridiculous when you have the FBI knockin' at yo' door</w:t>
      </w:r>
    </w:p>
    <w:p w14:paraId="5469F80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05D8243"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Little Agent Lady stood so close</w:t>
      </w:r>
    </w:p>
    <w:p w14:paraId="1E5AE3A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FDCA164"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Took all the strength I had not to turn the bitch ghost</w:t>
      </w:r>
    </w:p>
    <w:p w14:paraId="6E2836C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7C9FB4F"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lastRenderedPageBreak/>
        <w:t>Pull my knife, flick my wrist, and slit her throat Leave her bleedin' from her jugular in the arms of her partner</w:t>
      </w:r>
    </w:p>
    <w:p w14:paraId="3ABAD426"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C69967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[laughter]</w:t>
      </w:r>
    </w:p>
    <w:p w14:paraId="69BE12D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BE5CA7A"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So the next time you knock, you best be serving a warrant</w:t>
      </w:r>
    </w:p>
    <w:p w14:paraId="7995744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59A85FB"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And bring yo' SWAT and an explosives expert while you're at it</w:t>
      </w:r>
    </w:p>
    <w:p w14:paraId="4412E565"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3F72D3C"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Cause little did y'all know, I was strapped wit' a bomb</w:t>
      </w:r>
    </w:p>
    <w:p w14:paraId="5C8F0C9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76E30D17"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Why do you think it took me so long to get dressed with no shoes on?</w:t>
      </w:r>
    </w:p>
    <w:p w14:paraId="7F7A1E71"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AEED542"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I was jus' waitin' for y'all to handcuff me and pat me down</w:t>
      </w:r>
    </w:p>
    <w:p w14:paraId="0777F05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F4CD9C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Touch the detonator in my pocket and we're all goin'</w:t>
      </w:r>
    </w:p>
    <w:p w14:paraId="624B97C2"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0909DFF8" w14:textId="77777777" w:rsidR="00A62E3B" w:rsidRPr="0019267D" w:rsidRDefault="00A62E3B" w:rsidP="00A62E3B">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[BOOM!]</w:t>
      </w:r>
    </w:p>
    <w:p w14:paraId="5AE1F58C"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995EE80"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 threat under </w:t>
      </w:r>
      <w:hyperlink r:id="rId352" w:history="1">
        <w:r w:rsidRPr="0019267D">
          <w:rPr>
            <w:rFonts w:ascii="Arial" w:hAnsi="Arial" w:cs="Arial"/>
            <w:color w:val="0000FF"/>
            <w:sz w:val="18"/>
            <w:szCs w:val="18"/>
          </w:rPr>
          <w:t>§ 875(c)</w:t>
        </w:r>
      </w:hyperlink>
      <w:r w:rsidRPr="0019267D">
        <w:rPr>
          <w:rFonts w:ascii="Arial" w:hAnsi="Arial" w:cs="Arial"/>
          <w:color w:val="000000"/>
          <w:sz w:val="18"/>
          <w:szCs w:val="18"/>
        </w:rPr>
        <w:t xml:space="preserve"> is a communication “expressing an intent to inflict injury in the present or future.” </w:t>
      </w:r>
      <w:hyperlink r:id="rId353" w:history="1">
        <w:r w:rsidRPr="0019267D">
          <w:rPr>
            <w:rFonts w:ascii="Arial" w:hAnsi="Arial" w:cs="Arial"/>
            <w:i/>
            <w:iCs/>
            <w:color w:val="0000FF"/>
            <w:sz w:val="18"/>
            <w:szCs w:val="18"/>
          </w:rPr>
          <w:t>United States v. Stock,</w:t>
        </w:r>
      </w:hyperlink>
      <w:hyperlink r:id="rId354" w:history="1">
        <w:r w:rsidRPr="0019267D">
          <w:rPr>
            <w:rFonts w:ascii="Arial" w:hAnsi="Arial" w:cs="Arial"/>
            <w:color w:val="0000FF"/>
            <w:sz w:val="18"/>
            <w:szCs w:val="18"/>
          </w:rPr>
          <w:t xml:space="preserve"> No. 12–2914, 728 F.3d 287, 293, 2013 WL 4504766, *3 (3d Cir. Aug. 26, 2013)</w:t>
        </w:r>
      </w:hyperlink>
      <w:r w:rsidRPr="0019267D">
        <w:rPr>
          <w:rFonts w:ascii="Arial" w:hAnsi="Arial" w:cs="Arial"/>
          <w:color w:val="000000"/>
          <w:sz w:val="18"/>
          <w:szCs w:val="18"/>
        </w:rPr>
        <w:t>. It was possible for a reasonable jury to conclude that the statement “the next time you knock, best be serving a warrant [a]nd bring yo' SWAT and an explosives expert” coupled with the past reference to a bomb was a threat to use explosives against the agents “the next time.” Indeed, the phrase “the next time” refers to the future, not a past event. Accordingly, a reasonable jury could have found the statement was a true threat.</w:t>
      </w:r>
    </w:p>
    <w:p w14:paraId="77EB7AE4"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1FD6673B"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D.</w:t>
      </w:r>
    </w:p>
    <w:p w14:paraId="7F42F335" w14:textId="77777777" w:rsidR="00A62E3B" w:rsidRPr="0019267D" w:rsidRDefault="00CE5943" w:rsidP="00A62E3B">
      <w:pPr>
        <w:widowControl w:val="0"/>
        <w:autoSpaceDE w:val="0"/>
        <w:autoSpaceDN w:val="0"/>
        <w:adjustRightInd w:val="0"/>
        <w:ind w:firstLine="360"/>
        <w:jc w:val="both"/>
        <w:rPr>
          <w:rFonts w:ascii="Arial" w:hAnsi="Arial" w:cs="Arial"/>
          <w:color w:val="000000"/>
          <w:sz w:val="18"/>
          <w:szCs w:val="18"/>
        </w:rPr>
      </w:pPr>
      <w:hyperlink w:anchor="Document1zzF102031595240" w:history="1">
        <w:r w:rsidR="00A62E3B" w:rsidRPr="0019267D">
          <w:rPr>
            <w:rFonts w:ascii="Arial" w:hAnsi="Arial" w:cs="Arial"/>
            <w:color w:val="0000FF"/>
            <w:sz w:val="18"/>
            <w:szCs w:val="18"/>
          </w:rPr>
          <w:t>[10]</w:t>
        </w:r>
      </w:hyperlink>
      <w:bookmarkStart w:id="48" w:name="Document1zzB102031595240"/>
      <w:bookmarkEnd w:id="48"/>
      <w:r w:rsidR="00A62E3B" w:rsidRPr="0019267D">
        <w:rPr>
          <w:rFonts w:ascii="Arial" w:hAnsi="Arial" w:cs="Arial"/>
          <w:color w:val="000000"/>
          <w:sz w:val="18"/>
          <w:szCs w:val="18"/>
        </w:rPr>
        <w:t xml:space="preserve"> Elonis contends the jury instruction stating communications that travel over the internet necessarily travel in interstate commerce violated his due process rights because the government was required to prove interstate transmission as an element of the crime. The District Court instructed the jury: “Because of the interstate nature of the Internet, if you find beyond a reasonable doubt that the defendant used the Internet in communicating a threat, then that communication traveled in interstate commerce.” Trial Tr. 126, Oct. 11, 2011.</w:t>
      </w:r>
    </w:p>
    <w:p w14:paraId="467941F9"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4E4C1E7"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355" w:history="1">
        <w:r w:rsidRPr="0019267D">
          <w:rPr>
            <w:rFonts w:ascii="Arial" w:hAnsi="Arial" w:cs="Arial"/>
            <w:i/>
            <w:iCs/>
            <w:color w:val="0000FF"/>
            <w:sz w:val="18"/>
            <w:szCs w:val="18"/>
          </w:rPr>
          <w:t>United States v. MacEwan</w:t>
        </w:r>
      </w:hyperlink>
      <w:r w:rsidRPr="0019267D">
        <w:rPr>
          <w:rFonts w:ascii="Arial" w:hAnsi="Arial" w:cs="Arial"/>
          <w:color w:val="000000"/>
          <w:sz w:val="18"/>
          <w:szCs w:val="18"/>
        </w:rPr>
        <w:t xml:space="preserve"> we explained the difference between interstate transmission and interstate commerce. </w:t>
      </w:r>
      <w:hyperlink r:id="rId356" w:history="1">
        <w:r w:rsidRPr="0019267D">
          <w:rPr>
            <w:rFonts w:ascii="Arial" w:hAnsi="Arial" w:cs="Arial"/>
            <w:color w:val="0000FF"/>
            <w:sz w:val="18"/>
            <w:szCs w:val="18"/>
          </w:rPr>
          <w:t>445 F.3d 237, 243–44 (3d Cir.2006)</w:t>
        </w:r>
      </w:hyperlink>
      <w:r w:rsidRPr="0019267D">
        <w:rPr>
          <w:rFonts w:ascii="Arial" w:hAnsi="Arial" w:cs="Arial"/>
          <w:color w:val="000000"/>
          <w:sz w:val="18"/>
          <w:szCs w:val="18"/>
        </w:rPr>
        <w:t xml:space="preserve">. The defendant in </w:t>
      </w:r>
      <w:hyperlink r:id="rId357" w:history="1">
        <w:r w:rsidRPr="0019267D">
          <w:rPr>
            <w:rFonts w:ascii="Arial" w:hAnsi="Arial" w:cs="Arial"/>
            <w:i/>
            <w:iCs/>
            <w:color w:val="0000FF"/>
            <w:sz w:val="18"/>
            <w:szCs w:val="18"/>
          </w:rPr>
          <w:t>MacEwan</w:t>
        </w:r>
      </w:hyperlink>
      <w:r w:rsidRPr="0019267D">
        <w:rPr>
          <w:rFonts w:ascii="Arial" w:hAnsi="Arial" w:cs="Arial"/>
          <w:color w:val="000000"/>
          <w:sz w:val="18"/>
          <w:szCs w:val="18"/>
        </w:rPr>
        <w:t xml:space="preserve"> contended the government failed to prove he received child pornography through interstate commerce because a Comcast witness testified it was impossible to know whether a particular transmission traveled through computer servers located entirely within Pennsylvania, or to any other server in the United States. </w:t>
      </w:r>
      <w:hyperlink r:id="rId358" w:history="1">
        <w:r w:rsidRPr="0019267D">
          <w:rPr>
            <w:rFonts w:ascii="Arial" w:hAnsi="Arial" w:cs="Arial"/>
            <w:i/>
            <w:iCs/>
            <w:color w:val="0000FF"/>
            <w:sz w:val="18"/>
            <w:szCs w:val="18"/>
          </w:rPr>
          <w:t>Id.</w:t>
        </w:r>
      </w:hyperlink>
      <w:hyperlink r:id="rId359" w:history="1">
        <w:r w:rsidRPr="0019267D">
          <w:rPr>
            <w:rFonts w:ascii="Arial" w:hAnsi="Arial" w:cs="Arial"/>
            <w:color w:val="0000FF"/>
            <w:sz w:val="18"/>
            <w:szCs w:val="18"/>
          </w:rPr>
          <w:t xml:space="preserve"> at 241–42.</w:t>
        </w:r>
      </w:hyperlink>
      <w:r w:rsidRPr="0019267D">
        <w:rPr>
          <w:rFonts w:ascii="Arial" w:hAnsi="Arial" w:cs="Arial"/>
          <w:color w:val="000000"/>
          <w:sz w:val="18"/>
          <w:szCs w:val="18"/>
        </w:rPr>
        <w:t xml:space="preserve"> “[W]e conclude[d] that because of the very interstate nature of the Internet, once a user submits a connection request to a website server or an image is transmitted from the website server back to [the] user, the data has traveled in interstate commerce.” </w:t>
      </w:r>
      <w:hyperlink r:id="rId360" w:history="1">
        <w:r w:rsidRPr="0019267D">
          <w:rPr>
            <w:rFonts w:ascii="Arial" w:hAnsi="Arial" w:cs="Arial"/>
            <w:i/>
            <w:iCs/>
            <w:color w:val="0000FF"/>
            <w:sz w:val="18"/>
            <w:szCs w:val="18"/>
          </w:rPr>
          <w:t>Id.</w:t>
        </w:r>
      </w:hyperlink>
      <w:hyperlink r:id="rId361" w:history="1">
        <w:r w:rsidRPr="0019267D">
          <w:rPr>
            <w:rFonts w:ascii="Arial" w:hAnsi="Arial" w:cs="Arial"/>
            <w:color w:val="0000FF"/>
            <w:sz w:val="18"/>
            <w:szCs w:val="18"/>
          </w:rPr>
          <w:t xml:space="preserve"> at 244.</w:t>
        </w:r>
      </w:hyperlink>
      <w:r w:rsidRPr="0019267D">
        <w:rPr>
          <w:rFonts w:ascii="Arial" w:hAnsi="Arial" w:cs="Arial"/>
          <w:color w:val="000000"/>
          <w:sz w:val="18"/>
          <w:szCs w:val="18"/>
        </w:rPr>
        <w:t xml:space="preserve"> “Having concluded that the Internet is an instrumentality and channel of interstate commerce.... [i]t is sufficient that MacEwan downloaded those images from the Internet, a system that is inexorably intertwined with interstate commerce.” </w:t>
      </w:r>
      <w:hyperlink r:id="rId362" w:history="1">
        <w:r w:rsidRPr="0019267D">
          <w:rPr>
            <w:rFonts w:ascii="Arial" w:hAnsi="Arial" w:cs="Arial"/>
            <w:i/>
            <w:iCs/>
            <w:color w:val="0000FF"/>
            <w:sz w:val="18"/>
            <w:szCs w:val="18"/>
          </w:rPr>
          <w:t>Id.</w:t>
        </w:r>
      </w:hyperlink>
      <w:hyperlink r:id="rId363" w:history="1">
        <w:r w:rsidRPr="0019267D">
          <w:rPr>
            <w:rFonts w:ascii="Arial" w:hAnsi="Arial" w:cs="Arial"/>
            <w:color w:val="0000FF"/>
            <w:sz w:val="18"/>
            <w:szCs w:val="18"/>
          </w:rPr>
          <w:t xml:space="preserve"> at 245.</w:t>
        </w:r>
      </w:hyperlink>
    </w:p>
    <w:p w14:paraId="46EF8998"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6E7E5B6A"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Elonis distinguishes </w:t>
      </w:r>
      <w:hyperlink r:id="rId364" w:history="1">
        <w:r w:rsidRPr="0019267D">
          <w:rPr>
            <w:rFonts w:ascii="Arial" w:hAnsi="Arial" w:cs="Arial"/>
            <w:i/>
            <w:iCs/>
            <w:color w:val="0000FF"/>
            <w:sz w:val="18"/>
            <w:szCs w:val="18"/>
          </w:rPr>
          <w:t>MacEwan</w:t>
        </w:r>
      </w:hyperlink>
      <w:r w:rsidRPr="0019267D">
        <w:rPr>
          <w:rFonts w:ascii="Arial" w:hAnsi="Arial" w:cs="Arial"/>
          <w:color w:val="000000"/>
          <w:sz w:val="18"/>
          <w:szCs w:val="18"/>
        </w:rPr>
        <w:t xml:space="preserve"> by stating that in that case the government presented evidence on how the internet worked. But the government's evidence in </w:t>
      </w:r>
      <w:hyperlink r:id="rId365" w:history="1">
        <w:r w:rsidRPr="0019267D">
          <w:rPr>
            <w:rFonts w:ascii="Arial" w:hAnsi="Arial" w:cs="Arial"/>
            <w:i/>
            <w:iCs/>
            <w:color w:val="0000FF"/>
            <w:sz w:val="18"/>
            <w:szCs w:val="18"/>
          </w:rPr>
          <w:t>MacEwan</w:t>
        </w:r>
      </w:hyperlink>
      <w:r w:rsidRPr="0019267D">
        <w:rPr>
          <w:rFonts w:ascii="Arial" w:hAnsi="Arial" w:cs="Arial"/>
          <w:color w:val="000000"/>
          <w:sz w:val="18"/>
          <w:szCs w:val="18"/>
        </w:rPr>
        <w:t xml:space="preserve"> did not show that any one of the defendant's internet transmissions traveled outside of Pennsylvania.</w:t>
      </w:r>
      <w:hyperlink w:anchor="Document1zzB010102031595240" w:history="1">
        <w:r w:rsidRPr="0019267D">
          <w:rPr>
            <w:rFonts w:ascii="Arial" w:hAnsi="Arial" w:cs="Arial"/>
            <w:color w:val="0000FF"/>
            <w:sz w:val="18"/>
            <w:szCs w:val="18"/>
            <w:vertAlign w:val="superscript"/>
          </w:rPr>
          <w:t>FN10</w:t>
        </w:r>
      </w:hyperlink>
      <w:bookmarkStart w:id="49" w:name="Document1zzF010102031595240"/>
      <w:bookmarkEnd w:id="49"/>
      <w:r w:rsidRPr="0019267D">
        <w:rPr>
          <w:rFonts w:ascii="Arial" w:hAnsi="Arial" w:cs="Arial"/>
          <w:color w:val="000000"/>
          <w:sz w:val="18"/>
          <w:szCs w:val="18"/>
        </w:rPr>
        <w:t xml:space="preserve"> We found that fact to be irrelevant to the question of interstate commerce because submitting data on the internet necessarily means the data travels in interstate commerce. </w:t>
      </w:r>
      <w:hyperlink r:id="rId366" w:history="1">
        <w:r w:rsidRPr="0019267D">
          <w:rPr>
            <w:rFonts w:ascii="Arial" w:hAnsi="Arial" w:cs="Arial"/>
            <w:i/>
            <w:iCs/>
            <w:color w:val="0000FF"/>
            <w:sz w:val="18"/>
            <w:szCs w:val="18"/>
          </w:rPr>
          <w:t>Id.</w:t>
        </w:r>
      </w:hyperlink>
      <w:hyperlink r:id="rId367" w:history="1">
        <w:r w:rsidRPr="0019267D">
          <w:rPr>
            <w:rFonts w:ascii="Arial" w:hAnsi="Arial" w:cs="Arial"/>
            <w:color w:val="0000FF"/>
            <w:sz w:val="18"/>
            <w:szCs w:val="18"/>
          </w:rPr>
          <w:t xml:space="preserve"> at 241.</w:t>
        </w:r>
      </w:hyperlink>
      <w:r w:rsidRPr="0019267D">
        <w:rPr>
          <w:rFonts w:ascii="Arial" w:hAnsi="Arial" w:cs="Arial"/>
          <w:color w:val="000000"/>
          <w:sz w:val="18"/>
          <w:szCs w:val="18"/>
        </w:rPr>
        <w:t xml:space="preserve"> Instead, we held “[i]t is sufficient that [the defendant] downloaded those images from the Internet.” </w:t>
      </w:r>
      <w:hyperlink r:id="rId368" w:history="1">
        <w:r w:rsidRPr="0019267D">
          <w:rPr>
            <w:rFonts w:ascii="Arial" w:hAnsi="Arial" w:cs="Arial"/>
            <w:i/>
            <w:iCs/>
            <w:color w:val="0000FF"/>
            <w:sz w:val="18"/>
            <w:szCs w:val="18"/>
          </w:rPr>
          <w:t>Id.</w:t>
        </w:r>
      </w:hyperlink>
      <w:hyperlink r:id="rId369" w:history="1">
        <w:r w:rsidRPr="0019267D">
          <w:rPr>
            <w:rFonts w:ascii="Arial" w:hAnsi="Arial" w:cs="Arial"/>
            <w:color w:val="0000FF"/>
            <w:sz w:val="18"/>
            <w:szCs w:val="18"/>
          </w:rPr>
          <w:t xml:space="preserve"> at 245.</w:t>
        </w:r>
      </w:hyperlink>
      <w:r w:rsidRPr="0019267D">
        <w:rPr>
          <w:rFonts w:ascii="Arial" w:hAnsi="Arial" w:cs="Arial"/>
          <w:color w:val="000000"/>
          <w:sz w:val="18"/>
          <w:szCs w:val="18"/>
        </w:rPr>
        <w:t xml:space="preserve"> Based on our conclusion that proving internet transmission alone is sufficient to prove transmission through interstate commerce, the District Court did not err in instructing the jury.</w:t>
      </w:r>
    </w:p>
    <w:p w14:paraId="0085F17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2D8E052E" w14:textId="77777777" w:rsidR="00A62E3B" w:rsidRPr="0019267D" w:rsidRDefault="00CE5943" w:rsidP="00A62E3B">
      <w:pPr>
        <w:widowControl w:val="0"/>
        <w:autoSpaceDE w:val="0"/>
        <w:autoSpaceDN w:val="0"/>
        <w:adjustRightInd w:val="0"/>
        <w:ind w:left="720"/>
        <w:jc w:val="both"/>
        <w:rPr>
          <w:rFonts w:ascii="Arial" w:hAnsi="Arial" w:cs="Arial"/>
          <w:color w:val="000000"/>
          <w:sz w:val="18"/>
          <w:szCs w:val="18"/>
        </w:rPr>
      </w:pPr>
      <w:hyperlink w:anchor="Document1zzF010102031595240" w:history="1">
        <w:r w:rsidR="00A62E3B" w:rsidRPr="0019267D">
          <w:rPr>
            <w:rFonts w:ascii="Arial" w:hAnsi="Arial" w:cs="Arial"/>
            <w:color w:val="0000FF"/>
            <w:sz w:val="18"/>
            <w:szCs w:val="18"/>
          </w:rPr>
          <w:t>FN10.</w:t>
        </w:r>
      </w:hyperlink>
      <w:bookmarkStart w:id="50" w:name="Document1zzB010102031595240"/>
      <w:bookmarkEnd w:id="50"/>
      <w:r w:rsidR="00A62E3B" w:rsidRPr="0019267D">
        <w:rPr>
          <w:rFonts w:ascii="Arial" w:hAnsi="Arial" w:cs="Arial"/>
          <w:color w:val="000000"/>
          <w:sz w:val="18"/>
          <w:szCs w:val="18"/>
        </w:rPr>
        <w:t xml:space="preserve"> Notably, the government did present testimony on how Facebook works. A computer forensic expert, Michael Moore, testified about privacy settings and that when a Facebook account is made public the postings can be seen by “whoever has access to it through the internet throughout the world.” Trial Tr. 15–17, Oct. 17, 2011.</w:t>
      </w:r>
    </w:p>
    <w:p w14:paraId="3C69751A"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p>
    <w:p w14:paraId="34BE3F0D" w14:textId="77777777" w:rsidR="00A62E3B" w:rsidRPr="0019267D" w:rsidRDefault="00A62E3B" w:rsidP="00A62E3B">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IV.</w:t>
      </w:r>
    </w:p>
    <w:p w14:paraId="0185945E" w14:textId="77777777" w:rsidR="00A62E3B" w:rsidRPr="0019267D" w:rsidRDefault="00A62E3B" w:rsidP="00A62E3B">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For the foregoing reasons we will uphold Elonis's convictions under </w:t>
      </w:r>
      <w:hyperlink r:id="rId370" w:history="1">
        <w:r w:rsidRPr="0019267D">
          <w:rPr>
            <w:rFonts w:ascii="Arial" w:hAnsi="Arial" w:cs="Arial"/>
            <w:color w:val="0000FF"/>
            <w:sz w:val="18"/>
            <w:szCs w:val="18"/>
          </w:rPr>
          <w:t>18 U.S.C. § 875(c)</w:t>
        </w:r>
      </w:hyperlink>
      <w:r w:rsidRPr="0019267D">
        <w:rPr>
          <w:rFonts w:ascii="Arial" w:hAnsi="Arial" w:cs="Arial"/>
          <w:color w:val="000000"/>
          <w:sz w:val="18"/>
          <w:szCs w:val="18"/>
        </w:rPr>
        <w:t>.</w:t>
      </w:r>
    </w:p>
    <w:p w14:paraId="7C9987ED" w14:textId="77777777" w:rsidR="00A62E3B" w:rsidRPr="0019267D" w:rsidRDefault="00A62E3B" w:rsidP="00A62E3B">
      <w:pPr>
        <w:widowControl w:val="0"/>
        <w:autoSpaceDE w:val="0"/>
        <w:autoSpaceDN w:val="0"/>
        <w:adjustRightInd w:val="0"/>
        <w:jc w:val="both"/>
        <w:rPr>
          <w:rFonts w:ascii="Arial" w:hAnsi="Arial" w:cs="Arial"/>
          <w:color w:val="000000"/>
          <w:szCs w:val="24"/>
        </w:rPr>
      </w:pPr>
    </w:p>
    <w:p w14:paraId="29008EA1" w14:textId="77777777" w:rsidR="00A62E3B" w:rsidRPr="0019267D" w:rsidRDefault="00A62E3B" w:rsidP="00A62E3B">
      <w:pPr>
        <w:widowControl w:val="0"/>
        <w:autoSpaceDE w:val="0"/>
        <w:autoSpaceDN w:val="0"/>
        <w:adjustRightInd w:val="0"/>
        <w:jc w:val="both"/>
        <w:rPr>
          <w:rFonts w:ascii="Arial" w:hAnsi="Arial" w:cs="Arial"/>
          <w:szCs w:val="24"/>
        </w:rPr>
      </w:pPr>
    </w:p>
    <w:p w14:paraId="16C4DE0B" w14:textId="77777777" w:rsidR="00DB2F17" w:rsidRPr="0019267D" w:rsidRDefault="00DB2F17" w:rsidP="00DB2F17">
      <w:pPr>
        <w:widowControl w:val="0"/>
        <w:autoSpaceDE w:val="0"/>
        <w:autoSpaceDN w:val="0"/>
        <w:adjustRightInd w:val="0"/>
        <w:jc w:val="both"/>
        <w:rPr>
          <w:rFonts w:ascii="Arial" w:hAnsi="Arial"/>
          <w:sz w:val="18"/>
          <w:lang w:bidi="en-US"/>
        </w:rPr>
      </w:pPr>
    </w:p>
    <w:p w14:paraId="419D90A9" w14:textId="77777777" w:rsidR="00697668" w:rsidRPr="0019267D" w:rsidRDefault="00697668" w:rsidP="00697668">
      <w:pPr>
        <w:rPr>
          <w:rFonts w:ascii="Arial" w:hAnsi="Arial"/>
          <w:b/>
          <w:i/>
          <w:sz w:val="18"/>
        </w:rPr>
      </w:pPr>
    </w:p>
    <w:p w14:paraId="54C36ED9" w14:textId="77777777" w:rsidR="00697668" w:rsidRPr="0019267D" w:rsidRDefault="00697668" w:rsidP="00697668">
      <w:pPr>
        <w:rPr>
          <w:rFonts w:ascii="Arial" w:hAnsi="Arial"/>
          <w:b/>
          <w:i/>
          <w:sz w:val="18"/>
        </w:rPr>
      </w:pPr>
    </w:p>
    <w:p w14:paraId="6880514C" w14:textId="48BAA565" w:rsidR="00697668" w:rsidRPr="0019267D" w:rsidRDefault="00697668" w:rsidP="00697668">
      <w:pPr>
        <w:widowControl w:val="0"/>
        <w:autoSpaceDE w:val="0"/>
        <w:autoSpaceDN w:val="0"/>
        <w:adjustRightInd w:val="0"/>
        <w:rPr>
          <w:rFonts w:ascii="Arial" w:hAnsi="Arial"/>
          <w:b/>
          <w:sz w:val="64"/>
        </w:rPr>
      </w:pPr>
      <w:r w:rsidRPr="0019267D">
        <w:rPr>
          <w:rFonts w:ascii="Arial" w:hAnsi="Arial"/>
          <w:b/>
          <w:sz w:val="64"/>
        </w:rPr>
        <w:t>Supplemental Case Printout for:</w:t>
      </w:r>
      <w:r w:rsidRPr="0019267D">
        <w:rPr>
          <w:rFonts w:ascii="Arial" w:hAnsi="Arial"/>
          <w:b/>
          <w:i/>
          <w:sz w:val="64"/>
        </w:rPr>
        <w:t xml:space="preserve">  Managerial </w:t>
      </w:r>
      <w:r w:rsidR="001B5BEF" w:rsidRPr="0019267D">
        <w:rPr>
          <w:rFonts w:ascii="Arial" w:hAnsi="Arial"/>
          <w:b/>
          <w:i/>
          <w:sz w:val="64"/>
        </w:rPr>
        <w:t>Strategy</w:t>
      </w:r>
      <w:r w:rsidRPr="0019267D">
        <w:rPr>
          <w:rFonts w:ascii="Arial" w:hAnsi="Arial"/>
          <w:b/>
          <w:i/>
          <w:sz w:val="64"/>
        </w:rPr>
        <w:t xml:space="preserve"> </w:t>
      </w:r>
    </w:p>
    <w:p w14:paraId="1DBBC1FA" w14:textId="77777777" w:rsidR="00697668" w:rsidRPr="0019267D" w:rsidRDefault="00697668" w:rsidP="00697668">
      <w:pPr>
        <w:rPr>
          <w:rFonts w:ascii="Arial" w:hAnsi="Arial"/>
        </w:rPr>
      </w:pPr>
    </w:p>
    <w:p w14:paraId="06B2D4F0" w14:textId="77777777" w:rsidR="00743F35" w:rsidRPr="0019267D" w:rsidRDefault="00743F35" w:rsidP="00743F3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United States District Court,</w:t>
      </w:r>
    </w:p>
    <w:p w14:paraId="159FAAD8" w14:textId="77777777" w:rsidR="00743F35" w:rsidRPr="0019267D" w:rsidRDefault="00743F35" w:rsidP="00743F3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D. Utah,</w:t>
      </w:r>
    </w:p>
    <w:p w14:paraId="2969E807" w14:textId="77777777" w:rsidR="00743F35" w:rsidRPr="0019267D" w:rsidRDefault="00743F35" w:rsidP="00743F35">
      <w:pPr>
        <w:widowControl w:val="0"/>
        <w:autoSpaceDE w:val="0"/>
        <w:autoSpaceDN w:val="0"/>
        <w:adjustRightInd w:val="0"/>
        <w:jc w:val="both"/>
        <w:rPr>
          <w:rFonts w:ascii="Arial" w:hAnsi="Arial" w:cs="Arial"/>
          <w:color w:val="000000"/>
          <w:szCs w:val="24"/>
        </w:rPr>
      </w:pPr>
      <w:r w:rsidRPr="0019267D">
        <w:rPr>
          <w:rFonts w:ascii="Arial" w:hAnsi="Arial" w:cs="Arial"/>
          <w:color w:val="000000"/>
          <w:szCs w:val="24"/>
        </w:rPr>
        <w:t>Central Division.</w:t>
      </w:r>
    </w:p>
    <w:p w14:paraId="5EF719ED" w14:textId="77777777" w:rsidR="00743F35" w:rsidRPr="0019267D" w:rsidRDefault="00743F35" w:rsidP="00743F3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Derek KITCHEN, Moudi Sbeity, Karen Archer, Kate Call, Laurie Wood, and Kody Partridge, Plaintiffs,</w:t>
      </w:r>
    </w:p>
    <w:p w14:paraId="48AA7A94" w14:textId="77777777" w:rsidR="00743F35" w:rsidRPr="0019267D" w:rsidRDefault="00743F35" w:rsidP="00743F3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v.</w:t>
      </w:r>
    </w:p>
    <w:p w14:paraId="4F2D65AB" w14:textId="77777777" w:rsidR="00743F35" w:rsidRPr="0019267D" w:rsidRDefault="00743F35" w:rsidP="00743F35">
      <w:pPr>
        <w:widowControl w:val="0"/>
        <w:autoSpaceDE w:val="0"/>
        <w:autoSpaceDN w:val="0"/>
        <w:adjustRightInd w:val="0"/>
        <w:jc w:val="both"/>
        <w:rPr>
          <w:rFonts w:ascii="Arial" w:hAnsi="Arial" w:cs="Arial"/>
          <w:b/>
          <w:color w:val="000000"/>
          <w:szCs w:val="24"/>
        </w:rPr>
      </w:pPr>
      <w:r w:rsidRPr="0019267D">
        <w:rPr>
          <w:rFonts w:ascii="Arial" w:hAnsi="Arial" w:cs="Arial"/>
          <w:b/>
          <w:color w:val="000000"/>
          <w:szCs w:val="24"/>
        </w:rPr>
        <w:t>Gary R. HERBERT, John Swallow, and Sherrie Swensen, Defendants.</w:t>
      </w:r>
    </w:p>
    <w:p w14:paraId="1BA22C2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Case No. 2:13–cv–217.</w:t>
      </w:r>
    </w:p>
    <w:p w14:paraId="3784EEF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Dec. 20, 2013.</w:t>
      </w:r>
    </w:p>
    <w:p w14:paraId="01D0844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MEMORANDUM DECISION AND ORDER</w:t>
      </w:r>
    </w:p>
    <w:p w14:paraId="376F45A6" w14:textId="77777777" w:rsidR="00743F35" w:rsidRPr="0019267D" w:rsidRDefault="00CE5943" w:rsidP="00743F35">
      <w:pPr>
        <w:widowControl w:val="0"/>
        <w:autoSpaceDE w:val="0"/>
        <w:autoSpaceDN w:val="0"/>
        <w:adjustRightInd w:val="0"/>
        <w:jc w:val="both"/>
        <w:rPr>
          <w:rFonts w:ascii="Arial" w:hAnsi="Arial" w:cs="Arial"/>
          <w:color w:val="000000"/>
          <w:sz w:val="18"/>
          <w:szCs w:val="18"/>
        </w:rPr>
      </w:pPr>
      <w:hyperlink r:id="rId371" w:history="1">
        <w:r w:rsidR="00743F35" w:rsidRPr="0019267D">
          <w:rPr>
            <w:rFonts w:ascii="Arial" w:hAnsi="Arial" w:cs="Arial"/>
            <w:color w:val="0000FF"/>
            <w:sz w:val="18"/>
            <w:szCs w:val="18"/>
          </w:rPr>
          <w:t>ROBERT J. SHELBY</w:t>
        </w:r>
      </w:hyperlink>
      <w:r w:rsidR="00743F35" w:rsidRPr="0019267D">
        <w:rPr>
          <w:rFonts w:ascii="Arial" w:hAnsi="Arial" w:cs="Arial"/>
          <w:color w:val="000000"/>
          <w:sz w:val="18"/>
          <w:szCs w:val="18"/>
        </w:rPr>
        <w:t>, District Judge.</w:t>
      </w:r>
    </w:p>
    <w:p w14:paraId="42CFD17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Plaintiffs in this lawsuit are three gay and lesbian couples who wish to marry, but are currently unable to do so because the Utah Constitution prohibits same-sex marriage. The Plaintiffs argue that this prohibition infringes their rights to due process and equal protection under the Fourteenth Amendment of the United States Constitution. The State of Utah defends its laws and maintains that a state has the right to define marriage according to the judgment of its citizens. Both parties have submitted motions for summary judgment.</w:t>
      </w:r>
    </w:p>
    <w:p w14:paraId="39A2A84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1D950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agrees with Utah that regulation of marriage has traditionally been the province of the states, and remains so today. But any regulation adopted by a state, whether related to marriage or any other interest, must comply with the Constitution of the United States. The issue the court must address in this case is therefore not who should define marriage, but the narrow question of whether Utah's current definition of marriage is permissible under the Constitution.</w:t>
      </w:r>
    </w:p>
    <w:p w14:paraId="79EB68C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71FE42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Few questions are as politically charged in the current climate. This observation is especially true where, as here, the state electorate has taken democratic action to participate in a popular referendum on this issue. It is only under exceptional circumstances that a court interferes with such action. But the legal issues presented in this lawsuit do not depend on whether Utah's laws were the result of its legislature or a referendum, or whether the laws passed by the widest or smallest of margins. The question presented here depends instead on the Constitution itself, and on the interpretation of that document contained in binding precedent from the Supreme Court and the Tenth Circuit Court of Appeals.</w:t>
      </w:r>
    </w:p>
    <w:p w14:paraId="7D806CD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2DBF7D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Applying the law as it is required to do, the court holds that Utah's prohibition on same-sex marriage conflicts with the United States Constitution's guarantees of equal protection and due process under the law. The State's current laws deny its gay and lesbian citizens their fundamental right to marry and, in so doing, demean the dignity of these same-sex couples for no rational reason. Accordingly, the court finds that these laws are unconstitutional.</w:t>
      </w:r>
    </w:p>
    <w:p w14:paraId="0BC0435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9E3E54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BACKGROUND</w:t>
      </w:r>
    </w:p>
    <w:p w14:paraId="66DEAC2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 The Plaintiffs</w:t>
      </w:r>
    </w:p>
    <w:p w14:paraId="077E4CB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three couples in this lawsuit either desire to be married in Utah or are already legally married elsewhere and wish to have their marriage recognized in Utah. The court summarizes below the relevant facts from the affidavits that the couples filed in </w:t>
      </w:r>
      <w:r w:rsidRPr="0019267D">
        <w:rPr>
          <w:rFonts w:ascii="Arial" w:hAnsi="Arial" w:cs="Arial"/>
          <w:color w:val="000000"/>
          <w:sz w:val="18"/>
          <w:szCs w:val="18"/>
        </w:rPr>
        <w:lastRenderedPageBreak/>
        <w:t>support of their Motion for Summary Judgment.</w:t>
      </w:r>
    </w:p>
    <w:p w14:paraId="1351394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0F593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A. </w:t>
      </w:r>
      <w:r w:rsidRPr="0019267D">
        <w:rPr>
          <w:rFonts w:ascii="Arial" w:hAnsi="Arial" w:cs="Arial"/>
          <w:i/>
          <w:iCs/>
          <w:color w:val="000000"/>
          <w:sz w:val="18"/>
          <w:szCs w:val="18"/>
        </w:rPr>
        <w:t>Derek Kitchen and Moudi Sbeity</w:t>
      </w:r>
    </w:p>
    <w:p w14:paraId="1DDE9FE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Derek Kitchen is a twenty-five-year-old man who was raised in Utah and obtained a B.A. in political science from the University of Utah. Moudi Sbeity is also twenty-five years old and was born in Houston, Texas. He grew up in Lebanon, but left that country in 2006 during the war between Lebanon and Israel. Moudi came to Logan, Utah, where he received a B.S. in economics from Utah State University. He is currently enrolled in a Master's program in economics at the University of Utah.</w:t>
      </w:r>
    </w:p>
    <w:p w14:paraId="00A9EDC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213213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Derek testifies that he knew he was gay from a young age, but that he did not come out publicly to his friends and family for several years while he struggled to define his identity. Moudi also knew he was gay when he was young and came out to his mother when he was sixteen. Moudi's mother took him to a psychiatrist because she thought he was confused, but the psychiatrist told her that there was nothing wrong with Moudi. After that visit, Moudi's mother found it easier to accept Moudi's identity, and Moudi began telling his other friends and family members. Moudi testifies that he was careful about whom he told because he was concerned that he might expose his mother to ridicule.</w:t>
      </w:r>
    </w:p>
    <w:p w14:paraId="02ED15F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C71714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Derek and Moudi met each other in 2009 and fell in love shortly after meeting. After dating for eighteen months, the two moved in together in Salt Lake City. Derek and Moudi run a business called “Laziz” that they jointly started. Laziz produces and sells Middle Eastern spreads such as hummus, muhammara, and toum to Utah businesses like Harmon's and the Avenues Bistro. Having maintained a committed relationship for over four years, Derek and Moudi desire to marry each other. They were denied a marriage license from the Salt Lake County Clerk's office in March 2013.</w:t>
      </w:r>
    </w:p>
    <w:p w14:paraId="071465C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490C74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B. </w:t>
      </w:r>
      <w:r w:rsidRPr="0019267D">
        <w:rPr>
          <w:rFonts w:ascii="Arial" w:hAnsi="Arial" w:cs="Arial"/>
          <w:i/>
          <w:iCs/>
          <w:color w:val="000000"/>
          <w:sz w:val="18"/>
          <w:szCs w:val="18"/>
        </w:rPr>
        <w:t>Karen Archer and Kate Call</w:t>
      </w:r>
    </w:p>
    <w:p w14:paraId="3139B5A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Karen Archer was born in Maryland in 1946, but spent most of her life in Boulder, Colorado. She received a B.A. and an M.D. from the University of Texas, after which she completed her residency in OB/GYN at the Pennsylvania State University. She worked as a doctor until 2001, when she retired after developing two serious illnesses. Karen experienced a number of hardships due to her sexual identity. Karen came out to her parents when she was twenty-six years old, but her parents believed that her sexual orientation was an abnormality and never accepted this aspect of Karen's identity. Karen was one of thirteen women in a medical school class of 350, and she recalls that her male classmates often referred to the female students as “dykes.” Karen also testifies that she was once present at a gay bar when it was raided by the police, who assaulted the bar patrons with their batons.</w:t>
      </w:r>
    </w:p>
    <w:p w14:paraId="0DFB813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49A07B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Kate Call is sixty years old and spent her earliest years in Wisconsin and Mexico, where her parents were mission presidents for the Church of Jesus Christ of Latter-day Saints. When she was eight years old, Kate moved to Provo, Utah, where her father worked as a professor at Brigham Young University. Kate received her B.A. from BYU in 1974. While she was in college, she dated several men and was even engaged twice. Although she hoped that she would begin to feel a more intimate connection if she committed herself to marriage, she broke off both engagements because she never developed any physical attraction to her fiancés. Kate began to realize that she was a lesbian, a feeling that continued to develop while she was serving a mission in Argentina. She wrote a letter sharing these feelings to her mission president, who, without Kate's consent, faxed Kate's message to church authorities and her parents. Kate's family was sad and puzzled at first, but ultimately told her that they loved her unconditionally.</w:t>
      </w:r>
    </w:p>
    <w:p w14:paraId="2427737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885709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During her professional life, Kate owned a number of businesses. In 2000, she bought a sheep ranch in San Juan County and moved there with D., her partner at the time. Kate worked seasonally for the National Park Service and D. found a job at the Youth Detention facility in Blanding. But when rumors surfaced that D. was a lesbian, D.'s boss told her that she needed to move away from Kate's ranch if she wished to keep her job. While Kate was helping D. move, someone from D.'s work saw Kate's vehicle at D.'s new trailer. That person reported the sighting to D.'s boss, and D. was fired. Several weeks later, Kate's supervisor also told her that her services were no longer needed. Kate never found out why she was let go, but she surmises that her supervisor may have been pressured by D.'s boss, who was one of her supervisor's mentors. Kate and D. moved back to the Wasatch Front, and Kate was eventually forced to sell the ranch. Kate testifies that she and D. split up as a result of the difficult challenges they had faced, and Kate eventually moved to Moab.</w:t>
      </w:r>
    </w:p>
    <w:p w14:paraId="523D8BA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E2358F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Karen and Kate met online through a dating website and were immediately attracted to each other when they first met in person. Karen moved from Colorado to Utah, and the couple now lives in Wallsburg. The two are both concerned about how they will support each other in the event that one of them passes away, a consideration that is especially urgent in light of Karen's illness. Karen has had difficult experiences with the legal aspects of protecting a same-sex union in the past. Before meeting Kate, Karen had two partners who passed away while she was with them. While partnered to a woman named Diana, Karen had to pay </w:t>
      </w:r>
      <w:r w:rsidRPr="0019267D">
        <w:rPr>
          <w:rFonts w:ascii="Arial" w:hAnsi="Arial" w:cs="Arial"/>
          <w:color w:val="000000"/>
          <w:sz w:val="18"/>
          <w:szCs w:val="18"/>
        </w:rPr>
        <w:lastRenderedPageBreak/>
        <w:t>an attorney approximately one thousand dollars to draw up a large number of legal documents to guarantee certain rights: emergency contacts, visitation rights, power of attorney for medical and financial decisions, medical directives, living wills, insurance beneficiaries, and last wills and testaments. Despite these documents, Karen was unable to receive Diana's military pension when Diana died in 2005.</w:t>
      </w:r>
    </w:p>
    <w:p w14:paraId="4D19BB2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F2D877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Karen and Kate have drawn up similar legal papers, but they are concerned that these papers may be subject to challenges because they are not legally recognized as a couple in Utah. In an attempt to protect themselves further, Karen and Kate flew to Iowa to be wed in a city courthouse. Because of the cost of the plane tickets, the couple was not able to have friends and family attend, and the pair had their suitcases by their side when they said, “I do.” Kate testifies that the pragmatism of their Iowa wedding was born out of the necessity of providing whatever security they could for their relationship. Under current law, Utah does not recognize their marriage performed in Iowa.</w:t>
      </w:r>
    </w:p>
    <w:p w14:paraId="40B2678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73964C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C. </w:t>
      </w:r>
      <w:r w:rsidRPr="0019267D">
        <w:rPr>
          <w:rFonts w:ascii="Arial" w:hAnsi="Arial" w:cs="Arial"/>
          <w:i/>
          <w:iCs/>
          <w:color w:val="000000"/>
          <w:sz w:val="18"/>
          <w:szCs w:val="18"/>
        </w:rPr>
        <w:t>Laurie Wood and Kody Partridge</w:t>
      </w:r>
    </w:p>
    <w:p w14:paraId="0FDCFB5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Laurie Wood has lived in Utah since she was three years old. She grew up in American Fork, received a B.A. from the University of Utah, and received her Master's degree from BYU. She spent over eleven years teaching in the public school system in Utah County and is now employed by Utah Valley University. She teaches undergraduate courses as an Associate Professor of English in the English and Literature Department, and also works as the Concurrent Enrollment Coordinator supervising high school instructors who teach as UVU adjuncts in high schools across Utah County. She has served on the Board of Directors for the American Civil Liberties Union for fifteen years and co-founded the non-profit Women's Redrock Music Festival in 2006. Laurie was not open about her sexual identity while she was a public school teacher because she believed she would be fired if she said anything. She came out when she was hired at UVU. While she dated men in high school and college, she never felt comfortable or authentic in her relationships until she began dating women.</w:t>
      </w:r>
    </w:p>
    <w:p w14:paraId="2BA418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148ACF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Kody Partridge is forty-seven years old and moved to Utah from Montana in 1984 to attend BYU. She received her B.A. in Spanish and humanities and later obtained a Master's degree in English. She earned a teaching certificate in 1998 and began teaching at Butler Middle School in Salt Lake County. She realized that she was a lesbian while she was in college, and her family eventually came to accept her identity. She did not feel she could be open about her identity at work because of the worry that her job would be at risk. While she was teaching at Butler, Kody recalls that the story of Wendy Weaver was often in the news. Ms. Weaver was a teacher and coach at a Utah public school who was fired because she was a lesbian. Kody also became aware that the pension she was building in Utah Retirement Systems as a result of her teaching career could not be inherited by a life partner. Given these concerns, Kody applied and was accepted for a position in the English department at Rowland Hall–St. Mark's, a private school that provides benefits for the same-sex partners of its faculty members. Kody volunteers with the Utah AIDS Foundation and has traveled with her students to New Orleans four times after Hurricane Katrina to help build homes with Habitat for Humanity.</w:t>
      </w:r>
    </w:p>
    <w:p w14:paraId="6C20442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CE2ECB3"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Laurie and Kody met and fell in love in 2010. Besides the fact that they are both English teachers, the two share an interest in books and gardening and have the same long-term goals for their committed relationship. They wish to marry, but were denied a marriage license from the Salt Lake County Clerk's office in March 2013.</w:t>
      </w:r>
    </w:p>
    <w:p w14:paraId="189F5DC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4DD717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II. History of Amendment 3</w:t>
      </w:r>
    </w:p>
    <w:p w14:paraId="2E56915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Utah laws that are at issue in this lawsuit include two statutory prohibitions on same-sex unions and an amendment to the Utah Constitution. The court discusses the history of these laws in the context of the ongoing national debate surrounding same-sex marriage.</w:t>
      </w:r>
    </w:p>
    <w:p w14:paraId="4A1359E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36DBB5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1977, the Utah legislature amended </w:t>
      </w:r>
      <w:hyperlink r:id="rId372" w:history="1">
        <w:r w:rsidRPr="0019267D">
          <w:rPr>
            <w:rFonts w:ascii="Arial" w:hAnsi="Arial" w:cs="Arial"/>
            <w:color w:val="0000FF"/>
            <w:sz w:val="18"/>
            <w:szCs w:val="18"/>
          </w:rPr>
          <w:t>Section 30–1–2 of the Utah Code</w:t>
        </w:r>
      </w:hyperlink>
      <w:r w:rsidRPr="0019267D">
        <w:rPr>
          <w:rFonts w:ascii="Arial" w:hAnsi="Arial" w:cs="Arial"/>
          <w:color w:val="000000"/>
          <w:sz w:val="18"/>
          <w:szCs w:val="18"/>
        </w:rPr>
        <w:t xml:space="preserve"> to state that marriages “between persons of the same sex” were “prohibited and declared void.” In 2004, the Utah legislature passed </w:t>
      </w:r>
      <w:hyperlink r:id="rId373" w:history="1">
        <w:r w:rsidRPr="0019267D">
          <w:rPr>
            <w:rFonts w:ascii="Arial" w:hAnsi="Arial" w:cs="Arial"/>
            <w:color w:val="0000FF"/>
            <w:sz w:val="18"/>
            <w:szCs w:val="18"/>
          </w:rPr>
          <w:t>Section 30–1–4.1 of the Utah Code</w:t>
        </w:r>
      </w:hyperlink>
      <w:r w:rsidRPr="0019267D">
        <w:rPr>
          <w:rFonts w:ascii="Arial" w:hAnsi="Arial" w:cs="Arial"/>
          <w:color w:val="000000"/>
          <w:sz w:val="18"/>
          <w:szCs w:val="18"/>
        </w:rPr>
        <w:t>, which provides:</w:t>
      </w:r>
    </w:p>
    <w:p w14:paraId="03B8646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3EF8F11"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(1) (a) It is the policy of this state to recognize as marriage only the legal union of a man and a woman as provided in this chapter.</w:t>
      </w:r>
    </w:p>
    <w:p w14:paraId="2850510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C402DF7" w14:textId="77777777" w:rsidR="00743F35" w:rsidRPr="0019267D" w:rsidRDefault="00743F35" w:rsidP="00743F35">
      <w:pPr>
        <w:widowControl w:val="0"/>
        <w:autoSpaceDE w:val="0"/>
        <w:autoSpaceDN w:val="0"/>
        <w:adjustRightInd w:val="0"/>
        <w:ind w:left="360"/>
        <w:jc w:val="both"/>
        <w:rPr>
          <w:rFonts w:ascii="Arial" w:hAnsi="Arial" w:cs="Arial"/>
          <w:color w:val="000000"/>
          <w:sz w:val="18"/>
          <w:szCs w:val="18"/>
        </w:rPr>
      </w:pPr>
      <w:r w:rsidRPr="0019267D">
        <w:rPr>
          <w:rFonts w:ascii="Arial" w:hAnsi="Arial" w:cs="Arial"/>
          <w:color w:val="000000"/>
          <w:sz w:val="18"/>
          <w:szCs w:val="18"/>
        </w:rPr>
        <w:t>(b) Except for the relationship of marriage between a man and a woman recognized pursuant to this chapter, this state will not recognize, enforce, or give legal effect to any law creating any legal status, rights, benefits, or duties that are substantially equivalent to those provided under Utah law to a man and woman because they are married.</w:t>
      </w:r>
    </w:p>
    <w:p w14:paraId="353022B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2B092F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lastRenderedPageBreak/>
        <w:t>In the 2004 General Session, the Utah legislature also passed a Joint Resolution on Marriage, which directed the Lieutenant Governor to submit the following proposed amendment to the Utah Constitution to the voters of Utah:</w:t>
      </w:r>
    </w:p>
    <w:p w14:paraId="1B03927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31756B7"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(1) Marriage consists only of the legal union between a man and a woman.</w:t>
      </w:r>
    </w:p>
    <w:p w14:paraId="6166A91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A72701D"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(2) No other domestic union, however denominated, may be recognized as a marriage or given the same or substantially equivalent legal effect.</w:t>
      </w:r>
    </w:p>
    <w:p w14:paraId="5343D35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C0E888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Laws 2004, H.J.R. 25 § 1. The proposed amendment, which became known as Amendment 3, was placed on the ballot for the general election on November 2, 2004. Amendment 3 passed with the support of approximately 66% of the voters. The language in Amendment 3 was then amended to the Utah Constitution as </w:t>
      </w:r>
      <w:hyperlink r:id="rId374" w:history="1">
        <w:r w:rsidRPr="0019267D">
          <w:rPr>
            <w:rFonts w:ascii="Arial" w:hAnsi="Arial" w:cs="Arial"/>
            <w:color w:val="0000FF"/>
            <w:sz w:val="18"/>
            <w:szCs w:val="18"/>
          </w:rPr>
          <w:t>Article I, § 29</w:t>
        </w:r>
      </w:hyperlink>
      <w:r w:rsidRPr="0019267D">
        <w:rPr>
          <w:rFonts w:ascii="Arial" w:hAnsi="Arial" w:cs="Arial"/>
          <w:color w:val="000000"/>
          <w:sz w:val="18"/>
          <w:szCs w:val="18"/>
        </w:rPr>
        <w:t>, which went into effect on January 1, 2005.</w:t>
      </w:r>
      <w:hyperlink w:anchor="Document1zzB00112032351566" w:history="1">
        <w:r w:rsidRPr="0019267D">
          <w:rPr>
            <w:rFonts w:ascii="Arial" w:hAnsi="Arial" w:cs="Arial"/>
            <w:color w:val="0000FF"/>
            <w:sz w:val="18"/>
            <w:szCs w:val="18"/>
            <w:vertAlign w:val="superscript"/>
          </w:rPr>
          <w:t>FN1</w:t>
        </w:r>
      </w:hyperlink>
      <w:bookmarkStart w:id="51" w:name="Document1zzF00112032351566"/>
      <w:bookmarkEnd w:id="51"/>
    </w:p>
    <w:p w14:paraId="0499063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D90AEB7"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112032351566" w:history="1">
        <w:r w:rsidR="00743F35" w:rsidRPr="0019267D">
          <w:rPr>
            <w:rFonts w:ascii="Arial" w:hAnsi="Arial" w:cs="Arial"/>
            <w:color w:val="0000FF"/>
            <w:sz w:val="18"/>
            <w:szCs w:val="18"/>
          </w:rPr>
          <w:t>FN1.</w:t>
        </w:r>
      </w:hyperlink>
      <w:bookmarkStart w:id="52" w:name="Document1zzB00112032351566"/>
      <w:bookmarkEnd w:id="52"/>
      <w:r w:rsidR="00743F35" w:rsidRPr="0019267D">
        <w:rPr>
          <w:rFonts w:ascii="Arial" w:hAnsi="Arial" w:cs="Arial"/>
          <w:color w:val="000000"/>
          <w:sz w:val="18"/>
          <w:szCs w:val="18"/>
        </w:rPr>
        <w:t xml:space="preserve"> Unless noted otherwise, the court will refer to Amendment 3 in this opinion to mean both the Utah constitutional amendment and the Utah statutory provisions that prohibit same-sex marriage.</w:t>
      </w:r>
    </w:p>
    <w:p w14:paraId="328BA5E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2687FD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These developments were influenced by a number of events occurring nationally. In 1993, the Hawaii Supreme Court found that the State of Hawaii's refusal to grant same-sex couples marriage licenses was discriminatory. </w:t>
      </w:r>
      <w:hyperlink r:id="rId375" w:history="1">
        <w:r w:rsidRPr="0019267D">
          <w:rPr>
            <w:rFonts w:ascii="Arial" w:hAnsi="Arial" w:cs="Arial"/>
            <w:i/>
            <w:iCs/>
            <w:color w:val="0000FF"/>
            <w:sz w:val="18"/>
            <w:szCs w:val="18"/>
          </w:rPr>
          <w:t>Baehr v. Lewin,</w:t>
        </w:r>
      </w:hyperlink>
      <w:hyperlink r:id="rId376" w:history="1">
        <w:r w:rsidRPr="0019267D">
          <w:rPr>
            <w:rFonts w:ascii="Arial" w:hAnsi="Arial" w:cs="Arial"/>
            <w:color w:val="0000FF"/>
            <w:sz w:val="18"/>
            <w:szCs w:val="18"/>
          </w:rPr>
          <w:t xml:space="preserve"> 74 Haw. 530, 852 P.2d 44, 59 (1993)</w:t>
        </w:r>
      </w:hyperlink>
      <w:r w:rsidRPr="0019267D">
        <w:rPr>
          <w:rFonts w:ascii="Arial" w:hAnsi="Arial" w:cs="Arial"/>
          <w:color w:val="000000"/>
          <w:sz w:val="18"/>
          <w:szCs w:val="18"/>
        </w:rPr>
        <w:t>.</w:t>
      </w:r>
      <w:hyperlink w:anchor="Document1zzB00222032351566" w:history="1">
        <w:r w:rsidRPr="0019267D">
          <w:rPr>
            <w:rFonts w:ascii="Arial" w:hAnsi="Arial" w:cs="Arial"/>
            <w:color w:val="0000FF"/>
            <w:sz w:val="18"/>
            <w:szCs w:val="18"/>
            <w:vertAlign w:val="superscript"/>
          </w:rPr>
          <w:t>FN2</w:t>
        </w:r>
      </w:hyperlink>
      <w:bookmarkStart w:id="53" w:name="Document1zzF00222032351566"/>
      <w:bookmarkEnd w:id="53"/>
      <w:r w:rsidRPr="0019267D">
        <w:rPr>
          <w:rFonts w:ascii="Arial" w:hAnsi="Arial" w:cs="Arial"/>
          <w:color w:val="000000"/>
          <w:sz w:val="18"/>
          <w:szCs w:val="18"/>
        </w:rPr>
        <w:t xml:space="preserve"> And in 1999, the Vermont Supreme Court held that the State of Vermont was required to offer all the benefits of marriage to same-sex couples. </w:t>
      </w:r>
      <w:hyperlink r:id="rId377" w:history="1">
        <w:r w:rsidRPr="0019267D">
          <w:rPr>
            <w:rFonts w:ascii="Arial" w:hAnsi="Arial" w:cs="Arial"/>
            <w:i/>
            <w:iCs/>
            <w:color w:val="0000FF"/>
            <w:sz w:val="18"/>
            <w:szCs w:val="18"/>
          </w:rPr>
          <w:t>Baker v. Vermont,</w:t>
        </w:r>
      </w:hyperlink>
      <w:hyperlink r:id="rId378" w:history="1">
        <w:r w:rsidRPr="0019267D">
          <w:rPr>
            <w:rFonts w:ascii="Arial" w:hAnsi="Arial" w:cs="Arial"/>
            <w:color w:val="0000FF"/>
            <w:sz w:val="18"/>
            <w:szCs w:val="18"/>
          </w:rPr>
          <w:t xml:space="preserve"> 170 Vt. 194, 744 A.2d 864, 886–87 (1999)</w:t>
        </w:r>
      </w:hyperlink>
      <w:r w:rsidRPr="0019267D">
        <w:rPr>
          <w:rFonts w:ascii="Arial" w:hAnsi="Arial" w:cs="Arial"/>
          <w:color w:val="000000"/>
          <w:sz w:val="18"/>
          <w:szCs w:val="18"/>
        </w:rPr>
        <w:t>.</w:t>
      </w:r>
      <w:hyperlink w:anchor="Document1zzB00332032351566" w:history="1">
        <w:r w:rsidRPr="0019267D">
          <w:rPr>
            <w:rFonts w:ascii="Arial" w:hAnsi="Arial" w:cs="Arial"/>
            <w:color w:val="0000FF"/>
            <w:sz w:val="18"/>
            <w:szCs w:val="18"/>
            <w:vertAlign w:val="superscript"/>
          </w:rPr>
          <w:t>FN3</w:t>
        </w:r>
      </w:hyperlink>
      <w:bookmarkStart w:id="54" w:name="Document1zzF00332032351566"/>
      <w:bookmarkEnd w:id="54"/>
      <w:r w:rsidRPr="0019267D">
        <w:rPr>
          <w:rFonts w:ascii="Arial" w:hAnsi="Arial" w:cs="Arial"/>
          <w:color w:val="000000"/>
          <w:sz w:val="18"/>
          <w:szCs w:val="18"/>
        </w:rPr>
        <w:t xml:space="preserve"> Two court cases in 2003 immediately preceded Utah's decision to amend its Constitution. First, the United States Supreme Court ruled that the Due Process Clause of the Fourteenth Amendment protected the sexual relations of gay men and lesbians. </w:t>
      </w:r>
      <w:hyperlink r:id="rId379" w:history="1">
        <w:r w:rsidRPr="0019267D">
          <w:rPr>
            <w:rFonts w:ascii="Arial" w:hAnsi="Arial" w:cs="Arial"/>
            <w:i/>
            <w:iCs/>
            <w:color w:val="0000FF"/>
            <w:sz w:val="18"/>
            <w:szCs w:val="18"/>
          </w:rPr>
          <w:t>Lawrence v. Texas,</w:t>
        </w:r>
      </w:hyperlink>
      <w:hyperlink r:id="rId380" w:history="1">
        <w:r w:rsidRPr="0019267D">
          <w:rPr>
            <w:rFonts w:ascii="Arial" w:hAnsi="Arial" w:cs="Arial"/>
            <w:color w:val="0000FF"/>
            <w:sz w:val="18"/>
            <w:szCs w:val="18"/>
          </w:rPr>
          <w:t xml:space="preserve"> 539 U.S. 558, 578, 123 S.Ct. 2472, 156 L.Ed.2d 508 (2003)</w:t>
        </w:r>
      </w:hyperlink>
      <w:r w:rsidRPr="0019267D">
        <w:rPr>
          <w:rFonts w:ascii="Arial" w:hAnsi="Arial" w:cs="Arial"/>
          <w:color w:val="000000"/>
          <w:sz w:val="18"/>
          <w:szCs w:val="18"/>
        </w:rPr>
        <w:t xml:space="preserve">. Second, the Supreme Court of Massachusetts ruled that the Massachusetts Constitution protected the right of same-sex couples to marry. </w:t>
      </w:r>
      <w:hyperlink r:id="rId381" w:history="1">
        <w:r w:rsidRPr="0019267D">
          <w:rPr>
            <w:rFonts w:ascii="Arial" w:hAnsi="Arial" w:cs="Arial"/>
            <w:i/>
            <w:iCs/>
            <w:color w:val="0000FF"/>
            <w:sz w:val="18"/>
            <w:szCs w:val="18"/>
          </w:rPr>
          <w:t>Goodridge v. Dep't of Pub. Health,</w:t>
        </w:r>
      </w:hyperlink>
      <w:hyperlink r:id="rId382" w:history="1">
        <w:r w:rsidRPr="0019267D">
          <w:rPr>
            <w:rFonts w:ascii="Arial" w:hAnsi="Arial" w:cs="Arial"/>
            <w:color w:val="0000FF"/>
            <w:sz w:val="18"/>
            <w:szCs w:val="18"/>
          </w:rPr>
          <w:t xml:space="preserve"> 440 Mass. 309, 798 N.E.2d 941, 948 (2003)</w:t>
        </w:r>
      </w:hyperlink>
      <w:r w:rsidRPr="0019267D">
        <w:rPr>
          <w:rFonts w:ascii="Arial" w:hAnsi="Arial" w:cs="Arial"/>
          <w:color w:val="000000"/>
          <w:sz w:val="18"/>
          <w:szCs w:val="18"/>
        </w:rPr>
        <w:t>.</w:t>
      </w:r>
    </w:p>
    <w:p w14:paraId="6DFD045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E9B6D85"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222032351566" w:history="1">
        <w:r w:rsidR="00743F35" w:rsidRPr="0019267D">
          <w:rPr>
            <w:rFonts w:ascii="Arial" w:hAnsi="Arial" w:cs="Arial"/>
            <w:color w:val="0000FF"/>
            <w:sz w:val="18"/>
            <w:szCs w:val="18"/>
          </w:rPr>
          <w:t>FN2.</w:t>
        </w:r>
      </w:hyperlink>
      <w:bookmarkStart w:id="55" w:name="Document1zzB00222032351566"/>
      <w:bookmarkEnd w:id="55"/>
      <w:r w:rsidR="00743F35" w:rsidRPr="0019267D">
        <w:rPr>
          <w:rFonts w:ascii="Arial" w:hAnsi="Arial" w:cs="Arial"/>
          <w:color w:val="000000"/>
          <w:sz w:val="18"/>
          <w:szCs w:val="18"/>
        </w:rPr>
        <w:t xml:space="preserve"> The Hawaii Supreme Court remanded the case to the trial court to determine if the state could show that its marriage statute was narrowly drawn to further compelling state interests. </w:t>
      </w:r>
      <w:hyperlink r:id="rId383" w:history="1">
        <w:r w:rsidR="00743F35" w:rsidRPr="0019267D">
          <w:rPr>
            <w:rFonts w:ascii="Arial" w:hAnsi="Arial" w:cs="Arial"/>
            <w:i/>
            <w:iCs/>
            <w:color w:val="0000FF"/>
            <w:sz w:val="18"/>
            <w:szCs w:val="18"/>
          </w:rPr>
          <w:t>Baehr,</w:t>
        </w:r>
      </w:hyperlink>
      <w:hyperlink r:id="rId384" w:history="1">
        <w:r w:rsidR="00743F35" w:rsidRPr="0019267D">
          <w:rPr>
            <w:rFonts w:ascii="Arial" w:hAnsi="Arial" w:cs="Arial"/>
            <w:color w:val="0000FF"/>
            <w:sz w:val="18"/>
            <w:szCs w:val="18"/>
          </w:rPr>
          <w:t xml:space="preserve"> 852 P.2d at 68.</w:t>
        </w:r>
      </w:hyperlink>
      <w:r w:rsidR="00743F35" w:rsidRPr="0019267D">
        <w:rPr>
          <w:rFonts w:ascii="Arial" w:hAnsi="Arial" w:cs="Arial"/>
          <w:color w:val="000000"/>
          <w:sz w:val="18"/>
          <w:szCs w:val="18"/>
        </w:rPr>
        <w:t xml:space="preserve"> The trial court ruled that the government failed to make this showing. </w:t>
      </w:r>
      <w:hyperlink r:id="rId385" w:history="1">
        <w:r w:rsidR="00743F35" w:rsidRPr="0019267D">
          <w:rPr>
            <w:rFonts w:ascii="Arial" w:hAnsi="Arial" w:cs="Arial"/>
            <w:i/>
            <w:iCs/>
            <w:color w:val="0000FF"/>
            <w:sz w:val="18"/>
            <w:szCs w:val="18"/>
          </w:rPr>
          <w:t>Baehr v. Miike,</w:t>
        </w:r>
      </w:hyperlink>
      <w:hyperlink r:id="rId386" w:history="1">
        <w:r w:rsidR="00743F35" w:rsidRPr="0019267D">
          <w:rPr>
            <w:rFonts w:ascii="Arial" w:hAnsi="Arial" w:cs="Arial"/>
            <w:color w:val="0000FF"/>
            <w:sz w:val="18"/>
            <w:szCs w:val="18"/>
          </w:rPr>
          <w:t xml:space="preserve"> No. 91–1394, 1996 WL 694235, at *22 (Haw.Cir.Ct. Dec. 3, 1996)</w:t>
        </w:r>
      </w:hyperlink>
      <w:r w:rsidR="00743F35" w:rsidRPr="0019267D">
        <w:rPr>
          <w:rFonts w:ascii="Arial" w:hAnsi="Arial" w:cs="Arial"/>
          <w:color w:val="000000"/>
          <w:sz w:val="18"/>
          <w:szCs w:val="18"/>
        </w:rPr>
        <w:t>. The trial court's decision was rendered moot after Hawaii passed a constitutional amendment that granted the Hawaii legislature the ability to reserve marriage for opposite-sex couples. Recently, the legislature reversed course and legalized same-sex marriage. Same-sex couples began marrying in Hawaii on December 2, 2013.</w:t>
      </w:r>
    </w:p>
    <w:p w14:paraId="4BC555E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C7DE099"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332032351566" w:history="1">
        <w:r w:rsidR="00743F35" w:rsidRPr="0019267D">
          <w:rPr>
            <w:rFonts w:ascii="Arial" w:hAnsi="Arial" w:cs="Arial"/>
            <w:color w:val="0000FF"/>
            <w:sz w:val="18"/>
            <w:szCs w:val="18"/>
          </w:rPr>
          <w:t>FN3.</w:t>
        </w:r>
      </w:hyperlink>
      <w:bookmarkStart w:id="56" w:name="Document1zzB00332032351566"/>
      <w:bookmarkEnd w:id="56"/>
      <w:r w:rsidR="00743F35" w:rsidRPr="0019267D">
        <w:rPr>
          <w:rFonts w:ascii="Arial" w:hAnsi="Arial" w:cs="Arial"/>
          <w:color w:val="000000"/>
          <w:sz w:val="18"/>
          <w:szCs w:val="18"/>
        </w:rPr>
        <w:t xml:space="preserve"> The Vermont legislature complied with this mandate by creating a new legal status called a “civil union.” The legislature later permitted same-sex marriage through a statute that went into effect on September 1, 2009.</w:t>
      </w:r>
    </w:p>
    <w:p w14:paraId="341E51A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A30630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Since 2003, every other state has either legalized same-sex marriage </w:t>
      </w:r>
      <w:hyperlink w:anchor="Document1zzB00442032351566" w:history="1">
        <w:r w:rsidRPr="0019267D">
          <w:rPr>
            <w:rFonts w:ascii="Arial" w:hAnsi="Arial" w:cs="Arial"/>
            <w:color w:val="0000FF"/>
            <w:sz w:val="18"/>
            <w:szCs w:val="18"/>
            <w:vertAlign w:val="superscript"/>
          </w:rPr>
          <w:t>FN4</w:t>
        </w:r>
      </w:hyperlink>
      <w:bookmarkStart w:id="57" w:name="Document1zzF00442032351566"/>
      <w:bookmarkEnd w:id="57"/>
      <w:r w:rsidRPr="0019267D">
        <w:rPr>
          <w:rFonts w:ascii="Arial" w:hAnsi="Arial" w:cs="Arial"/>
          <w:color w:val="000000"/>
          <w:sz w:val="18"/>
          <w:szCs w:val="18"/>
        </w:rPr>
        <w:t xml:space="preserve"> or, like Utah, passed a constitutional amendment or other legislation to prohibit same-sex unions. During the past two decades, the federal government has also been involved in the same-sex marriage debate. In 1996, Congress passed the Defense of Marriage Act (DOMA), which allowed states to refuse to recognize same-sex marriages granted in other states and barred federal recognition of same-sex unions for the purposes of federal law. Act of Sept. 21, 1996, </w:t>
      </w:r>
      <w:hyperlink r:id="rId387" w:history="1">
        <w:r w:rsidRPr="0019267D">
          <w:rPr>
            <w:rFonts w:ascii="Arial" w:hAnsi="Arial" w:cs="Arial"/>
            <w:color w:val="0000FF"/>
            <w:sz w:val="18"/>
            <w:szCs w:val="18"/>
          </w:rPr>
          <w:t>Pub.L. 104–199, 110 Stat. 2419.</w:t>
        </w:r>
      </w:hyperlink>
      <w:r w:rsidRPr="0019267D">
        <w:rPr>
          <w:rFonts w:ascii="Arial" w:hAnsi="Arial" w:cs="Arial"/>
          <w:color w:val="000000"/>
          <w:sz w:val="18"/>
          <w:szCs w:val="18"/>
        </w:rPr>
        <w:t xml:space="preserve"> In 2013, the Supreme Court held that Section 3 of DOMA was unconstitutional.</w:t>
      </w:r>
      <w:hyperlink w:anchor="Document1zzB00552032351566" w:history="1">
        <w:r w:rsidRPr="0019267D">
          <w:rPr>
            <w:rFonts w:ascii="Arial" w:hAnsi="Arial" w:cs="Arial"/>
            <w:color w:val="0000FF"/>
            <w:sz w:val="18"/>
            <w:szCs w:val="18"/>
            <w:vertAlign w:val="superscript"/>
          </w:rPr>
          <w:t>FN5</w:t>
        </w:r>
      </w:hyperlink>
      <w:bookmarkStart w:id="58" w:name="Document1zzF00552032351566"/>
      <w:bookmarkEnd w:id="58"/>
      <w:r w:rsidRPr="0019267D">
        <w:rPr>
          <w:rFonts w:ascii="Arial" w:hAnsi="Arial" w:cs="Arial"/>
          <w:color w:val="000000"/>
          <w:sz w:val="18"/>
          <w:szCs w:val="18"/>
        </w:rPr>
        <w:t xml:space="preserve"> </w:t>
      </w:r>
      <w:hyperlink r:id="rId388" w:history="1">
        <w:r w:rsidRPr="0019267D">
          <w:rPr>
            <w:rFonts w:ascii="Arial" w:hAnsi="Arial" w:cs="Arial"/>
            <w:i/>
            <w:iCs/>
            <w:color w:val="0000FF"/>
            <w:sz w:val="18"/>
            <w:szCs w:val="18"/>
          </w:rPr>
          <w:t>United States v. Windsor,</w:t>
        </w:r>
      </w:hyperlink>
      <w:hyperlink r:id="rId389" w:history="1">
        <w:r w:rsidRPr="0019267D">
          <w:rPr>
            <w:rFonts w:ascii="Arial" w:hAnsi="Arial" w:cs="Arial"/>
            <w:color w:val="0000FF"/>
            <w:sz w:val="18"/>
            <w:szCs w:val="18"/>
          </w:rPr>
          <w:t xml:space="preserve"> ––– U.S. ––––, 133 S.Ct. 2675, 2696, 186 L.Ed.2d 808 (2013)</w:t>
        </w:r>
      </w:hyperlink>
      <w:r w:rsidRPr="0019267D">
        <w:rPr>
          <w:rFonts w:ascii="Arial" w:hAnsi="Arial" w:cs="Arial"/>
          <w:color w:val="000000"/>
          <w:sz w:val="18"/>
          <w:szCs w:val="18"/>
        </w:rPr>
        <w:t>.</w:t>
      </w:r>
    </w:p>
    <w:p w14:paraId="7D5466D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9FB7CF6"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442032351566" w:history="1">
        <w:r w:rsidR="00743F35" w:rsidRPr="0019267D">
          <w:rPr>
            <w:rFonts w:ascii="Arial" w:hAnsi="Arial" w:cs="Arial"/>
            <w:color w:val="0000FF"/>
            <w:sz w:val="18"/>
            <w:szCs w:val="18"/>
          </w:rPr>
          <w:t>FN4.</w:t>
        </w:r>
      </w:hyperlink>
      <w:bookmarkStart w:id="59" w:name="Document1zzB00442032351566"/>
      <w:bookmarkEnd w:id="59"/>
      <w:r w:rsidR="00743F35" w:rsidRPr="0019267D">
        <w:rPr>
          <w:rFonts w:ascii="Arial" w:hAnsi="Arial" w:cs="Arial"/>
          <w:color w:val="000000"/>
          <w:sz w:val="18"/>
          <w:szCs w:val="18"/>
        </w:rPr>
        <w:t xml:space="preserve"> Six states have legalized same-sex marriage through court decisions (California, Connecticut, Iowa, Massachusetts, New Jersey, New Mexico); eight states have passed same-sex marriage legislation (Delaware, Hawaii, Illinois, Minnesota, New Hampshire, New York, Rhode Island, Vermont); and three states have legalized same-sex marriage through a popular vote (Maine, Maryland, Washington). Same-sex marriage is also legal in Washington, D.C.</w:t>
      </w:r>
    </w:p>
    <w:p w14:paraId="2FF5BE4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190E277"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552032351566" w:history="1">
        <w:r w:rsidR="00743F35" w:rsidRPr="0019267D">
          <w:rPr>
            <w:rFonts w:ascii="Arial" w:hAnsi="Arial" w:cs="Arial"/>
            <w:color w:val="0000FF"/>
            <w:sz w:val="18"/>
            <w:szCs w:val="18"/>
          </w:rPr>
          <w:t>FN5.</w:t>
        </w:r>
      </w:hyperlink>
      <w:bookmarkStart w:id="60" w:name="Document1zzB00552032351566"/>
      <w:bookmarkEnd w:id="60"/>
      <w:r w:rsidR="00743F35" w:rsidRPr="0019267D">
        <w:rPr>
          <w:rFonts w:ascii="Arial" w:hAnsi="Arial" w:cs="Arial"/>
          <w:color w:val="000000"/>
          <w:sz w:val="18"/>
          <w:szCs w:val="18"/>
        </w:rPr>
        <w:t xml:space="preserve"> As discussed below, Section 3 defined marriage as the union between a man and a woman for purposes of federal law. The Court did not consider a challenge to Section 2, which allows states to refuse to recognize same-sex marriages validly performed in other states. </w:t>
      </w:r>
      <w:r w:rsidR="00743F35" w:rsidRPr="0019267D">
        <w:rPr>
          <w:rFonts w:ascii="Arial" w:hAnsi="Arial" w:cs="Arial"/>
          <w:i/>
          <w:iCs/>
          <w:color w:val="000000"/>
          <w:sz w:val="18"/>
          <w:szCs w:val="18"/>
        </w:rPr>
        <w:t>See</w:t>
      </w:r>
      <w:r w:rsidR="00743F35" w:rsidRPr="0019267D">
        <w:rPr>
          <w:rFonts w:ascii="Arial" w:hAnsi="Arial" w:cs="Arial"/>
          <w:color w:val="000000"/>
          <w:sz w:val="18"/>
          <w:szCs w:val="18"/>
        </w:rPr>
        <w:t xml:space="preserve"> </w:t>
      </w:r>
      <w:hyperlink r:id="rId390" w:history="1">
        <w:r w:rsidR="00743F35" w:rsidRPr="0019267D">
          <w:rPr>
            <w:rFonts w:ascii="Arial" w:hAnsi="Arial" w:cs="Arial"/>
            <w:color w:val="0000FF"/>
            <w:sz w:val="18"/>
            <w:szCs w:val="18"/>
          </w:rPr>
          <w:t>28 U.S.C. § 1738C</w:t>
        </w:r>
      </w:hyperlink>
      <w:r w:rsidR="00743F35" w:rsidRPr="0019267D">
        <w:rPr>
          <w:rFonts w:ascii="Arial" w:hAnsi="Arial" w:cs="Arial"/>
          <w:color w:val="000000"/>
          <w:sz w:val="18"/>
          <w:szCs w:val="18"/>
        </w:rPr>
        <w:t>.</w:t>
      </w:r>
    </w:p>
    <w:p w14:paraId="2E4CA5B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D7DC64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 also considered an appeal from a case involving California's Proposition 8. After the California Supreme Court held that the California Constitution recognized same-sex marriage, </w:t>
      </w:r>
      <w:hyperlink r:id="rId391" w:history="1">
        <w:r w:rsidRPr="0019267D">
          <w:rPr>
            <w:rFonts w:ascii="Arial" w:hAnsi="Arial" w:cs="Arial"/>
            <w:i/>
            <w:iCs/>
            <w:color w:val="0000FF"/>
            <w:sz w:val="18"/>
            <w:szCs w:val="18"/>
          </w:rPr>
          <w:t>In re Marriage Cases,</w:t>
        </w:r>
      </w:hyperlink>
      <w:hyperlink r:id="rId392" w:history="1">
        <w:r w:rsidRPr="0019267D">
          <w:rPr>
            <w:rFonts w:ascii="Arial" w:hAnsi="Arial" w:cs="Arial"/>
            <w:color w:val="0000FF"/>
            <w:sz w:val="18"/>
            <w:szCs w:val="18"/>
          </w:rPr>
          <w:t xml:space="preserve"> 43 Cal.4th 757, 76 Cal.Rptr.3d 683, 183 P.3d 384, 453 (2008)</w:t>
        </w:r>
      </w:hyperlink>
      <w:r w:rsidRPr="0019267D">
        <w:rPr>
          <w:rFonts w:ascii="Arial" w:hAnsi="Arial" w:cs="Arial"/>
          <w:color w:val="000000"/>
          <w:sz w:val="18"/>
          <w:szCs w:val="18"/>
        </w:rPr>
        <w:t xml:space="preserve">, California voters passed Proposition 8, which amended California's Constitution to prohibit same-sex marriage. The Honorable Vaughn Walker, a federal district judge, determined that Proposition 8 violated the guarantees of </w:t>
      </w:r>
      <w:r w:rsidRPr="0019267D">
        <w:rPr>
          <w:rFonts w:ascii="Arial" w:hAnsi="Arial" w:cs="Arial"/>
          <w:color w:val="000000"/>
          <w:sz w:val="18"/>
          <w:szCs w:val="18"/>
        </w:rPr>
        <w:lastRenderedPageBreak/>
        <w:t xml:space="preserve">equal protection and due process under the United States Constitution. </w:t>
      </w:r>
      <w:hyperlink r:id="rId393" w:history="1">
        <w:r w:rsidRPr="0019267D">
          <w:rPr>
            <w:rFonts w:ascii="Arial" w:hAnsi="Arial" w:cs="Arial"/>
            <w:i/>
            <w:iCs/>
            <w:color w:val="0000FF"/>
            <w:sz w:val="18"/>
            <w:szCs w:val="18"/>
          </w:rPr>
          <w:t>Perry v. Schwarzenegger,</w:t>
        </w:r>
      </w:hyperlink>
      <w:hyperlink r:id="rId394" w:history="1">
        <w:r w:rsidRPr="0019267D">
          <w:rPr>
            <w:rFonts w:ascii="Arial" w:hAnsi="Arial" w:cs="Arial"/>
            <w:color w:val="0000FF"/>
            <w:sz w:val="18"/>
            <w:szCs w:val="18"/>
          </w:rPr>
          <w:t xml:space="preserve"> 704 F.Supp.2d 921, 1003 (N.D.Cal.2010)</w:t>
        </w:r>
      </w:hyperlink>
      <w:r w:rsidRPr="0019267D">
        <w:rPr>
          <w:rFonts w:ascii="Arial" w:hAnsi="Arial" w:cs="Arial"/>
          <w:color w:val="000000"/>
          <w:sz w:val="18"/>
          <w:szCs w:val="18"/>
        </w:rPr>
        <w:t xml:space="preserve">. Applying different reasoning, the Ninth Circuit Court of Appeals affirmed Judge Walker's holding that Proposition 8 was unconstitutional. </w:t>
      </w:r>
      <w:hyperlink r:id="rId395" w:history="1">
        <w:r w:rsidRPr="0019267D">
          <w:rPr>
            <w:rFonts w:ascii="Arial" w:hAnsi="Arial" w:cs="Arial"/>
            <w:i/>
            <w:iCs/>
            <w:color w:val="0000FF"/>
            <w:sz w:val="18"/>
            <w:szCs w:val="18"/>
          </w:rPr>
          <w:t>Perry v. Brown,</w:t>
        </w:r>
      </w:hyperlink>
      <w:hyperlink r:id="rId396" w:history="1">
        <w:r w:rsidRPr="0019267D">
          <w:rPr>
            <w:rFonts w:ascii="Arial" w:hAnsi="Arial" w:cs="Arial"/>
            <w:color w:val="0000FF"/>
            <w:sz w:val="18"/>
            <w:szCs w:val="18"/>
          </w:rPr>
          <w:t xml:space="preserve"> 671 F.3d 1052, 1095 (9th Cir.2012)</w:t>
        </w:r>
      </w:hyperlink>
      <w:r w:rsidRPr="0019267D">
        <w:rPr>
          <w:rFonts w:ascii="Arial" w:hAnsi="Arial" w:cs="Arial"/>
          <w:color w:val="000000"/>
          <w:sz w:val="18"/>
          <w:szCs w:val="18"/>
        </w:rPr>
        <w:t xml:space="preserve">. This issue was appealed to the Supreme Court, but the Court did not address the merits of the question presented. </w:t>
      </w:r>
      <w:hyperlink r:id="rId397" w:history="1">
        <w:r w:rsidRPr="0019267D">
          <w:rPr>
            <w:rFonts w:ascii="Arial" w:hAnsi="Arial" w:cs="Arial"/>
            <w:i/>
            <w:iCs/>
            <w:color w:val="0000FF"/>
            <w:sz w:val="18"/>
            <w:szCs w:val="18"/>
          </w:rPr>
          <w:t>Hollingsworth v. Perry,</w:t>
        </w:r>
      </w:hyperlink>
      <w:hyperlink r:id="rId398" w:history="1">
        <w:r w:rsidRPr="0019267D">
          <w:rPr>
            <w:rFonts w:ascii="Arial" w:hAnsi="Arial" w:cs="Arial"/>
            <w:color w:val="0000FF"/>
            <w:sz w:val="18"/>
            <w:szCs w:val="18"/>
          </w:rPr>
          <w:t xml:space="preserve"> ––– U.S. ––––, 133 S.Ct. 2652, 2668, 186 L.Ed.2d 768 (2013)</w:t>
        </w:r>
      </w:hyperlink>
      <w:r w:rsidRPr="0019267D">
        <w:rPr>
          <w:rFonts w:ascii="Arial" w:hAnsi="Arial" w:cs="Arial"/>
          <w:color w:val="000000"/>
          <w:sz w:val="18"/>
          <w:szCs w:val="18"/>
        </w:rPr>
        <w:t xml:space="preserve">. Instead, the Court found that the proponents of Proposition 8 did not have standing to appeal Judge Walker's decision after California officials refused to defend the law. </w:t>
      </w:r>
      <w:hyperlink r:id="rId39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Consequently, the Supreme Court vacated the Ninth Circuit's opinion for lack of jurisdiction. </w:t>
      </w:r>
      <w:hyperlink r:id="rId400"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A number of lawsuits, including the suit currently pending before this court, have been filed across the country to address the question that the Supreme Court left unanswered in the California case. The court turns to that question now.</w:t>
      </w:r>
    </w:p>
    <w:p w14:paraId="6D2B851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99E956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ANALYSIS</w:t>
      </w:r>
    </w:p>
    <w:p w14:paraId="13D78C6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 Standard of Review</w:t>
      </w:r>
    </w:p>
    <w:p w14:paraId="4F3142E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grants summary judgment when “there is no genuine dispute as to any material fact and the movant is entitled to judgment as a matter of law.” </w:t>
      </w:r>
      <w:hyperlink r:id="rId401" w:history="1">
        <w:r w:rsidRPr="0019267D">
          <w:rPr>
            <w:rFonts w:ascii="Arial" w:hAnsi="Arial" w:cs="Arial"/>
            <w:color w:val="0000FF"/>
            <w:sz w:val="18"/>
            <w:szCs w:val="18"/>
          </w:rPr>
          <w:t>Fed.R.Civ.P. 56(a)</w:t>
        </w:r>
      </w:hyperlink>
      <w:r w:rsidRPr="0019267D">
        <w:rPr>
          <w:rFonts w:ascii="Arial" w:hAnsi="Arial" w:cs="Arial"/>
          <w:color w:val="000000"/>
          <w:sz w:val="18"/>
          <w:szCs w:val="18"/>
        </w:rPr>
        <w:t xml:space="preserve">. The court “view[s] the evidence and make[s] all reasonable inferences in the light most favorable to the nonmoving party.” </w:t>
      </w:r>
      <w:hyperlink r:id="rId402" w:history="1">
        <w:r w:rsidRPr="0019267D">
          <w:rPr>
            <w:rFonts w:ascii="Arial" w:hAnsi="Arial" w:cs="Arial"/>
            <w:i/>
            <w:iCs/>
            <w:color w:val="0000FF"/>
            <w:sz w:val="18"/>
            <w:szCs w:val="18"/>
          </w:rPr>
          <w:t>N. Natural Gas Co. v. Nash Oil &amp; Gas, Inc.,</w:t>
        </w:r>
      </w:hyperlink>
      <w:hyperlink r:id="rId403" w:history="1">
        <w:r w:rsidRPr="0019267D">
          <w:rPr>
            <w:rFonts w:ascii="Arial" w:hAnsi="Arial" w:cs="Arial"/>
            <w:color w:val="0000FF"/>
            <w:sz w:val="18"/>
            <w:szCs w:val="18"/>
          </w:rPr>
          <w:t xml:space="preserve"> 526 F.3d 626, 629 (10th Cir.2008)</w:t>
        </w:r>
      </w:hyperlink>
      <w:r w:rsidRPr="0019267D">
        <w:rPr>
          <w:rFonts w:ascii="Arial" w:hAnsi="Arial" w:cs="Arial"/>
          <w:color w:val="000000"/>
          <w:sz w:val="18"/>
          <w:szCs w:val="18"/>
        </w:rPr>
        <w:t>.</w:t>
      </w:r>
    </w:p>
    <w:p w14:paraId="2FE04D5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B03F00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 xml:space="preserve">II. Effect of the Supreme Court's Decision in </w:t>
      </w:r>
      <w:r w:rsidRPr="0019267D">
        <w:rPr>
          <w:rFonts w:ascii="Arial" w:hAnsi="Arial" w:cs="Arial"/>
          <w:b/>
          <w:bCs/>
          <w:i/>
          <w:iCs/>
          <w:color w:val="000000"/>
          <w:sz w:val="18"/>
          <w:szCs w:val="18"/>
        </w:rPr>
        <w:t>United States v. Windsor</w:t>
      </w:r>
    </w:p>
    <w:p w14:paraId="711B115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begins its analysis by determining the effect of the Supreme Court's recent decision in </w:t>
      </w:r>
      <w:hyperlink r:id="rId404" w:history="1">
        <w:r w:rsidRPr="0019267D">
          <w:rPr>
            <w:rFonts w:ascii="Arial" w:hAnsi="Arial" w:cs="Arial"/>
            <w:i/>
            <w:iCs/>
            <w:color w:val="0000FF"/>
            <w:sz w:val="18"/>
            <w:szCs w:val="18"/>
          </w:rPr>
          <w:t>United States v. Windsor,</w:t>
        </w:r>
      </w:hyperlink>
      <w:hyperlink r:id="rId405" w:history="1">
        <w:r w:rsidRPr="0019267D">
          <w:rPr>
            <w:rFonts w:ascii="Arial" w:hAnsi="Arial" w:cs="Arial"/>
            <w:color w:val="0000FF"/>
            <w:sz w:val="18"/>
            <w:szCs w:val="18"/>
          </w:rPr>
          <w:t xml:space="preserve"> ––– U.S. ––––, 133 S.Ct. 2675, 186 L.Ed.2d 808 (2013)</w:t>
        </w:r>
      </w:hyperlink>
      <w:r w:rsidRPr="0019267D">
        <w:rPr>
          <w:rFonts w:ascii="Arial" w:hAnsi="Arial" w:cs="Arial"/>
          <w:color w:val="000000"/>
          <w:sz w:val="18"/>
          <w:szCs w:val="18"/>
        </w:rPr>
        <w:t xml:space="preserve">. In </w:t>
      </w:r>
      <w:hyperlink r:id="rId406"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 Court considered the constitutionality of Section 3 of DOMA, which defined marriage as the “legal union between one man and one woman as husband and wife” for the purposes of federal law. </w:t>
      </w:r>
      <w:hyperlink r:id="rId407" w:history="1">
        <w:r w:rsidRPr="0019267D">
          <w:rPr>
            <w:rFonts w:ascii="Arial" w:hAnsi="Arial" w:cs="Arial"/>
            <w:color w:val="0000FF"/>
            <w:sz w:val="18"/>
            <w:szCs w:val="18"/>
          </w:rPr>
          <w:t>1 U.S.C. § 7 (2012)</w:t>
        </w:r>
      </w:hyperlink>
      <w:r w:rsidRPr="0019267D">
        <w:rPr>
          <w:rFonts w:ascii="Arial" w:hAnsi="Arial" w:cs="Arial"/>
          <w:color w:val="000000"/>
          <w:sz w:val="18"/>
          <w:szCs w:val="18"/>
        </w:rPr>
        <w:t xml:space="preserve">. A majority of the Court found that this statute was unconstitutional because it violated the Fifth Amendment of the United States Constitution. </w:t>
      </w:r>
      <w:hyperlink r:id="rId408" w:history="1">
        <w:r w:rsidRPr="0019267D">
          <w:rPr>
            <w:rFonts w:ascii="Arial" w:hAnsi="Arial" w:cs="Arial"/>
            <w:i/>
            <w:iCs/>
            <w:color w:val="0000FF"/>
            <w:sz w:val="18"/>
            <w:szCs w:val="18"/>
          </w:rPr>
          <w:t>Windsor,</w:t>
        </w:r>
      </w:hyperlink>
      <w:hyperlink r:id="rId409" w:history="1">
        <w:r w:rsidRPr="0019267D">
          <w:rPr>
            <w:rFonts w:ascii="Arial" w:hAnsi="Arial" w:cs="Arial"/>
            <w:color w:val="0000FF"/>
            <w:sz w:val="18"/>
            <w:szCs w:val="18"/>
          </w:rPr>
          <w:t xml:space="preserve"> 133 S.Ct. at 2696</w:t>
        </w:r>
      </w:hyperlink>
      <w:r w:rsidRPr="0019267D">
        <w:rPr>
          <w:rFonts w:ascii="Arial" w:hAnsi="Arial" w:cs="Arial"/>
          <w:color w:val="000000"/>
          <w:sz w:val="18"/>
          <w:szCs w:val="18"/>
        </w:rPr>
        <w:t>.</w:t>
      </w:r>
    </w:p>
    <w:p w14:paraId="3674C1D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83D5EE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Both parties argue that the reasoning in </w:t>
      </w:r>
      <w:hyperlink r:id="rId41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requires judgment in their favor. The State focuses on the portions of the </w:t>
      </w:r>
      <w:hyperlink r:id="rId411"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opinion that emphasize federalism, as well as the Court's acknowledgment of the State's “historic and essential authority to define the marital relation.” </w:t>
      </w:r>
      <w:hyperlink r:id="rId412" w:history="1">
        <w:r w:rsidRPr="0019267D">
          <w:rPr>
            <w:rFonts w:ascii="Arial" w:hAnsi="Arial" w:cs="Arial"/>
            <w:i/>
            <w:iCs/>
            <w:color w:val="0000FF"/>
            <w:sz w:val="18"/>
            <w:szCs w:val="18"/>
          </w:rPr>
          <w:t>Id.</w:t>
        </w:r>
      </w:hyperlink>
      <w:hyperlink r:id="rId413" w:history="1">
        <w:r w:rsidRPr="0019267D">
          <w:rPr>
            <w:rFonts w:ascii="Arial" w:hAnsi="Arial" w:cs="Arial"/>
            <w:color w:val="0000FF"/>
            <w:sz w:val="18"/>
            <w:szCs w:val="18"/>
          </w:rPr>
          <w:t xml:space="preserve"> at 2692;</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414" w:history="1">
        <w:r w:rsidRPr="0019267D">
          <w:rPr>
            <w:rFonts w:ascii="Arial" w:hAnsi="Arial" w:cs="Arial"/>
            <w:i/>
            <w:iCs/>
            <w:color w:val="0000FF"/>
            <w:sz w:val="18"/>
            <w:szCs w:val="18"/>
          </w:rPr>
          <w:t>id.</w:t>
        </w:r>
      </w:hyperlink>
      <w:hyperlink r:id="rId415" w:history="1">
        <w:r w:rsidRPr="0019267D">
          <w:rPr>
            <w:rFonts w:ascii="Arial" w:hAnsi="Arial" w:cs="Arial"/>
            <w:color w:val="0000FF"/>
            <w:sz w:val="18"/>
            <w:szCs w:val="18"/>
          </w:rPr>
          <w:t xml:space="preserve"> at 2691</w:t>
        </w:r>
      </w:hyperlink>
      <w:r w:rsidRPr="0019267D">
        <w:rPr>
          <w:rFonts w:ascii="Arial" w:hAnsi="Arial" w:cs="Arial"/>
          <w:color w:val="000000"/>
          <w:sz w:val="18"/>
          <w:szCs w:val="18"/>
        </w:rPr>
        <w:t xml:space="preserve"> (“[S]ubject to [constitutional] guarantees, ‘regulation of domestic relations' is ‘an area that has long been regarded as a virtually exclusive province of the States.’ ” (quoting </w:t>
      </w:r>
      <w:hyperlink r:id="rId416" w:history="1">
        <w:r w:rsidRPr="0019267D">
          <w:rPr>
            <w:rFonts w:ascii="Arial" w:hAnsi="Arial" w:cs="Arial"/>
            <w:i/>
            <w:iCs/>
            <w:color w:val="0000FF"/>
            <w:sz w:val="18"/>
            <w:szCs w:val="18"/>
          </w:rPr>
          <w:t>Sosna v. Iowa,</w:t>
        </w:r>
      </w:hyperlink>
      <w:hyperlink r:id="rId417" w:history="1">
        <w:r w:rsidRPr="0019267D">
          <w:rPr>
            <w:rFonts w:ascii="Arial" w:hAnsi="Arial" w:cs="Arial"/>
            <w:color w:val="0000FF"/>
            <w:sz w:val="18"/>
            <w:szCs w:val="18"/>
          </w:rPr>
          <w:t xml:space="preserve"> 419 U.S. 393, 404, 95 S.Ct. 553, 42 L.Ed.2d 532 (1975)</w:t>
        </w:r>
      </w:hyperlink>
      <w:r w:rsidRPr="0019267D">
        <w:rPr>
          <w:rFonts w:ascii="Arial" w:hAnsi="Arial" w:cs="Arial"/>
          <w:color w:val="000000"/>
          <w:sz w:val="18"/>
          <w:szCs w:val="18"/>
        </w:rPr>
        <w:t xml:space="preserve">)). The State interprets </w:t>
      </w:r>
      <w:hyperlink r:id="rId418"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to stand for the proposition that DOMA was unconstitutional because the statute departed from the federal government's “history and tradition of reliance on state law to define marriage.” </w:t>
      </w:r>
      <w:hyperlink r:id="rId419" w:history="1">
        <w:r w:rsidRPr="0019267D">
          <w:rPr>
            <w:rFonts w:ascii="Arial" w:hAnsi="Arial" w:cs="Arial"/>
            <w:i/>
            <w:iCs/>
            <w:color w:val="0000FF"/>
            <w:sz w:val="18"/>
            <w:szCs w:val="18"/>
          </w:rPr>
          <w:t>Id.</w:t>
        </w:r>
      </w:hyperlink>
      <w:hyperlink r:id="rId420" w:history="1">
        <w:r w:rsidRPr="0019267D">
          <w:rPr>
            <w:rFonts w:ascii="Arial" w:hAnsi="Arial" w:cs="Arial"/>
            <w:color w:val="0000FF"/>
            <w:sz w:val="18"/>
            <w:szCs w:val="18"/>
          </w:rPr>
          <w:t xml:space="preserve"> at 2692.</w:t>
        </w:r>
      </w:hyperlink>
      <w:r w:rsidRPr="0019267D">
        <w:rPr>
          <w:rFonts w:ascii="Arial" w:hAnsi="Arial" w:cs="Arial"/>
          <w:color w:val="000000"/>
          <w:sz w:val="18"/>
          <w:szCs w:val="18"/>
        </w:rPr>
        <w:t xml:space="preserve"> Just as the federal government cannot choose to disregard a state's decision to recognize same-sex marriage, Utah asserts that the federal government cannot intrude upon a state's decision </w:t>
      </w:r>
      <w:r w:rsidRPr="0019267D">
        <w:rPr>
          <w:rFonts w:ascii="Arial" w:hAnsi="Arial" w:cs="Arial"/>
          <w:i/>
          <w:iCs/>
          <w:color w:val="000000"/>
          <w:sz w:val="18"/>
          <w:szCs w:val="18"/>
        </w:rPr>
        <w:t>not</w:t>
      </w:r>
      <w:r w:rsidRPr="0019267D">
        <w:rPr>
          <w:rFonts w:ascii="Arial" w:hAnsi="Arial" w:cs="Arial"/>
          <w:color w:val="000000"/>
          <w:sz w:val="18"/>
          <w:szCs w:val="18"/>
        </w:rPr>
        <w:t xml:space="preserve"> to recognize same-sex marriage. In other words, Utah believes that it is up to each individual state to decide whether two persons of the same sex may “occupy the same status and dignity as that of a man and woman in lawful marriage.” </w:t>
      </w:r>
      <w:hyperlink r:id="rId421" w:history="1">
        <w:r w:rsidRPr="0019267D">
          <w:rPr>
            <w:rFonts w:ascii="Arial" w:hAnsi="Arial" w:cs="Arial"/>
            <w:i/>
            <w:iCs/>
            <w:color w:val="0000FF"/>
            <w:sz w:val="18"/>
            <w:szCs w:val="18"/>
          </w:rPr>
          <w:t>Id.</w:t>
        </w:r>
      </w:hyperlink>
      <w:hyperlink r:id="rId422" w:history="1">
        <w:r w:rsidRPr="0019267D">
          <w:rPr>
            <w:rFonts w:ascii="Arial" w:hAnsi="Arial" w:cs="Arial"/>
            <w:color w:val="0000FF"/>
            <w:sz w:val="18"/>
            <w:szCs w:val="18"/>
          </w:rPr>
          <w:t xml:space="preserve"> at 2689.</w:t>
        </w:r>
      </w:hyperlink>
    </w:p>
    <w:p w14:paraId="256E78D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A1DCCE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Plaintiffs disagree with this interpretation and point out that the </w:t>
      </w:r>
      <w:hyperlink r:id="rId423"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did not base its decision on the Tenth Amendment.</w:t>
      </w:r>
      <w:hyperlink w:anchor="Document1zzB00662032351566" w:history="1">
        <w:r w:rsidRPr="0019267D">
          <w:rPr>
            <w:rFonts w:ascii="Arial" w:hAnsi="Arial" w:cs="Arial"/>
            <w:color w:val="0000FF"/>
            <w:sz w:val="18"/>
            <w:szCs w:val="18"/>
            <w:vertAlign w:val="superscript"/>
          </w:rPr>
          <w:t>FN6</w:t>
        </w:r>
      </w:hyperlink>
      <w:bookmarkStart w:id="61" w:name="Document1zzF00662032351566"/>
      <w:bookmarkEnd w:id="61"/>
      <w:r w:rsidRPr="0019267D">
        <w:rPr>
          <w:rFonts w:ascii="Arial" w:hAnsi="Arial" w:cs="Arial"/>
          <w:color w:val="000000"/>
          <w:sz w:val="18"/>
          <w:szCs w:val="18"/>
        </w:rPr>
        <w:t xml:space="preserve"> Instead, the Court grounded its holding in the Due Process Clause of the Fifth Amendment, which protects an individual's right to liberty. </w:t>
      </w:r>
      <w:hyperlink r:id="rId424" w:history="1">
        <w:r w:rsidRPr="0019267D">
          <w:rPr>
            <w:rFonts w:ascii="Arial" w:hAnsi="Arial" w:cs="Arial"/>
            <w:i/>
            <w:iCs/>
            <w:color w:val="0000FF"/>
            <w:sz w:val="18"/>
            <w:szCs w:val="18"/>
          </w:rPr>
          <w:t>Id.</w:t>
        </w:r>
      </w:hyperlink>
      <w:hyperlink r:id="rId425" w:history="1">
        <w:r w:rsidRPr="0019267D">
          <w:rPr>
            <w:rFonts w:ascii="Arial" w:hAnsi="Arial" w:cs="Arial"/>
            <w:color w:val="0000FF"/>
            <w:sz w:val="18"/>
            <w:szCs w:val="18"/>
          </w:rPr>
          <w:t xml:space="preserve"> at 2695</w:t>
        </w:r>
      </w:hyperlink>
      <w:r w:rsidRPr="0019267D">
        <w:rPr>
          <w:rFonts w:ascii="Arial" w:hAnsi="Arial" w:cs="Arial"/>
          <w:color w:val="000000"/>
          <w:sz w:val="18"/>
          <w:szCs w:val="18"/>
        </w:rPr>
        <w:t xml:space="preserve"> (“DOMA is unconstitutional as a deprivation of the liberty of the person protected by the Fifth Amendment of the Constitution.”). The Court found that DOMA violated the Fifth Amendment because the statute “place[d] same-sex couples in an unstable position of being in a second-tier marriage,” a differentiation that “demean[ed] the couple, whose moral and sexual choices the Constitution protects[.]” </w:t>
      </w:r>
      <w:hyperlink r:id="rId426" w:history="1">
        <w:r w:rsidRPr="0019267D">
          <w:rPr>
            <w:rFonts w:ascii="Arial" w:hAnsi="Arial" w:cs="Arial"/>
            <w:i/>
            <w:iCs/>
            <w:color w:val="0000FF"/>
            <w:sz w:val="18"/>
            <w:szCs w:val="18"/>
          </w:rPr>
          <w:t>Id.</w:t>
        </w:r>
      </w:hyperlink>
      <w:hyperlink r:id="rId427" w:history="1">
        <w:r w:rsidRPr="0019267D">
          <w:rPr>
            <w:rFonts w:ascii="Arial" w:hAnsi="Arial" w:cs="Arial"/>
            <w:color w:val="0000FF"/>
            <w:sz w:val="18"/>
            <w:szCs w:val="18"/>
          </w:rPr>
          <w:t xml:space="preserve"> at 2694.</w:t>
        </w:r>
      </w:hyperlink>
      <w:r w:rsidRPr="0019267D">
        <w:rPr>
          <w:rFonts w:ascii="Arial" w:hAnsi="Arial" w:cs="Arial"/>
          <w:color w:val="000000"/>
          <w:sz w:val="18"/>
          <w:szCs w:val="18"/>
        </w:rPr>
        <w:t xml:space="preserve"> The Plaintiffs argue that for the same reasons the Fifth Amendment prohibits the federal government from differentiating between same-sex and opposite-sex couples, the Fourteenth Amendment prohibits state governments from making this distinction.</w:t>
      </w:r>
    </w:p>
    <w:p w14:paraId="044AB81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1856C6D"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662032351566" w:history="1">
        <w:r w:rsidR="00743F35" w:rsidRPr="0019267D">
          <w:rPr>
            <w:rFonts w:ascii="Arial" w:hAnsi="Arial" w:cs="Arial"/>
            <w:color w:val="0000FF"/>
            <w:sz w:val="18"/>
            <w:szCs w:val="18"/>
          </w:rPr>
          <w:t>FN6.</w:t>
        </w:r>
      </w:hyperlink>
      <w:bookmarkStart w:id="62" w:name="Document1zzB00662032351566"/>
      <w:bookmarkEnd w:id="62"/>
      <w:r w:rsidR="00743F35" w:rsidRPr="0019267D">
        <w:rPr>
          <w:rFonts w:ascii="Arial" w:hAnsi="Arial" w:cs="Arial"/>
          <w:color w:val="000000"/>
          <w:sz w:val="18"/>
          <w:szCs w:val="18"/>
        </w:rPr>
        <w:t xml:space="preserve"> The Tenth Amendment makes explicit the division between federal and state power: “The powers not delegated to the United States by the Constitution, nor prohibited by it to the States, are reserved to the States respectively, or to the people.” </w:t>
      </w:r>
      <w:hyperlink r:id="rId428" w:history="1">
        <w:r w:rsidR="00743F35" w:rsidRPr="0019267D">
          <w:rPr>
            <w:rFonts w:ascii="Arial" w:hAnsi="Arial" w:cs="Arial"/>
            <w:color w:val="0000FF"/>
            <w:sz w:val="18"/>
            <w:szCs w:val="18"/>
          </w:rPr>
          <w:t>U.S. Const. amend. X</w:t>
        </w:r>
      </w:hyperlink>
      <w:r w:rsidR="00743F35" w:rsidRPr="0019267D">
        <w:rPr>
          <w:rFonts w:ascii="Arial" w:hAnsi="Arial" w:cs="Arial"/>
          <w:color w:val="000000"/>
          <w:sz w:val="18"/>
          <w:szCs w:val="18"/>
        </w:rPr>
        <w:t>.</w:t>
      </w:r>
    </w:p>
    <w:p w14:paraId="369D672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F8BA0B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Both parties present compelling arguments, and the protection of states' rights and individual rights are both weighty concerns. In </w:t>
      </w:r>
      <w:hyperlink r:id="rId429"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these interests were allied against the ability of the federal government to disregard a state law that protected individual rights. Here, these interests directly oppose each other. The </w:t>
      </w:r>
      <w:hyperlink r:id="rId43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did not resolve this conflict in the context of state-law prohibitions of same-sex marriage. </w:t>
      </w:r>
      <w:r w:rsidRPr="0019267D">
        <w:rPr>
          <w:rFonts w:ascii="Arial" w:hAnsi="Arial" w:cs="Arial"/>
          <w:i/>
          <w:iCs/>
          <w:color w:val="000000"/>
          <w:sz w:val="18"/>
          <w:szCs w:val="18"/>
        </w:rPr>
        <w:t xml:space="preserve">See </w:t>
      </w:r>
      <w:hyperlink r:id="rId431" w:history="1">
        <w:r w:rsidRPr="0019267D">
          <w:rPr>
            <w:rFonts w:ascii="Arial" w:hAnsi="Arial" w:cs="Arial"/>
            <w:i/>
            <w:iCs/>
            <w:color w:val="0000FF"/>
            <w:sz w:val="18"/>
            <w:szCs w:val="18"/>
          </w:rPr>
          <w:t>id.</w:t>
        </w:r>
      </w:hyperlink>
      <w:hyperlink r:id="rId432" w:history="1">
        <w:r w:rsidRPr="0019267D">
          <w:rPr>
            <w:rFonts w:ascii="Arial" w:hAnsi="Arial" w:cs="Arial"/>
            <w:color w:val="0000FF"/>
            <w:sz w:val="18"/>
            <w:szCs w:val="18"/>
          </w:rPr>
          <w:t xml:space="preserve"> at 2696</w:t>
        </w:r>
      </w:hyperlink>
      <w:r w:rsidRPr="0019267D">
        <w:rPr>
          <w:rFonts w:ascii="Arial" w:hAnsi="Arial" w:cs="Arial"/>
          <w:color w:val="000000"/>
          <w:sz w:val="18"/>
          <w:szCs w:val="18"/>
        </w:rPr>
        <w:t xml:space="preserve"> (Roberts, C.J., dissenting) (“The Court does not have before it ... the distinct question whether the States ... may continue to utilize the traditional definition of marriage.”). But the Supreme Court has considered analogous questions that involve the tension between these two values in other cases. </w:t>
      </w:r>
      <w:r w:rsidRPr="0019267D">
        <w:rPr>
          <w:rFonts w:ascii="Arial" w:hAnsi="Arial" w:cs="Arial"/>
          <w:i/>
          <w:iCs/>
          <w:color w:val="000000"/>
          <w:sz w:val="18"/>
          <w:szCs w:val="18"/>
        </w:rPr>
        <w:t xml:space="preserve">See, e.g., </w:t>
      </w:r>
      <w:hyperlink r:id="rId433" w:history="1">
        <w:r w:rsidRPr="0019267D">
          <w:rPr>
            <w:rFonts w:ascii="Arial" w:hAnsi="Arial" w:cs="Arial"/>
            <w:i/>
            <w:iCs/>
            <w:color w:val="0000FF"/>
            <w:sz w:val="18"/>
            <w:szCs w:val="18"/>
          </w:rPr>
          <w:t>Loving v. Virginia,</w:t>
        </w:r>
      </w:hyperlink>
      <w:hyperlink r:id="rId434" w:history="1">
        <w:r w:rsidRPr="0019267D">
          <w:rPr>
            <w:rFonts w:ascii="Arial" w:hAnsi="Arial" w:cs="Arial"/>
            <w:color w:val="0000FF"/>
            <w:sz w:val="18"/>
            <w:szCs w:val="18"/>
          </w:rPr>
          <w:t xml:space="preserve"> 388 U.S. 1, 87 S.Ct. 1817, 18 L.Ed.2d 1010 (1967)</w:t>
        </w:r>
      </w:hyperlink>
      <w:r w:rsidRPr="0019267D">
        <w:rPr>
          <w:rFonts w:ascii="Arial" w:hAnsi="Arial" w:cs="Arial"/>
          <w:color w:val="000000"/>
          <w:sz w:val="18"/>
          <w:szCs w:val="18"/>
        </w:rPr>
        <w:t xml:space="preserve"> (balancing the state's right to regulate marriage against the individual's right to equal protection and due process under the law). In these cases, the Court has held that the Fourteenth Amendment requires that </w:t>
      </w:r>
      <w:r w:rsidRPr="0019267D">
        <w:rPr>
          <w:rFonts w:ascii="Arial" w:hAnsi="Arial" w:cs="Arial"/>
          <w:color w:val="000000"/>
          <w:sz w:val="18"/>
          <w:szCs w:val="18"/>
        </w:rPr>
        <w:lastRenderedPageBreak/>
        <w:t xml:space="preserve">individual rights take precedence over states' rights where these two interests are in conflict. </w:t>
      </w:r>
      <w:r w:rsidRPr="0019267D">
        <w:rPr>
          <w:rFonts w:ascii="Arial" w:hAnsi="Arial" w:cs="Arial"/>
          <w:i/>
          <w:iCs/>
          <w:color w:val="000000"/>
          <w:sz w:val="18"/>
          <w:szCs w:val="18"/>
        </w:rPr>
        <w:t xml:space="preserve">See </w:t>
      </w:r>
      <w:hyperlink r:id="rId435" w:history="1">
        <w:r w:rsidRPr="0019267D">
          <w:rPr>
            <w:rFonts w:ascii="Arial" w:hAnsi="Arial" w:cs="Arial"/>
            <w:i/>
            <w:iCs/>
            <w:color w:val="0000FF"/>
            <w:sz w:val="18"/>
            <w:szCs w:val="18"/>
          </w:rPr>
          <w:t>id.</w:t>
        </w:r>
      </w:hyperlink>
      <w:hyperlink r:id="rId436" w:history="1">
        <w:r w:rsidRPr="0019267D">
          <w:rPr>
            <w:rFonts w:ascii="Arial" w:hAnsi="Arial" w:cs="Arial"/>
            <w:color w:val="0000FF"/>
            <w:sz w:val="18"/>
            <w:szCs w:val="18"/>
          </w:rPr>
          <w:t xml:space="preserve"> at 7, 87 S.Ct. 1817</w:t>
        </w:r>
      </w:hyperlink>
      <w:r w:rsidRPr="0019267D">
        <w:rPr>
          <w:rFonts w:ascii="Arial" w:hAnsi="Arial" w:cs="Arial"/>
          <w:color w:val="000000"/>
          <w:sz w:val="18"/>
          <w:szCs w:val="18"/>
        </w:rPr>
        <w:t xml:space="preserve"> (holding that a state's power to regulate marriage is limited by the Fourteenth Amendment).</w:t>
      </w:r>
    </w:p>
    <w:p w14:paraId="3AA2040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481F93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Constitution's protection of the individual rights of gay and lesbian citizens is equally dispositive whether this protection requires a court to respect a state law, as in </w:t>
      </w:r>
      <w:hyperlink r:id="rId437"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or strike down a state law, as the Plaintiffs ask the court to do here. In his dissenting opinion, the Honorable Antonin Scalia recognized that this result was the logical outcome of the Court's ruling in </w:t>
      </w:r>
      <w:hyperlink r:id="rId438" w:history="1">
        <w:r w:rsidRPr="0019267D">
          <w:rPr>
            <w:rFonts w:ascii="Arial" w:hAnsi="Arial" w:cs="Arial"/>
            <w:i/>
            <w:iCs/>
            <w:color w:val="0000FF"/>
            <w:sz w:val="18"/>
            <w:szCs w:val="18"/>
          </w:rPr>
          <w:t>Windsor:</w:t>
        </w:r>
      </w:hyperlink>
    </w:p>
    <w:p w14:paraId="3943211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59C62C"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 xml:space="preserve">In my opinion, however, the view that </w:t>
      </w:r>
      <w:r w:rsidRPr="0019267D">
        <w:rPr>
          <w:rFonts w:ascii="Arial" w:hAnsi="Arial" w:cs="Arial"/>
          <w:i/>
          <w:iCs/>
          <w:color w:val="000000"/>
          <w:sz w:val="18"/>
          <w:szCs w:val="18"/>
        </w:rPr>
        <w:t>this</w:t>
      </w:r>
      <w:r w:rsidRPr="0019267D">
        <w:rPr>
          <w:rFonts w:ascii="Arial" w:hAnsi="Arial" w:cs="Arial"/>
          <w:color w:val="000000"/>
          <w:sz w:val="18"/>
          <w:szCs w:val="18"/>
        </w:rPr>
        <w:t xml:space="preserve"> Court will take of state prohibition of same-sex marriage is indicated beyond mistaking by today's opinion. As I have said, the real rationale of today's opinion ... is that DOMA is motivated by “bare ... desire to harm” couples in same-sex marriages. How easy it is, indeed how inevitable, to reach the same conclusion with regard to state laws denying same-sex couples marital status.</w:t>
      </w:r>
    </w:p>
    <w:p w14:paraId="12147D2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710E0C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439" w:history="1">
        <w:r w:rsidRPr="0019267D">
          <w:rPr>
            <w:rFonts w:ascii="Arial" w:hAnsi="Arial" w:cs="Arial"/>
            <w:color w:val="0000FF"/>
            <w:sz w:val="18"/>
            <w:szCs w:val="18"/>
          </w:rPr>
          <w:t>133 S.Ct. at 2709</w:t>
        </w:r>
      </w:hyperlink>
      <w:r w:rsidRPr="0019267D">
        <w:rPr>
          <w:rFonts w:ascii="Arial" w:hAnsi="Arial" w:cs="Arial"/>
          <w:color w:val="000000"/>
          <w:sz w:val="18"/>
          <w:szCs w:val="18"/>
        </w:rPr>
        <w:t xml:space="preserve"> (citations and internal quotation marks omitted). The court agrees with Justice Scalia's interpretation of </w:t>
      </w:r>
      <w:hyperlink r:id="rId44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and finds that the important federalism concerns at issue here are nevertheless insufficient to save a state-law prohibition that denies the Plaintiffs their rights to due process and equal protection under the law.</w:t>
      </w:r>
    </w:p>
    <w:p w14:paraId="1D8B4BC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3E7720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 xml:space="preserve">III. </w:t>
      </w:r>
      <w:r w:rsidRPr="0019267D">
        <w:rPr>
          <w:rFonts w:ascii="Arial" w:hAnsi="Arial" w:cs="Arial"/>
          <w:b/>
          <w:bCs/>
          <w:i/>
          <w:iCs/>
          <w:color w:val="000000"/>
          <w:sz w:val="18"/>
          <w:szCs w:val="18"/>
        </w:rPr>
        <w:t>Baker v. Nelson</w:t>
      </w:r>
      <w:r w:rsidRPr="0019267D">
        <w:rPr>
          <w:rFonts w:ascii="Arial" w:hAnsi="Arial" w:cs="Arial"/>
          <w:b/>
          <w:bCs/>
          <w:color w:val="000000"/>
          <w:sz w:val="18"/>
          <w:szCs w:val="18"/>
        </w:rPr>
        <w:t xml:space="preserve"> Is No Longer Controlling Precedent</w:t>
      </w:r>
    </w:p>
    <w:p w14:paraId="610D603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1971, two men from Minnesota brought a lawsuit in state court arguing that Minnesota was constitutionally required to allow them to marry. </w:t>
      </w:r>
      <w:hyperlink r:id="rId441" w:history="1">
        <w:r w:rsidRPr="0019267D">
          <w:rPr>
            <w:rFonts w:ascii="Arial" w:hAnsi="Arial" w:cs="Arial"/>
            <w:i/>
            <w:iCs/>
            <w:color w:val="0000FF"/>
            <w:sz w:val="18"/>
            <w:szCs w:val="18"/>
          </w:rPr>
          <w:t>Baker v. Nelson,</w:t>
        </w:r>
      </w:hyperlink>
      <w:hyperlink r:id="rId442" w:history="1">
        <w:r w:rsidRPr="0019267D">
          <w:rPr>
            <w:rFonts w:ascii="Arial" w:hAnsi="Arial" w:cs="Arial"/>
            <w:color w:val="0000FF"/>
            <w:sz w:val="18"/>
            <w:szCs w:val="18"/>
          </w:rPr>
          <w:t xml:space="preserve"> 291 Minn. 310, 191 N.W.2d 185, 187 (1971)</w:t>
        </w:r>
      </w:hyperlink>
      <w:r w:rsidRPr="0019267D">
        <w:rPr>
          <w:rFonts w:ascii="Arial" w:hAnsi="Arial" w:cs="Arial"/>
          <w:color w:val="000000"/>
          <w:sz w:val="18"/>
          <w:szCs w:val="18"/>
        </w:rPr>
        <w:t xml:space="preserve">. The Minnesota Supreme Court found that Minnesota's restriction of marriage to opposite-sex couples did not violate either the Equal Protection Clause or the Due Process Clause of the Fourteenth Amendment. </w:t>
      </w:r>
      <w:hyperlink r:id="rId443" w:history="1">
        <w:r w:rsidRPr="0019267D">
          <w:rPr>
            <w:rFonts w:ascii="Arial" w:hAnsi="Arial" w:cs="Arial"/>
            <w:i/>
            <w:iCs/>
            <w:color w:val="0000FF"/>
            <w:sz w:val="18"/>
            <w:szCs w:val="18"/>
          </w:rPr>
          <w:t>Id.</w:t>
        </w:r>
      </w:hyperlink>
      <w:hyperlink r:id="rId444" w:history="1">
        <w:r w:rsidRPr="0019267D">
          <w:rPr>
            <w:rFonts w:ascii="Arial" w:hAnsi="Arial" w:cs="Arial"/>
            <w:color w:val="0000FF"/>
            <w:sz w:val="18"/>
            <w:szCs w:val="18"/>
          </w:rPr>
          <w:t xml:space="preserve"> at 186–87.</w:t>
        </w:r>
      </w:hyperlink>
      <w:r w:rsidRPr="0019267D">
        <w:rPr>
          <w:rFonts w:ascii="Arial" w:hAnsi="Arial" w:cs="Arial"/>
          <w:color w:val="000000"/>
          <w:sz w:val="18"/>
          <w:szCs w:val="18"/>
        </w:rPr>
        <w:t xml:space="preserve"> On appeal, the United States Supreme Court summarily dismissed the case “for want of a substantial federal question.” </w:t>
      </w:r>
      <w:hyperlink r:id="rId445" w:history="1">
        <w:r w:rsidRPr="0019267D">
          <w:rPr>
            <w:rFonts w:ascii="Arial" w:hAnsi="Arial" w:cs="Arial"/>
            <w:i/>
            <w:iCs/>
            <w:color w:val="0000FF"/>
            <w:sz w:val="18"/>
            <w:szCs w:val="18"/>
          </w:rPr>
          <w:t>Baker v. Nelson,</w:t>
        </w:r>
      </w:hyperlink>
      <w:hyperlink r:id="rId446" w:history="1">
        <w:r w:rsidRPr="0019267D">
          <w:rPr>
            <w:rFonts w:ascii="Arial" w:hAnsi="Arial" w:cs="Arial"/>
            <w:color w:val="0000FF"/>
            <w:sz w:val="18"/>
            <w:szCs w:val="18"/>
          </w:rPr>
          <w:t xml:space="preserve"> 409 U.S. 810, 810, 93 S.Ct. 37, 34 L.Ed.2d 65 (1972)</w:t>
        </w:r>
      </w:hyperlink>
      <w:r w:rsidRPr="0019267D">
        <w:rPr>
          <w:rFonts w:ascii="Arial" w:hAnsi="Arial" w:cs="Arial"/>
          <w:color w:val="000000"/>
          <w:sz w:val="18"/>
          <w:szCs w:val="18"/>
        </w:rPr>
        <w:t>.</w:t>
      </w:r>
    </w:p>
    <w:p w14:paraId="5931CFC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6FC503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Utah argues that the Court's summary dismissal in </w:t>
      </w:r>
      <w:r w:rsidRPr="0019267D">
        <w:rPr>
          <w:rFonts w:ascii="Arial" w:hAnsi="Arial" w:cs="Arial"/>
          <w:i/>
          <w:iCs/>
          <w:color w:val="000000"/>
          <w:sz w:val="18"/>
          <w:szCs w:val="18"/>
        </w:rPr>
        <w:t>Baker</w:t>
      </w:r>
      <w:r w:rsidRPr="0019267D">
        <w:rPr>
          <w:rFonts w:ascii="Arial" w:hAnsi="Arial" w:cs="Arial"/>
          <w:color w:val="000000"/>
          <w:sz w:val="18"/>
          <w:szCs w:val="18"/>
        </w:rPr>
        <w:t xml:space="preserve"> is binding on this court and that the present lawsuit should therefore be dismissed for lack of a substantial federal question. But the Supreme Court has stated that a summary dismissal is not binding “when doctrinal developments indicate otherwise.” </w:t>
      </w:r>
      <w:hyperlink r:id="rId447" w:history="1">
        <w:r w:rsidRPr="0019267D">
          <w:rPr>
            <w:rFonts w:ascii="Arial" w:hAnsi="Arial" w:cs="Arial"/>
            <w:i/>
            <w:iCs/>
            <w:color w:val="0000FF"/>
            <w:sz w:val="18"/>
            <w:szCs w:val="18"/>
          </w:rPr>
          <w:t>Hicks v. Miranda,</w:t>
        </w:r>
      </w:hyperlink>
      <w:hyperlink r:id="rId448" w:history="1">
        <w:r w:rsidRPr="0019267D">
          <w:rPr>
            <w:rFonts w:ascii="Arial" w:hAnsi="Arial" w:cs="Arial"/>
            <w:color w:val="0000FF"/>
            <w:sz w:val="18"/>
            <w:szCs w:val="18"/>
          </w:rPr>
          <w:t xml:space="preserve"> 422 U.S. 332, 344, 95 S.Ct. 2281, 45 L.Ed.2d 223 (1975)</w:t>
        </w:r>
      </w:hyperlink>
      <w:r w:rsidRPr="0019267D">
        <w:rPr>
          <w:rFonts w:ascii="Arial" w:hAnsi="Arial" w:cs="Arial"/>
          <w:color w:val="000000"/>
          <w:sz w:val="18"/>
          <w:szCs w:val="18"/>
        </w:rPr>
        <w:t>.</w:t>
      </w:r>
    </w:p>
    <w:p w14:paraId="789F43A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0F30B14"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2032351566" w:history="1">
        <w:r w:rsidR="00743F35" w:rsidRPr="0019267D">
          <w:rPr>
            <w:rFonts w:ascii="Arial" w:hAnsi="Arial" w:cs="Arial"/>
            <w:color w:val="0000FF"/>
            <w:sz w:val="18"/>
            <w:szCs w:val="18"/>
          </w:rPr>
          <w:t>[1]</w:t>
        </w:r>
      </w:hyperlink>
      <w:bookmarkStart w:id="63" w:name="Document1zzB12032351566"/>
      <w:bookmarkEnd w:id="63"/>
      <w:r w:rsidR="00743F35" w:rsidRPr="0019267D">
        <w:rPr>
          <w:rFonts w:ascii="Arial" w:hAnsi="Arial" w:cs="Arial"/>
          <w:color w:val="000000"/>
          <w:sz w:val="18"/>
          <w:szCs w:val="18"/>
        </w:rPr>
        <w:t xml:space="preserve"> Here, several doctrinal developments in the Court's analysis of both the Equal Protection Clause and the Due Process Clause as they apply to gay men and lesbians demonstrate that the Court's summary dismissal in </w:t>
      </w:r>
      <w:r w:rsidR="00743F35" w:rsidRPr="0019267D">
        <w:rPr>
          <w:rFonts w:ascii="Arial" w:hAnsi="Arial" w:cs="Arial"/>
          <w:i/>
          <w:iCs/>
          <w:color w:val="000000"/>
          <w:sz w:val="18"/>
          <w:szCs w:val="18"/>
        </w:rPr>
        <w:t>Baker</w:t>
      </w:r>
      <w:r w:rsidR="00743F35" w:rsidRPr="0019267D">
        <w:rPr>
          <w:rFonts w:ascii="Arial" w:hAnsi="Arial" w:cs="Arial"/>
          <w:color w:val="000000"/>
          <w:sz w:val="18"/>
          <w:szCs w:val="18"/>
        </w:rPr>
        <w:t xml:space="preserve"> has little if any precedential effect today. Not only was </w:t>
      </w:r>
      <w:r w:rsidR="00743F35" w:rsidRPr="0019267D">
        <w:rPr>
          <w:rFonts w:ascii="Arial" w:hAnsi="Arial" w:cs="Arial"/>
          <w:i/>
          <w:iCs/>
          <w:color w:val="000000"/>
          <w:sz w:val="18"/>
          <w:szCs w:val="18"/>
        </w:rPr>
        <w:t>Baker</w:t>
      </w:r>
      <w:r w:rsidR="00743F35" w:rsidRPr="0019267D">
        <w:rPr>
          <w:rFonts w:ascii="Arial" w:hAnsi="Arial" w:cs="Arial"/>
          <w:color w:val="000000"/>
          <w:sz w:val="18"/>
          <w:szCs w:val="18"/>
        </w:rPr>
        <w:t xml:space="preserve"> decided before the Supreme Court held that sex is a quasi-suspect classification, </w:t>
      </w:r>
      <w:r w:rsidR="00743F35" w:rsidRPr="0019267D">
        <w:rPr>
          <w:rFonts w:ascii="Arial" w:hAnsi="Arial" w:cs="Arial"/>
          <w:i/>
          <w:iCs/>
          <w:color w:val="000000"/>
          <w:sz w:val="18"/>
          <w:szCs w:val="18"/>
        </w:rPr>
        <w:t xml:space="preserve">see </w:t>
      </w:r>
      <w:hyperlink r:id="rId449" w:history="1">
        <w:r w:rsidR="00743F35" w:rsidRPr="0019267D">
          <w:rPr>
            <w:rFonts w:ascii="Arial" w:hAnsi="Arial" w:cs="Arial"/>
            <w:i/>
            <w:iCs/>
            <w:color w:val="0000FF"/>
            <w:sz w:val="18"/>
            <w:szCs w:val="18"/>
          </w:rPr>
          <w:t>Craig v. Boren,</w:t>
        </w:r>
      </w:hyperlink>
      <w:hyperlink r:id="rId450" w:history="1">
        <w:r w:rsidR="00743F35" w:rsidRPr="0019267D">
          <w:rPr>
            <w:rFonts w:ascii="Arial" w:hAnsi="Arial" w:cs="Arial"/>
            <w:color w:val="0000FF"/>
            <w:sz w:val="18"/>
            <w:szCs w:val="18"/>
          </w:rPr>
          <w:t xml:space="preserve"> 429 U.S. 190, 197, 97 S.Ct. 451, 50 L.Ed.2d 397 (1976)</w:t>
        </w:r>
      </w:hyperlink>
      <w:r w:rsidR="00743F35" w:rsidRPr="0019267D">
        <w:rPr>
          <w:rFonts w:ascii="Arial" w:hAnsi="Arial" w:cs="Arial"/>
          <w:color w:val="000000"/>
          <w:sz w:val="18"/>
          <w:szCs w:val="18"/>
        </w:rPr>
        <w:t xml:space="preserve">; </w:t>
      </w:r>
      <w:hyperlink r:id="rId451" w:history="1">
        <w:r w:rsidR="00743F35" w:rsidRPr="0019267D">
          <w:rPr>
            <w:rFonts w:ascii="Arial" w:hAnsi="Arial" w:cs="Arial"/>
            <w:i/>
            <w:iCs/>
            <w:color w:val="0000FF"/>
            <w:sz w:val="18"/>
            <w:szCs w:val="18"/>
          </w:rPr>
          <w:t>Frontiero v. Richardson,</w:t>
        </w:r>
      </w:hyperlink>
      <w:hyperlink r:id="rId452" w:history="1">
        <w:r w:rsidR="00743F35" w:rsidRPr="0019267D">
          <w:rPr>
            <w:rFonts w:ascii="Arial" w:hAnsi="Arial" w:cs="Arial"/>
            <w:color w:val="0000FF"/>
            <w:sz w:val="18"/>
            <w:szCs w:val="18"/>
          </w:rPr>
          <w:t xml:space="preserve"> 411 U.S. 677, 688, 93 S.Ct. 1764, 36 L.Ed.2d 583 (1973)</w:t>
        </w:r>
      </w:hyperlink>
      <w:r w:rsidR="00743F35" w:rsidRPr="0019267D">
        <w:rPr>
          <w:rFonts w:ascii="Arial" w:hAnsi="Arial" w:cs="Arial"/>
          <w:color w:val="000000"/>
          <w:sz w:val="18"/>
          <w:szCs w:val="18"/>
        </w:rPr>
        <w:t xml:space="preserve"> (plurality op.), but also before the Court recognized that the Constitution protects individuals from discrimination on the basis of sexual orientation. </w:t>
      </w:r>
      <w:r w:rsidR="00743F35" w:rsidRPr="0019267D">
        <w:rPr>
          <w:rFonts w:ascii="Arial" w:hAnsi="Arial" w:cs="Arial"/>
          <w:i/>
          <w:iCs/>
          <w:color w:val="000000"/>
          <w:sz w:val="18"/>
          <w:szCs w:val="18"/>
        </w:rPr>
        <w:t xml:space="preserve">See </w:t>
      </w:r>
      <w:hyperlink r:id="rId453" w:history="1">
        <w:r w:rsidR="00743F35" w:rsidRPr="0019267D">
          <w:rPr>
            <w:rFonts w:ascii="Arial" w:hAnsi="Arial" w:cs="Arial"/>
            <w:i/>
            <w:iCs/>
            <w:color w:val="0000FF"/>
            <w:sz w:val="18"/>
            <w:szCs w:val="18"/>
          </w:rPr>
          <w:t>Romer v. Evans,</w:t>
        </w:r>
      </w:hyperlink>
      <w:hyperlink r:id="rId454" w:history="1">
        <w:r w:rsidR="00743F35" w:rsidRPr="0019267D">
          <w:rPr>
            <w:rFonts w:ascii="Arial" w:hAnsi="Arial" w:cs="Arial"/>
            <w:color w:val="0000FF"/>
            <w:sz w:val="18"/>
            <w:szCs w:val="18"/>
          </w:rPr>
          <w:t xml:space="preserve"> 517 U.S. 620, 635–36, 116 S.Ct. 1620, 134 L.Ed.2d 855 (1996)</w:t>
        </w:r>
      </w:hyperlink>
      <w:r w:rsidR="00743F35" w:rsidRPr="0019267D">
        <w:rPr>
          <w:rFonts w:ascii="Arial" w:hAnsi="Arial" w:cs="Arial"/>
          <w:color w:val="000000"/>
          <w:sz w:val="18"/>
          <w:szCs w:val="18"/>
        </w:rPr>
        <w:t xml:space="preserve">. Moreover, </w:t>
      </w:r>
      <w:r w:rsidR="00743F35" w:rsidRPr="0019267D">
        <w:rPr>
          <w:rFonts w:ascii="Arial" w:hAnsi="Arial" w:cs="Arial"/>
          <w:i/>
          <w:iCs/>
          <w:color w:val="000000"/>
          <w:sz w:val="18"/>
          <w:szCs w:val="18"/>
        </w:rPr>
        <w:t>Baker</w:t>
      </w:r>
      <w:r w:rsidR="00743F35" w:rsidRPr="0019267D">
        <w:rPr>
          <w:rFonts w:ascii="Arial" w:hAnsi="Arial" w:cs="Arial"/>
          <w:color w:val="000000"/>
          <w:sz w:val="18"/>
          <w:szCs w:val="18"/>
        </w:rPr>
        <w:t xml:space="preserve"> was decided before the Supreme Court held in </w:t>
      </w:r>
      <w:hyperlink r:id="rId455" w:history="1">
        <w:r w:rsidR="00743F35" w:rsidRPr="0019267D">
          <w:rPr>
            <w:rFonts w:ascii="Arial" w:hAnsi="Arial" w:cs="Arial"/>
            <w:i/>
            <w:iCs/>
            <w:color w:val="0000FF"/>
            <w:sz w:val="18"/>
            <w:szCs w:val="18"/>
          </w:rPr>
          <w:t>Lawrence v. Texas</w:t>
        </w:r>
      </w:hyperlink>
      <w:r w:rsidR="00743F35" w:rsidRPr="0019267D">
        <w:rPr>
          <w:rFonts w:ascii="Arial" w:hAnsi="Arial" w:cs="Arial"/>
          <w:color w:val="000000"/>
          <w:sz w:val="18"/>
          <w:szCs w:val="18"/>
        </w:rPr>
        <w:t xml:space="preserve"> that it was unconstitutional for a state to “demean [the] existence [of gay men and lesbians] or control their destiny by making their private sexual conduct a crime.” </w:t>
      </w:r>
      <w:hyperlink r:id="rId456" w:history="1">
        <w:r w:rsidR="00743F35" w:rsidRPr="0019267D">
          <w:rPr>
            <w:rFonts w:ascii="Arial" w:hAnsi="Arial" w:cs="Arial"/>
            <w:color w:val="0000FF"/>
            <w:sz w:val="18"/>
            <w:szCs w:val="18"/>
          </w:rPr>
          <w:t>539 U.S. 558, 578, 123 S.Ct. 2472, 156 L.Ed.2d 508 (2003)</w:t>
        </w:r>
      </w:hyperlink>
      <w:r w:rsidR="00743F35" w:rsidRPr="0019267D">
        <w:rPr>
          <w:rFonts w:ascii="Arial" w:hAnsi="Arial" w:cs="Arial"/>
          <w:color w:val="000000"/>
          <w:sz w:val="18"/>
          <w:szCs w:val="18"/>
        </w:rPr>
        <w:t xml:space="preserve">. As discussed below, the Supreme Court's decision in </w:t>
      </w:r>
      <w:hyperlink r:id="rId457" w:history="1">
        <w:r w:rsidR="00743F35" w:rsidRPr="0019267D">
          <w:rPr>
            <w:rFonts w:ascii="Arial" w:hAnsi="Arial" w:cs="Arial"/>
            <w:i/>
            <w:iCs/>
            <w:color w:val="0000FF"/>
            <w:sz w:val="18"/>
            <w:szCs w:val="18"/>
          </w:rPr>
          <w:t>Lawrence</w:t>
        </w:r>
      </w:hyperlink>
      <w:r w:rsidR="00743F35" w:rsidRPr="0019267D">
        <w:rPr>
          <w:rFonts w:ascii="Arial" w:hAnsi="Arial" w:cs="Arial"/>
          <w:color w:val="000000"/>
          <w:sz w:val="18"/>
          <w:szCs w:val="18"/>
        </w:rPr>
        <w:t xml:space="preserve"> removes a justification that states could formerly cite as a reason to prohibit same-sex marriage.</w:t>
      </w:r>
    </w:p>
    <w:p w14:paraId="56FCB4B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7AE928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State points out that, despite the doctrinal developments in these cases and others, a number of courts have found that </w:t>
      </w:r>
      <w:r w:rsidRPr="0019267D">
        <w:rPr>
          <w:rFonts w:ascii="Arial" w:hAnsi="Arial" w:cs="Arial"/>
          <w:i/>
          <w:iCs/>
          <w:color w:val="000000"/>
          <w:sz w:val="18"/>
          <w:szCs w:val="18"/>
        </w:rPr>
        <w:t>Baker</w:t>
      </w:r>
      <w:r w:rsidRPr="0019267D">
        <w:rPr>
          <w:rFonts w:ascii="Arial" w:hAnsi="Arial" w:cs="Arial"/>
          <w:color w:val="000000"/>
          <w:sz w:val="18"/>
          <w:szCs w:val="18"/>
        </w:rPr>
        <w:t xml:space="preserve"> survives as controlling precedent and therefore precludes consideration of the issues in this lawsuit. </w:t>
      </w:r>
      <w:r w:rsidRPr="0019267D">
        <w:rPr>
          <w:rFonts w:ascii="Arial" w:hAnsi="Arial" w:cs="Arial"/>
          <w:i/>
          <w:iCs/>
          <w:color w:val="000000"/>
          <w:sz w:val="18"/>
          <w:szCs w:val="18"/>
        </w:rPr>
        <w:t xml:space="preserve">See, e.g., </w:t>
      </w:r>
      <w:hyperlink r:id="rId458" w:history="1">
        <w:r w:rsidRPr="0019267D">
          <w:rPr>
            <w:rFonts w:ascii="Arial" w:hAnsi="Arial" w:cs="Arial"/>
            <w:i/>
            <w:iCs/>
            <w:color w:val="0000FF"/>
            <w:sz w:val="18"/>
            <w:szCs w:val="18"/>
          </w:rPr>
          <w:t>Massachusetts v. U.S. Dep't of Health &amp; Human Servs.,</w:t>
        </w:r>
      </w:hyperlink>
      <w:hyperlink r:id="rId459" w:history="1">
        <w:r w:rsidRPr="0019267D">
          <w:rPr>
            <w:rFonts w:ascii="Arial" w:hAnsi="Arial" w:cs="Arial"/>
            <w:color w:val="0000FF"/>
            <w:sz w:val="18"/>
            <w:szCs w:val="18"/>
          </w:rPr>
          <w:t xml:space="preserve"> 682 F.3d 1, 8 (1st Cir.2012)</w:t>
        </w:r>
      </w:hyperlink>
      <w:r w:rsidRPr="0019267D">
        <w:rPr>
          <w:rFonts w:ascii="Arial" w:hAnsi="Arial" w:cs="Arial"/>
          <w:color w:val="000000"/>
          <w:sz w:val="18"/>
          <w:szCs w:val="18"/>
        </w:rPr>
        <w:t xml:space="preserve"> (holding that </w:t>
      </w:r>
      <w:r w:rsidRPr="0019267D">
        <w:rPr>
          <w:rFonts w:ascii="Arial" w:hAnsi="Arial" w:cs="Arial"/>
          <w:i/>
          <w:iCs/>
          <w:color w:val="000000"/>
          <w:sz w:val="18"/>
          <w:szCs w:val="18"/>
        </w:rPr>
        <w:t>Baker</w:t>
      </w:r>
      <w:r w:rsidRPr="0019267D">
        <w:rPr>
          <w:rFonts w:ascii="Arial" w:hAnsi="Arial" w:cs="Arial"/>
          <w:color w:val="000000"/>
          <w:sz w:val="18"/>
          <w:szCs w:val="18"/>
        </w:rPr>
        <w:t xml:space="preserve"> “limit[s] the arguments to ones that do not presume to rest on a constitutional right to same-sex marriage.”); </w:t>
      </w:r>
      <w:hyperlink r:id="rId460" w:history="1">
        <w:r w:rsidRPr="0019267D">
          <w:rPr>
            <w:rFonts w:ascii="Arial" w:hAnsi="Arial" w:cs="Arial"/>
            <w:i/>
            <w:iCs/>
            <w:color w:val="0000FF"/>
            <w:sz w:val="18"/>
            <w:szCs w:val="18"/>
          </w:rPr>
          <w:t>Sevcik v. Sandoval,</w:t>
        </w:r>
      </w:hyperlink>
      <w:hyperlink r:id="rId461" w:history="1">
        <w:r w:rsidRPr="0019267D">
          <w:rPr>
            <w:rFonts w:ascii="Arial" w:hAnsi="Arial" w:cs="Arial"/>
            <w:color w:val="0000FF"/>
            <w:sz w:val="18"/>
            <w:szCs w:val="18"/>
          </w:rPr>
          <w:t xml:space="preserve"> 911 F.Supp.2d 996, 1002–03 (D.Nev.2012)</w:t>
        </w:r>
      </w:hyperlink>
      <w:r w:rsidRPr="0019267D">
        <w:rPr>
          <w:rFonts w:ascii="Arial" w:hAnsi="Arial" w:cs="Arial"/>
          <w:color w:val="000000"/>
          <w:sz w:val="18"/>
          <w:szCs w:val="18"/>
        </w:rPr>
        <w:t xml:space="preserve"> (ruling that </w:t>
      </w:r>
      <w:r w:rsidRPr="0019267D">
        <w:rPr>
          <w:rFonts w:ascii="Arial" w:hAnsi="Arial" w:cs="Arial"/>
          <w:i/>
          <w:iCs/>
          <w:color w:val="000000"/>
          <w:sz w:val="18"/>
          <w:szCs w:val="18"/>
        </w:rPr>
        <w:t>Baker</w:t>
      </w:r>
      <w:r w:rsidRPr="0019267D">
        <w:rPr>
          <w:rFonts w:ascii="Arial" w:hAnsi="Arial" w:cs="Arial"/>
          <w:color w:val="000000"/>
          <w:sz w:val="18"/>
          <w:szCs w:val="18"/>
        </w:rPr>
        <w:t xml:space="preserve"> barred the plaintiffs' equal protection claim). Other courts disagree and have decided substantially similar issues without consideration of </w:t>
      </w:r>
      <w:r w:rsidRPr="0019267D">
        <w:rPr>
          <w:rFonts w:ascii="Arial" w:hAnsi="Arial" w:cs="Arial"/>
          <w:i/>
          <w:iCs/>
          <w:color w:val="000000"/>
          <w:sz w:val="18"/>
          <w:szCs w:val="18"/>
        </w:rPr>
        <w:t xml:space="preserve">Baker. See, e.g., </w:t>
      </w:r>
      <w:hyperlink r:id="rId462" w:history="1">
        <w:r w:rsidRPr="0019267D">
          <w:rPr>
            <w:rFonts w:ascii="Arial" w:hAnsi="Arial" w:cs="Arial"/>
            <w:i/>
            <w:iCs/>
            <w:color w:val="0000FF"/>
            <w:sz w:val="18"/>
            <w:szCs w:val="18"/>
          </w:rPr>
          <w:t>Perry v. Schwarzenegger,</w:t>
        </w:r>
      </w:hyperlink>
      <w:hyperlink r:id="rId463" w:history="1">
        <w:r w:rsidRPr="0019267D">
          <w:rPr>
            <w:rFonts w:ascii="Arial" w:hAnsi="Arial" w:cs="Arial"/>
            <w:color w:val="0000FF"/>
            <w:sz w:val="18"/>
            <w:szCs w:val="18"/>
          </w:rPr>
          <w:t xml:space="preserve"> 704 F.Supp.2d 921 (N.D.Cal.2010)</w:t>
        </w:r>
      </w:hyperlink>
      <w:r w:rsidRPr="0019267D">
        <w:rPr>
          <w:rFonts w:ascii="Arial" w:hAnsi="Arial" w:cs="Arial"/>
          <w:color w:val="000000"/>
          <w:sz w:val="18"/>
          <w:szCs w:val="18"/>
        </w:rPr>
        <w:t xml:space="preserve"> (ruling that California's prohibition of same-sex marriage violated the Due Process and Equal Protection Clauses of the Fourteenth Amendment). In any event, all of these cases were decided before the Supreme Court issued its opinion in </w:t>
      </w:r>
      <w:hyperlink r:id="rId464" w:history="1">
        <w:r w:rsidRPr="0019267D">
          <w:rPr>
            <w:rFonts w:ascii="Arial" w:hAnsi="Arial" w:cs="Arial"/>
            <w:i/>
            <w:iCs/>
            <w:color w:val="0000FF"/>
            <w:sz w:val="18"/>
            <w:szCs w:val="18"/>
          </w:rPr>
          <w:t>Windsor.</w:t>
        </w:r>
      </w:hyperlink>
    </w:p>
    <w:p w14:paraId="3F37ECA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7FAC6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As discussed above, the Court's decision in </w:t>
      </w:r>
      <w:hyperlink r:id="rId465"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does not answer the question presented here, but its reasoning is nevertheless highly relevant and is therefore a significant doctrinal development. Importantly, the </w:t>
      </w:r>
      <w:hyperlink r:id="rId466"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foresaw that its ruling would precede a number of lawsuits in state and lower federal courts raising the question of a state's ability to prohibit same-sex marriage, a fact that was noted by two dissenting justices. The Honorable John Roberts wrote that the Court “may in the future have to resolve challenges to state marriage definitions affecting same-sex couples.” </w:t>
      </w:r>
      <w:hyperlink r:id="rId467" w:history="1">
        <w:r w:rsidRPr="0019267D">
          <w:rPr>
            <w:rFonts w:ascii="Arial" w:hAnsi="Arial" w:cs="Arial"/>
            <w:i/>
            <w:iCs/>
            <w:color w:val="0000FF"/>
            <w:sz w:val="18"/>
            <w:szCs w:val="18"/>
          </w:rPr>
          <w:t>Windsor,</w:t>
        </w:r>
      </w:hyperlink>
      <w:hyperlink r:id="rId468" w:history="1">
        <w:r w:rsidRPr="0019267D">
          <w:rPr>
            <w:rFonts w:ascii="Arial" w:hAnsi="Arial" w:cs="Arial"/>
            <w:color w:val="0000FF"/>
            <w:sz w:val="18"/>
            <w:szCs w:val="18"/>
          </w:rPr>
          <w:t xml:space="preserve"> 133 S.Ct. at 2697</w:t>
        </w:r>
      </w:hyperlink>
      <w:r w:rsidRPr="0019267D">
        <w:rPr>
          <w:rFonts w:ascii="Arial" w:hAnsi="Arial" w:cs="Arial"/>
          <w:color w:val="000000"/>
          <w:sz w:val="18"/>
          <w:szCs w:val="18"/>
        </w:rPr>
        <w:t xml:space="preserve"> (Roberts, C.J., dissenting). And Justice Scalia even recommended how this court should interpret the </w:t>
      </w:r>
      <w:hyperlink r:id="rId469"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decision when presented with the question that is now before it: “I do not mean to suggest disagreement ... that lower federal courts and state courts can distinguish </w:t>
      </w:r>
      <w:r w:rsidRPr="0019267D">
        <w:rPr>
          <w:rFonts w:ascii="Arial" w:hAnsi="Arial" w:cs="Arial"/>
          <w:color w:val="000000"/>
          <w:sz w:val="18"/>
          <w:szCs w:val="18"/>
        </w:rPr>
        <w:lastRenderedPageBreak/>
        <w:t xml:space="preserve">today's case when the issue before them is state denial of marital status to same-sex couples.” </w:t>
      </w:r>
      <w:hyperlink r:id="rId470" w:history="1">
        <w:r w:rsidRPr="0019267D">
          <w:rPr>
            <w:rFonts w:ascii="Arial" w:hAnsi="Arial" w:cs="Arial"/>
            <w:i/>
            <w:iCs/>
            <w:color w:val="0000FF"/>
            <w:sz w:val="18"/>
            <w:szCs w:val="18"/>
          </w:rPr>
          <w:t>Id.</w:t>
        </w:r>
      </w:hyperlink>
      <w:hyperlink r:id="rId471" w:history="1">
        <w:r w:rsidRPr="0019267D">
          <w:rPr>
            <w:rFonts w:ascii="Arial" w:hAnsi="Arial" w:cs="Arial"/>
            <w:color w:val="0000FF"/>
            <w:sz w:val="18"/>
            <w:szCs w:val="18"/>
          </w:rPr>
          <w:t xml:space="preserve"> at 2709</w:t>
        </w:r>
      </w:hyperlink>
      <w:r w:rsidRPr="0019267D">
        <w:rPr>
          <w:rFonts w:ascii="Arial" w:hAnsi="Arial" w:cs="Arial"/>
          <w:color w:val="000000"/>
          <w:sz w:val="18"/>
          <w:szCs w:val="18"/>
        </w:rPr>
        <w:t xml:space="preserve"> (Scalia, J., dissenting). It is also notable that while the Court declined to reach the merits in </w:t>
      </w:r>
      <w:hyperlink r:id="rId472" w:history="1">
        <w:r w:rsidRPr="0019267D">
          <w:rPr>
            <w:rFonts w:ascii="Arial" w:hAnsi="Arial" w:cs="Arial"/>
            <w:i/>
            <w:iCs/>
            <w:color w:val="0000FF"/>
            <w:sz w:val="18"/>
            <w:szCs w:val="18"/>
          </w:rPr>
          <w:t>Hollingsworth v. Perry</w:t>
        </w:r>
      </w:hyperlink>
      <w:r w:rsidRPr="0019267D">
        <w:rPr>
          <w:rFonts w:ascii="Arial" w:hAnsi="Arial" w:cs="Arial"/>
          <w:color w:val="000000"/>
          <w:sz w:val="18"/>
          <w:szCs w:val="18"/>
        </w:rPr>
        <w:t xml:space="preserve"> because the petitioners lacked standing to pursue the appeal, the Court did not dismiss the case outright for lack of a substantial federal question. </w:t>
      </w:r>
      <w:r w:rsidRPr="0019267D">
        <w:rPr>
          <w:rFonts w:ascii="Arial" w:hAnsi="Arial" w:cs="Arial"/>
          <w:i/>
          <w:iCs/>
          <w:color w:val="000000"/>
          <w:sz w:val="18"/>
          <w:szCs w:val="18"/>
        </w:rPr>
        <w:t>See</w:t>
      </w:r>
      <w:r w:rsidRPr="0019267D">
        <w:rPr>
          <w:rFonts w:ascii="Arial" w:hAnsi="Arial" w:cs="Arial"/>
          <w:color w:val="000000"/>
          <w:sz w:val="18"/>
          <w:szCs w:val="18"/>
        </w:rPr>
        <w:t xml:space="preserve"> </w:t>
      </w:r>
      <w:hyperlink r:id="rId473" w:history="1">
        <w:r w:rsidRPr="0019267D">
          <w:rPr>
            <w:rFonts w:ascii="Arial" w:hAnsi="Arial" w:cs="Arial"/>
            <w:color w:val="0000FF"/>
            <w:sz w:val="18"/>
            <w:szCs w:val="18"/>
          </w:rPr>
          <w:t>––– U.S. ––––, 133 S.Ct. 2652, 186 L.Ed.2d 768 (2013)</w:t>
        </w:r>
      </w:hyperlink>
      <w:r w:rsidRPr="0019267D">
        <w:rPr>
          <w:rFonts w:ascii="Arial" w:hAnsi="Arial" w:cs="Arial"/>
          <w:color w:val="000000"/>
          <w:sz w:val="18"/>
          <w:szCs w:val="18"/>
        </w:rPr>
        <w:t xml:space="preserve">. Given the Supreme Court's disposition of both </w:t>
      </w:r>
      <w:hyperlink r:id="rId47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and </w:t>
      </w:r>
      <w:r w:rsidRPr="0019267D">
        <w:rPr>
          <w:rFonts w:ascii="Arial" w:hAnsi="Arial" w:cs="Arial"/>
          <w:i/>
          <w:iCs/>
          <w:color w:val="000000"/>
          <w:sz w:val="18"/>
          <w:szCs w:val="18"/>
        </w:rPr>
        <w:t>Perry,</w:t>
      </w:r>
      <w:r w:rsidRPr="0019267D">
        <w:rPr>
          <w:rFonts w:ascii="Arial" w:hAnsi="Arial" w:cs="Arial"/>
          <w:color w:val="000000"/>
          <w:sz w:val="18"/>
          <w:szCs w:val="18"/>
        </w:rPr>
        <w:t xml:space="preserve"> the court finds that there is no longer any doubt that the issue currently before the court in this lawsuit presents a substantial question of federal law.</w:t>
      </w:r>
    </w:p>
    <w:p w14:paraId="4006839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4F27E2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As a result, </w:t>
      </w:r>
      <w:r w:rsidRPr="0019267D">
        <w:rPr>
          <w:rFonts w:ascii="Arial" w:hAnsi="Arial" w:cs="Arial"/>
          <w:i/>
          <w:iCs/>
          <w:color w:val="000000"/>
          <w:sz w:val="18"/>
          <w:szCs w:val="18"/>
        </w:rPr>
        <w:t>Baker v. Nelson</w:t>
      </w:r>
      <w:r w:rsidRPr="0019267D">
        <w:rPr>
          <w:rFonts w:ascii="Arial" w:hAnsi="Arial" w:cs="Arial"/>
          <w:color w:val="000000"/>
          <w:sz w:val="18"/>
          <w:szCs w:val="18"/>
        </w:rPr>
        <w:t xml:space="preserve"> is no longer controlling precedent and the court proceeds to address the merits of the question presented here.</w:t>
      </w:r>
    </w:p>
    <w:p w14:paraId="75DEC9F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EF768E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IV. Amendment 3 Violates the Plaintiffs' Due Process Rights</w:t>
      </w:r>
    </w:p>
    <w:p w14:paraId="7480C4D4"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2032351566" w:history="1">
        <w:r w:rsidR="00743F35" w:rsidRPr="0019267D">
          <w:rPr>
            <w:rFonts w:ascii="Arial" w:hAnsi="Arial" w:cs="Arial"/>
            <w:color w:val="0000FF"/>
            <w:sz w:val="18"/>
            <w:szCs w:val="18"/>
          </w:rPr>
          <w:t>[2]</w:t>
        </w:r>
      </w:hyperlink>
      <w:bookmarkStart w:id="64" w:name="Document1zzB22032351566"/>
      <w:bookmarkEnd w:id="64"/>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"Document1zzF32032351566"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[3]</w:t>
      </w:r>
      <w:r w:rsidR="00743F35" w:rsidRPr="0019267D">
        <w:rPr>
          <w:rFonts w:ascii="Arial" w:hAnsi="Arial" w:cs="Arial"/>
          <w:color w:val="000000"/>
          <w:sz w:val="18"/>
          <w:szCs w:val="18"/>
        </w:rPr>
        <w:fldChar w:fldCharType="end"/>
      </w:r>
      <w:bookmarkStart w:id="65" w:name="Document1zzB32032351566"/>
      <w:bookmarkEnd w:id="65"/>
      <w:r w:rsidR="00743F35" w:rsidRPr="0019267D">
        <w:rPr>
          <w:rFonts w:ascii="Arial" w:hAnsi="Arial" w:cs="Arial"/>
          <w:color w:val="000000"/>
          <w:sz w:val="18"/>
          <w:szCs w:val="18"/>
        </w:rPr>
        <w:t xml:space="preserve"> The State of Utah contends that what is at stake in this lawsuit is the State's right to define marriage free from federal interference. The Plaintiffs counter that what is really at issue is an individual's ability to protect his or her fundamental rights from unreasonable interference by the state government. As discussed above, the parties have defined the two important principles that are in tension in this matter. While Utah exercises the “unquestioned authority” to regulate and define marriage, </w:t>
      </w:r>
      <w:hyperlink r:id="rId475" w:history="1">
        <w:r w:rsidR="00743F35" w:rsidRPr="0019267D">
          <w:rPr>
            <w:rFonts w:ascii="Arial" w:hAnsi="Arial" w:cs="Arial"/>
            <w:i/>
            <w:iCs/>
            <w:color w:val="0000FF"/>
            <w:sz w:val="18"/>
            <w:szCs w:val="18"/>
          </w:rPr>
          <w:t>Windsor,</w:t>
        </w:r>
      </w:hyperlink>
      <w:hyperlink r:id="rId476" w:history="1">
        <w:r w:rsidR="00743F35" w:rsidRPr="0019267D">
          <w:rPr>
            <w:rFonts w:ascii="Arial" w:hAnsi="Arial" w:cs="Arial"/>
            <w:color w:val="0000FF"/>
            <w:sz w:val="18"/>
            <w:szCs w:val="18"/>
          </w:rPr>
          <w:t xml:space="preserve"> 133 S.Ct. at 2693,</w:t>
        </w:r>
      </w:hyperlink>
      <w:r w:rsidR="00743F35" w:rsidRPr="0019267D">
        <w:rPr>
          <w:rFonts w:ascii="Arial" w:hAnsi="Arial" w:cs="Arial"/>
          <w:color w:val="000000"/>
          <w:sz w:val="18"/>
          <w:szCs w:val="18"/>
        </w:rPr>
        <w:t xml:space="preserve"> it must nevertheless do so in a way that does not infringe the constitutional rights of its citizens. </w:t>
      </w:r>
      <w:r w:rsidR="00743F35" w:rsidRPr="0019267D">
        <w:rPr>
          <w:rFonts w:ascii="Arial" w:hAnsi="Arial" w:cs="Arial"/>
          <w:i/>
          <w:iCs/>
          <w:color w:val="000000"/>
          <w:sz w:val="18"/>
          <w:szCs w:val="18"/>
        </w:rPr>
        <w:t xml:space="preserve">See </w:t>
      </w:r>
      <w:hyperlink r:id="rId477" w:history="1">
        <w:r w:rsidR="00743F35" w:rsidRPr="0019267D">
          <w:rPr>
            <w:rFonts w:ascii="Arial" w:hAnsi="Arial" w:cs="Arial"/>
            <w:i/>
            <w:iCs/>
            <w:color w:val="0000FF"/>
            <w:sz w:val="18"/>
            <w:szCs w:val="18"/>
          </w:rPr>
          <w:t>id.</w:t>
        </w:r>
      </w:hyperlink>
      <w:hyperlink r:id="rId478" w:history="1">
        <w:r w:rsidR="00743F35" w:rsidRPr="0019267D">
          <w:rPr>
            <w:rFonts w:ascii="Arial" w:hAnsi="Arial" w:cs="Arial"/>
            <w:color w:val="0000FF"/>
            <w:sz w:val="18"/>
            <w:szCs w:val="18"/>
          </w:rPr>
          <w:t xml:space="preserve"> at 2692</w:t>
        </w:r>
      </w:hyperlink>
      <w:r w:rsidR="00743F35" w:rsidRPr="0019267D">
        <w:rPr>
          <w:rFonts w:ascii="Arial" w:hAnsi="Arial" w:cs="Arial"/>
          <w:color w:val="000000"/>
          <w:sz w:val="18"/>
          <w:szCs w:val="18"/>
        </w:rPr>
        <w:t xml:space="preserve"> (noting that the “incidents, benefits, and obligations of marriage” may vary from state to state but are still “subject to constitutional guarantees”). As a result, the court's role is not to define marriage, an exercise that would be improper given the states' primary authority in this realm. Instead, the court's analysis is restricted to a determination of what individual rights are protected by the Constitution. The court must then decide whether the State's definition and regulation of marriage impermissibly infringes those rights.</w:t>
      </w:r>
    </w:p>
    <w:p w14:paraId="0B0BE18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1D853F5"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42032351566" w:history="1">
        <w:r w:rsidR="00743F35" w:rsidRPr="0019267D">
          <w:rPr>
            <w:rFonts w:ascii="Arial" w:hAnsi="Arial" w:cs="Arial"/>
            <w:color w:val="0000FF"/>
            <w:sz w:val="18"/>
            <w:szCs w:val="18"/>
          </w:rPr>
          <w:t>[4]</w:t>
        </w:r>
      </w:hyperlink>
      <w:bookmarkStart w:id="66" w:name="Document1zzB42032351566"/>
      <w:bookmarkEnd w:id="66"/>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"Document1zzF52032351566"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[5]</w:t>
      </w:r>
      <w:r w:rsidR="00743F35" w:rsidRPr="0019267D">
        <w:rPr>
          <w:rFonts w:ascii="Arial" w:hAnsi="Arial" w:cs="Arial"/>
          <w:color w:val="000000"/>
          <w:sz w:val="18"/>
          <w:szCs w:val="18"/>
        </w:rPr>
        <w:fldChar w:fldCharType="end"/>
      </w:r>
      <w:bookmarkStart w:id="67" w:name="Document1zzB52032351566"/>
      <w:bookmarkEnd w:id="67"/>
      <w:r w:rsidR="00743F35" w:rsidRPr="0019267D">
        <w:rPr>
          <w:rFonts w:ascii="Arial" w:hAnsi="Arial" w:cs="Arial"/>
          <w:color w:val="000000"/>
          <w:sz w:val="18"/>
          <w:szCs w:val="18"/>
        </w:rPr>
        <w:t xml:space="preserve"> The Constitution guarantees that all citizens have certain fundamental rights. These rights vest in every person over whom the Constitution has authority and, because they are so important, an individual's fundamental rights “may not be submitted to vote; they depend on the outcome of no elections.” </w:t>
      </w:r>
      <w:hyperlink r:id="rId479" w:history="1">
        <w:r w:rsidR="00743F35" w:rsidRPr="0019267D">
          <w:rPr>
            <w:rFonts w:ascii="Arial" w:hAnsi="Arial" w:cs="Arial"/>
            <w:i/>
            <w:iCs/>
            <w:color w:val="0000FF"/>
            <w:sz w:val="18"/>
            <w:szCs w:val="18"/>
          </w:rPr>
          <w:t>W.Va. State Bd. of Educ. v. Barnette,</w:t>
        </w:r>
      </w:hyperlink>
      <w:hyperlink r:id="rId480" w:history="1">
        <w:r w:rsidR="00743F35" w:rsidRPr="0019267D">
          <w:rPr>
            <w:rFonts w:ascii="Arial" w:hAnsi="Arial" w:cs="Arial"/>
            <w:color w:val="0000FF"/>
            <w:sz w:val="18"/>
            <w:szCs w:val="18"/>
          </w:rPr>
          <w:t xml:space="preserve"> 319 U.S. 624, 638, 63 S.Ct. 1178, 87 L.Ed. 1628 (1943)</w:t>
        </w:r>
      </w:hyperlink>
      <w:r w:rsidR="00743F35" w:rsidRPr="0019267D">
        <w:rPr>
          <w:rFonts w:ascii="Arial" w:hAnsi="Arial" w:cs="Arial"/>
          <w:color w:val="000000"/>
          <w:sz w:val="18"/>
          <w:szCs w:val="18"/>
        </w:rPr>
        <w:t xml:space="preserve">. When the Constitution was first ratified, these rights were specifically articulated in the Bill of Rights and protected an individual from certain actions of the federal government. After the nation's wrenching experience in the Civil War, the people adopted the Fourteenth Amendment, which holds: “No State shall make or enforce any law which shall abridge the privileges and immunities of citizens of the United States; nor shall any State deprive any person of life, liberty or property, without due process of law; nor deny to any person within its jurisdiction the equal protection of the laws.” </w:t>
      </w:r>
      <w:hyperlink r:id="rId481" w:history="1">
        <w:r w:rsidR="00743F35" w:rsidRPr="0019267D">
          <w:rPr>
            <w:rFonts w:ascii="Arial" w:hAnsi="Arial" w:cs="Arial"/>
            <w:color w:val="0000FF"/>
            <w:sz w:val="18"/>
            <w:szCs w:val="18"/>
          </w:rPr>
          <w:t>U.S. Const. amend. XIV, § 1</w:t>
        </w:r>
      </w:hyperlink>
      <w:r w:rsidR="00743F35" w:rsidRPr="0019267D">
        <w:rPr>
          <w:rFonts w:ascii="Arial" w:hAnsi="Arial" w:cs="Arial"/>
          <w:color w:val="000000"/>
          <w:sz w:val="18"/>
          <w:szCs w:val="18"/>
        </w:rPr>
        <w:t xml:space="preserve">. The Supreme Court has held that the Due Process Clause of the Fourteenth Amendment applies to “matters of substantive law as well as to matters of procedure. Thus all fundamental rights comprised within the term liberty are protected by the Federal constitution from invasion by the States.” </w:t>
      </w:r>
      <w:hyperlink r:id="rId482" w:history="1">
        <w:r w:rsidR="00743F35" w:rsidRPr="0019267D">
          <w:rPr>
            <w:rFonts w:ascii="Arial" w:hAnsi="Arial" w:cs="Arial"/>
            <w:i/>
            <w:iCs/>
            <w:color w:val="0000FF"/>
            <w:sz w:val="18"/>
            <w:szCs w:val="18"/>
          </w:rPr>
          <w:t>Planned Parenthood of Se. Pa. v. Casey,</w:t>
        </w:r>
      </w:hyperlink>
      <w:hyperlink r:id="rId483" w:history="1">
        <w:r w:rsidR="00743F35" w:rsidRPr="0019267D">
          <w:rPr>
            <w:rFonts w:ascii="Arial" w:hAnsi="Arial" w:cs="Arial"/>
            <w:color w:val="0000FF"/>
            <w:sz w:val="18"/>
            <w:szCs w:val="18"/>
          </w:rPr>
          <w:t xml:space="preserve"> 505 U.S. 833, 846, 112 S.Ct. 2791, 120 L.Ed.2d 674 (1992)</w:t>
        </w:r>
      </w:hyperlink>
      <w:r w:rsidR="00743F35" w:rsidRPr="0019267D">
        <w:rPr>
          <w:rFonts w:ascii="Arial" w:hAnsi="Arial" w:cs="Arial"/>
          <w:color w:val="000000"/>
          <w:sz w:val="18"/>
          <w:szCs w:val="18"/>
        </w:rPr>
        <w:t xml:space="preserve"> (quoting </w:t>
      </w:r>
      <w:hyperlink r:id="rId484" w:history="1">
        <w:r w:rsidR="00743F35" w:rsidRPr="0019267D">
          <w:rPr>
            <w:rFonts w:ascii="Arial" w:hAnsi="Arial" w:cs="Arial"/>
            <w:i/>
            <w:iCs/>
            <w:color w:val="0000FF"/>
            <w:sz w:val="18"/>
            <w:szCs w:val="18"/>
          </w:rPr>
          <w:t>Whitney v. California,</w:t>
        </w:r>
      </w:hyperlink>
      <w:hyperlink r:id="rId485" w:history="1">
        <w:r w:rsidR="00743F35" w:rsidRPr="0019267D">
          <w:rPr>
            <w:rFonts w:ascii="Arial" w:hAnsi="Arial" w:cs="Arial"/>
            <w:color w:val="0000FF"/>
            <w:sz w:val="18"/>
            <w:szCs w:val="18"/>
          </w:rPr>
          <w:t xml:space="preserve"> 274 U.S. 357, 373, 47 S.Ct. 641, 71 L.Ed. 1095 (1927)</w:t>
        </w:r>
      </w:hyperlink>
      <w:r w:rsidR="00743F35" w:rsidRPr="0019267D">
        <w:rPr>
          <w:rFonts w:ascii="Arial" w:hAnsi="Arial" w:cs="Arial"/>
          <w:color w:val="000000"/>
          <w:sz w:val="18"/>
          <w:szCs w:val="18"/>
        </w:rPr>
        <w:t xml:space="preserve"> (Brandeis, J., concurring)).</w:t>
      </w:r>
    </w:p>
    <w:p w14:paraId="4319BC4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D584383"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most familiar of an individual's substantive liberties are those recognized by the Bill of Rights, and the Supreme Court has held that the Due Process Clause of the Fourteenth Amendment incorporates most portions of the Bill of Rights against the States. </w:t>
      </w:r>
      <w:r w:rsidRPr="0019267D">
        <w:rPr>
          <w:rFonts w:ascii="Arial" w:hAnsi="Arial" w:cs="Arial"/>
          <w:i/>
          <w:iCs/>
          <w:color w:val="000000"/>
          <w:sz w:val="18"/>
          <w:szCs w:val="18"/>
        </w:rPr>
        <w:t xml:space="preserve">See, e.g., </w:t>
      </w:r>
      <w:hyperlink r:id="rId486" w:history="1">
        <w:r w:rsidRPr="0019267D">
          <w:rPr>
            <w:rFonts w:ascii="Arial" w:hAnsi="Arial" w:cs="Arial"/>
            <w:i/>
            <w:iCs/>
            <w:color w:val="0000FF"/>
            <w:sz w:val="18"/>
            <w:szCs w:val="18"/>
          </w:rPr>
          <w:t>Duncan v. Louisiana,</w:t>
        </w:r>
      </w:hyperlink>
      <w:hyperlink r:id="rId487" w:history="1">
        <w:r w:rsidRPr="0019267D">
          <w:rPr>
            <w:rFonts w:ascii="Arial" w:hAnsi="Arial" w:cs="Arial"/>
            <w:color w:val="0000FF"/>
            <w:sz w:val="18"/>
            <w:szCs w:val="18"/>
          </w:rPr>
          <w:t xml:space="preserve"> 391 U.S. 145, 147–48, 88 S.Ct. 1444, 20 L.Ed.2d 491 (1968)</w:t>
        </w:r>
      </w:hyperlink>
      <w:r w:rsidRPr="0019267D">
        <w:rPr>
          <w:rFonts w:ascii="Arial" w:hAnsi="Arial" w:cs="Arial"/>
          <w:color w:val="000000"/>
          <w:sz w:val="18"/>
          <w:szCs w:val="18"/>
        </w:rPr>
        <w:t xml:space="preserve"> (discussing incorporation of certain rights from the First, Fourth, Fifth, and Sixth Amendments); </w:t>
      </w:r>
      <w:hyperlink r:id="rId488" w:history="1">
        <w:r w:rsidRPr="0019267D">
          <w:rPr>
            <w:rFonts w:ascii="Arial" w:hAnsi="Arial" w:cs="Arial"/>
            <w:i/>
            <w:iCs/>
            <w:color w:val="0000FF"/>
            <w:sz w:val="18"/>
            <w:szCs w:val="18"/>
          </w:rPr>
          <w:t>McDonald v. City of Chicago,</w:t>
        </w:r>
      </w:hyperlink>
      <w:hyperlink r:id="rId489" w:history="1">
        <w:r w:rsidRPr="0019267D">
          <w:rPr>
            <w:rFonts w:ascii="Arial" w:hAnsi="Arial" w:cs="Arial"/>
            <w:color w:val="0000FF"/>
            <w:sz w:val="18"/>
            <w:szCs w:val="18"/>
          </w:rPr>
          <w:t xml:space="preserve"> ––– U.S. ––––, 130 S.Ct. 3020, 3050, 177 L.Ed.2d 894 (2010)</w:t>
        </w:r>
      </w:hyperlink>
      <w:r w:rsidRPr="0019267D">
        <w:rPr>
          <w:rFonts w:ascii="Arial" w:hAnsi="Arial" w:cs="Arial"/>
          <w:color w:val="000000"/>
          <w:sz w:val="18"/>
          <w:szCs w:val="18"/>
        </w:rPr>
        <w:t xml:space="preserve"> (incorporating the Second Amendment). In </w:t>
      </w:r>
      <w:hyperlink r:id="rId490" w:history="1">
        <w:r w:rsidRPr="0019267D">
          <w:rPr>
            <w:rFonts w:ascii="Arial" w:hAnsi="Arial" w:cs="Arial"/>
            <w:i/>
            <w:iCs/>
            <w:color w:val="0000FF"/>
            <w:sz w:val="18"/>
            <w:szCs w:val="18"/>
          </w:rPr>
          <w:t>Planned Parenthood of Southeastern Pennsylvania v. Casey,</w:t>
        </w:r>
      </w:hyperlink>
      <w:r w:rsidRPr="0019267D">
        <w:rPr>
          <w:rFonts w:ascii="Arial" w:hAnsi="Arial" w:cs="Arial"/>
          <w:color w:val="000000"/>
          <w:sz w:val="18"/>
          <w:szCs w:val="18"/>
        </w:rPr>
        <w:t xml:space="preserve"> the Supreme Court recognized the authority of an argument first made by the Honorable John Marshall Harlan II that the Due Process Clause also protects a number of unenumerated rights from unreasonable invasion by the State:</w:t>
      </w:r>
    </w:p>
    <w:p w14:paraId="4E22C50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6ED0EC9"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 full scope of the liberty guaranteed by the Due Process Clause cannot be found in or limited by the precise terms of the specific guarantees elsewhere provided in the Constitution. This “liberty” is not a series of isolated points pricked out in terms of the taking of property; the freedom of speech, press, and religion; the right to keep and bear arms; the freedom from unreasonable searches and seizures; and so on. It is a rational continuum which, broadly speaking, includes a freedom from all substantial arbitrary impositions and purposeless restraints, ... and which also recognizes, what a reasonable and sensitive judgment must, that certain interests require particularly careful scrutiny of the state needs asserted to justify their abridgement.</w:t>
      </w:r>
    </w:p>
    <w:p w14:paraId="6F5CF0C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B8F337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491" w:history="1">
        <w:r w:rsidRPr="0019267D">
          <w:rPr>
            <w:rFonts w:ascii="Arial" w:hAnsi="Arial" w:cs="Arial"/>
            <w:i/>
            <w:iCs/>
            <w:color w:val="0000FF"/>
            <w:sz w:val="18"/>
            <w:szCs w:val="18"/>
          </w:rPr>
          <w:t>Poe v. Ullman,</w:t>
        </w:r>
      </w:hyperlink>
      <w:hyperlink r:id="rId492" w:history="1">
        <w:r w:rsidRPr="0019267D">
          <w:rPr>
            <w:rFonts w:ascii="Arial" w:hAnsi="Arial" w:cs="Arial"/>
            <w:color w:val="0000FF"/>
            <w:sz w:val="18"/>
            <w:szCs w:val="18"/>
          </w:rPr>
          <w:t xml:space="preserve"> 367 U.S. 497, 543, 81 S.Ct. 1752, 6 L.Ed.2d 989 (1961)</w:t>
        </w:r>
      </w:hyperlink>
      <w:r w:rsidRPr="0019267D">
        <w:rPr>
          <w:rFonts w:ascii="Arial" w:hAnsi="Arial" w:cs="Arial"/>
          <w:color w:val="000000"/>
          <w:sz w:val="18"/>
          <w:szCs w:val="18"/>
        </w:rPr>
        <w:t xml:space="preserve"> (Harlan, J., dissenting from dismissal on jurisdictional grounds), </w:t>
      </w:r>
      <w:r w:rsidRPr="0019267D">
        <w:rPr>
          <w:rFonts w:ascii="Arial" w:hAnsi="Arial" w:cs="Arial"/>
          <w:i/>
          <w:iCs/>
          <w:color w:val="000000"/>
          <w:sz w:val="18"/>
          <w:szCs w:val="18"/>
        </w:rPr>
        <w:t xml:space="preserve">quoted in </w:t>
      </w:r>
      <w:hyperlink r:id="rId493" w:history="1">
        <w:r w:rsidRPr="0019267D">
          <w:rPr>
            <w:rFonts w:ascii="Arial" w:hAnsi="Arial" w:cs="Arial"/>
            <w:i/>
            <w:iCs/>
            <w:color w:val="0000FF"/>
            <w:sz w:val="18"/>
            <w:szCs w:val="18"/>
          </w:rPr>
          <w:t>Casey,</w:t>
        </w:r>
      </w:hyperlink>
      <w:hyperlink r:id="rId494" w:history="1">
        <w:r w:rsidRPr="0019267D">
          <w:rPr>
            <w:rFonts w:ascii="Arial" w:hAnsi="Arial" w:cs="Arial"/>
            <w:color w:val="0000FF"/>
            <w:sz w:val="18"/>
            <w:szCs w:val="18"/>
          </w:rPr>
          <w:t xml:space="preserve"> 505 U.S. at 848–49, 112 S.Ct. 2791</w:t>
        </w:r>
      </w:hyperlink>
      <w:r w:rsidRPr="0019267D">
        <w:rPr>
          <w:rFonts w:ascii="Arial" w:hAnsi="Arial" w:cs="Arial"/>
          <w:color w:val="000000"/>
          <w:sz w:val="18"/>
          <w:szCs w:val="18"/>
        </w:rPr>
        <w:t>.</w:t>
      </w:r>
    </w:p>
    <w:p w14:paraId="1FB5C58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B67A47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A. </w:t>
      </w:r>
      <w:r w:rsidRPr="0019267D">
        <w:rPr>
          <w:rFonts w:ascii="Arial" w:hAnsi="Arial" w:cs="Arial"/>
          <w:i/>
          <w:iCs/>
          <w:color w:val="000000"/>
          <w:sz w:val="18"/>
          <w:szCs w:val="18"/>
        </w:rPr>
        <w:t>Supreme Court Cases Protecting Marriage as a Fundamental Right</w:t>
      </w:r>
    </w:p>
    <w:p w14:paraId="721D033A"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62032351566" w:history="1">
        <w:r w:rsidR="00743F35" w:rsidRPr="0019267D">
          <w:rPr>
            <w:rFonts w:ascii="Arial" w:hAnsi="Arial" w:cs="Arial"/>
            <w:color w:val="0000FF"/>
            <w:sz w:val="18"/>
            <w:szCs w:val="18"/>
          </w:rPr>
          <w:t>[6]</w:t>
        </w:r>
      </w:hyperlink>
      <w:bookmarkStart w:id="68" w:name="Document1zzB62032351566"/>
      <w:bookmarkEnd w:id="68"/>
      <w:r w:rsidR="00743F35" w:rsidRPr="0019267D">
        <w:rPr>
          <w:rFonts w:ascii="Arial" w:hAnsi="Arial" w:cs="Arial"/>
          <w:color w:val="000000"/>
          <w:sz w:val="18"/>
          <w:szCs w:val="18"/>
        </w:rPr>
        <w:t xml:space="preserve"> The right to marry is an example of a fundamental right that is not mentioned explicitly in the text of the Constitution but is </w:t>
      </w:r>
      <w:r w:rsidR="00743F35" w:rsidRPr="0019267D">
        <w:rPr>
          <w:rFonts w:ascii="Arial" w:hAnsi="Arial" w:cs="Arial"/>
          <w:color w:val="000000"/>
          <w:sz w:val="18"/>
          <w:szCs w:val="18"/>
        </w:rPr>
        <w:lastRenderedPageBreak/>
        <w:t xml:space="preserve">nevertheless protected by the guarantee of liberty under the Due Process Clause. The Supreme Court has long emphasized that the right to marry is of fundamental importance. In </w:t>
      </w:r>
      <w:hyperlink r:id="rId495" w:history="1">
        <w:r w:rsidR="00743F35" w:rsidRPr="0019267D">
          <w:rPr>
            <w:rFonts w:ascii="Arial" w:hAnsi="Arial" w:cs="Arial"/>
            <w:i/>
            <w:iCs/>
            <w:color w:val="0000FF"/>
            <w:sz w:val="18"/>
            <w:szCs w:val="18"/>
          </w:rPr>
          <w:t>Maynard v. Hill,</w:t>
        </w:r>
      </w:hyperlink>
      <w:r w:rsidR="00743F35" w:rsidRPr="0019267D">
        <w:rPr>
          <w:rFonts w:ascii="Arial" w:hAnsi="Arial" w:cs="Arial"/>
          <w:color w:val="000000"/>
          <w:sz w:val="18"/>
          <w:szCs w:val="18"/>
        </w:rPr>
        <w:t xml:space="preserve"> the Court characterized marriage as “the most important relation in life” and as “the foundation of the family and society, without which there would be neither civilization nor progress.” </w:t>
      </w:r>
      <w:hyperlink r:id="rId496" w:history="1">
        <w:r w:rsidR="00743F35" w:rsidRPr="0019267D">
          <w:rPr>
            <w:rFonts w:ascii="Arial" w:hAnsi="Arial" w:cs="Arial"/>
            <w:color w:val="0000FF"/>
            <w:sz w:val="18"/>
            <w:szCs w:val="18"/>
          </w:rPr>
          <w:t>125 U.S. 190, 205, 211, 8 S.Ct. 723, 31 L.Ed. 654 (1888)</w:t>
        </w:r>
      </w:hyperlink>
      <w:r w:rsidR="00743F35" w:rsidRPr="0019267D">
        <w:rPr>
          <w:rFonts w:ascii="Arial" w:hAnsi="Arial" w:cs="Arial"/>
          <w:color w:val="000000"/>
          <w:sz w:val="18"/>
          <w:szCs w:val="18"/>
        </w:rPr>
        <w:t xml:space="preserve">. In </w:t>
      </w:r>
      <w:hyperlink r:id="rId497" w:history="1">
        <w:r w:rsidR="00743F35" w:rsidRPr="0019267D">
          <w:rPr>
            <w:rFonts w:ascii="Arial" w:hAnsi="Arial" w:cs="Arial"/>
            <w:i/>
            <w:iCs/>
            <w:color w:val="0000FF"/>
            <w:sz w:val="18"/>
            <w:szCs w:val="18"/>
          </w:rPr>
          <w:t>Meyer v. Nebraska,</w:t>
        </w:r>
      </w:hyperlink>
      <w:r w:rsidR="00743F35" w:rsidRPr="0019267D">
        <w:rPr>
          <w:rFonts w:ascii="Arial" w:hAnsi="Arial" w:cs="Arial"/>
          <w:color w:val="000000"/>
          <w:sz w:val="18"/>
          <w:szCs w:val="18"/>
        </w:rPr>
        <w:t xml:space="preserve"> the Court recognized that the right “to marry, establish a home and bring up children” is a central part of the liberty protected by the Due Process Clause. </w:t>
      </w:r>
      <w:hyperlink r:id="rId498" w:history="1">
        <w:r w:rsidR="00743F35" w:rsidRPr="0019267D">
          <w:rPr>
            <w:rFonts w:ascii="Arial" w:hAnsi="Arial" w:cs="Arial"/>
            <w:color w:val="0000FF"/>
            <w:sz w:val="18"/>
            <w:szCs w:val="18"/>
          </w:rPr>
          <w:t>262 U.S. 390, 399, 43 S.Ct. 625, 67 L.Ed. 1042 (1923)</w:t>
        </w:r>
      </w:hyperlink>
      <w:r w:rsidR="00743F35" w:rsidRPr="0019267D">
        <w:rPr>
          <w:rFonts w:ascii="Arial" w:hAnsi="Arial" w:cs="Arial"/>
          <w:color w:val="000000"/>
          <w:sz w:val="18"/>
          <w:szCs w:val="18"/>
        </w:rPr>
        <w:t xml:space="preserve">. And in </w:t>
      </w:r>
      <w:hyperlink r:id="rId499" w:history="1">
        <w:r w:rsidR="00743F35" w:rsidRPr="0019267D">
          <w:rPr>
            <w:rFonts w:ascii="Arial" w:hAnsi="Arial" w:cs="Arial"/>
            <w:i/>
            <w:iCs/>
            <w:color w:val="0000FF"/>
            <w:sz w:val="18"/>
            <w:szCs w:val="18"/>
          </w:rPr>
          <w:t>Skinner v. Oklahoma ex rel. Williamson,</w:t>
        </w:r>
      </w:hyperlink>
      <w:r w:rsidR="00743F35" w:rsidRPr="0019267D">
        <w:rPr>
          <w:rFonts w:ascii="Arial" w:hAnsi="Arial" w:cs="Arial"/>
          <w:color w:val="000000"/>
          <w:sz w:val="18"/>
          <w:szCs w:val="18"/>
        </w:rPr>
        <w:t xml:space="preserve"> the Court ruled that marriage is “one of the basic civil rights of man.” </w:t>
      </w:r>
      <w:hyperlink r:id="rId500" w:history="1">
        <w:r w:rsidR="00743F35" w:rsidRPr="0019267D">
          <w:rPr>
            <w:rFonts w:ascii="Arial" w:hAnsi="Arial" w:cs="Arial"/>
            <w:color w:val="0000FF"/>
            <w:sz w:val="18"/>
            <w:szCs w:val="18"/>
          </w:rPr>
          <w:t>316 U.S. 535, 541, 62 S.Ct. 1110, 86 L.Ed. 1655 (1942)</w:t>
        </w:r>
      </w:hyperlink>
      <w:r w:rsidR="00743F35" w:rsidRPr="0019267D">
        <w:rPr>
          <w:rFonts w:ascii="Arial" w:hAnsi="Arial" w:cs="Arial"/>
          <w:color w:val="000000"/>
          <w:sz w:val="18"/>
          <w:szCs w:val="18"/>
        </w:rPr>
        <w:t>.</w:t>
      </w:r>
    </w:p>
    <w:p w14:paraId="5E11C9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B68154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more recent cases, the Court has held that the right to marry implicates additional rights that are protected by the Fourteenth Amendment. For instance, the Court's decision in </w:t>
      </w:r>
      <w:hyperlink r:id="rId501" w:history="1">
        <w:r w:rsidRPr="0019267D">
          <w:rPr>
            <w:rFonts w:ascii="Arial" w:hAnsi="Arial" w:cs="Arial"/>
            <w:i/>
            <w:iCs/>
            <w:color w:val="0000FF"/>
            <w:sz w:val="18"/>
            <w:szCs w:val="18"/>
          </w:rPr>
          <w:t>Griswold v. Connecticut,</w:t>
        </w:r>
      </w:hyperlink>
      <w:r w:rsidRPr="0019267D">
        <w:rPr>
          <w:rFonts w:ascii="Arial" w:hAnsi="Arial" w:cs="Arial"/>
          <w:color w:val="000000"/>
          <w:sz w:val="18"/>
          <w:szCs w:val="18"/>
        </w:rPr>
        <w:t xml:space="preserve"> in which the Court struck down a Connecticut law that prohibited the use of contraceptives, established that the right to marry is intertwined with an individual's right of privacy. The Court observed:</w:t>
      </w:r>
    </w:p>
    <w:p w14:paraId="13066DF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8B45BF0"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We deal with a right of privacy older than the Bill of Rights—older than our political parties, older than our school system. Marriage is a coming together for better or for worse, hopefully enduring, and intimate to the degree of being sacred. It is an association that promotes a way of life, not causes; a harmony in living, not political faiths; a bilateral loyalty, not commercial or social projects. Yet it is an association for as noble a purpose as any involved in our prior decisions.</w:t>
      </w:r>
    </w:p>
    <w:p w14:paraId="3A37F88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046341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02" w:history="1">
        <w:r w:rsidRPr="0019267D">
          <w:rPr>
            <w:rFonts w:ascii="Arial" w:hAnsi="Arial" w:cs="Arial"/>
            <w:color w:val="0000FF"/>
            <w:sz w:val="18"/>
            <w:szCs w:val="18"/>
          </w:rPr>
          <w:t>381 U.S. 479, 486, 85 S.Ct. 1678, 14 L.Ed.2d 510 (1965)</w:t>
        </w:r>
      </w:hyperlink>
      <w:r w:rsidRPr="0019267D">
        <w:rPr>
          <w:rFonts w:ascii="Arial" w:hAnsi="Arial" w:cs="Arial"/>
          <w:color w:val="000000"/>
          <w:sz w:val="18"/>
          <w:szCs w:val="18"/>
        </w:rPr>
        <w:t xml:space="preserve">. And in </w:t>
      </w:r>
      <w:hyperlink r:id="rId503" w:history="1">
        <w:r w:rsidRPr="0019267D">
          <w:rPr>
            <w:rFonts w:ascii="Arial" w:hAnsi="Arial" w:cs="Arial"/>
            <w:i/>
            <w:iCs/>
            <w:color w:val="0000FF"/>
            <w:sz w:val="18"/>
            <w:szCs w:val="18"/>
          </w:rPr>
          <w:t>M.L.B. v. S.L.J.,</w:t>
        </w:r>
      </w:hyperlink>
      <w:r w:rsidRPr="0019267D">
        <w:rPr>
          <w:rFonts w:ascii="Arial" w:hAnsi="Arial" w:cs="Arial"/>
          <w:color w:val="000000"/>
          <w:sz w:val="18"/>
          <w:szCs w:val="18"/>
        </w:rPr>
        <w:t xml:space="preserve"> the Court described marriage as an associational right: “Choices about marriage, family life, and the upbringing of children are among associational rights this Court has ranked ‘of basic importance in our society,’ rights sheltered by the Fourteenth Amendment against the State's unwarranted usurpation, disregard, or disrespect.” </w:t>
      </w:r>
      <w:hyperlink r:id="rId504" w:history="1">
        <w:r w:rsidRPr="0019267D">
          <w:rPr>
            <w:rFonts w:ascii="Arial" w:hAnsi="Arial" w:cs="Arial"/>
            <w:color w:val="0000FF"/>
            <w:sz w:val="18"/>
            <w:szCs w:val="18"/>
          </w:rPr>
          <w:t>519 U.S. 102, 116, 117 S.Ct. 555, 136 L.Ed.2d 473 (1996)</w:t>
        </w:r>
      </w:hyperlink>
      <w:r w:rsidRPr="0019267D">
        <w:rPr>
          <w:rFonts w:ascii="Arial" w:hAnsi="Arial" w:cs="Arial"/>
          <w:color w:val="000000"/>
          <w:sz w:val="18"/>
          <w:szCs w:val="18"/>
        </w:rPr>
        <w:t xml:space="preserve"> (citation omitted).</w:t>
      </w:r>
    </w:p>
    <w:p w14:paraId="70489F5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D1659D3"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 has consistently held that a person must be free to make personal decisions related to marriage without unjustified government interference. </w:t>
      </w:r>
      <w:r w:rsidRPr="0019267D">
        <w:rPr>
          <w:rFonts w:ascii="Arial" w:hAnsi="Arial" w:cs="Arial"/>
          <w:i/>
          <w:iCs/>
          <w:color w:val="000000"/>
          <w:sz w:val="18"/>
          <w:szCs w:val="18"/>
        </w:rPr>
        <w:t xml:space="preserve">See, e.g., </w:t>
      </w:r>
      <w:hyperlink r:id="rId505" w:history="1">
        <w:r w:rsidRPr="0019267D">
          <w:rPr>
            <w:rFonts w:ascii="Arial" w:hAnsi="Arial" w:cs="Arial"/>
            <w:i/>
            <w:iCs/>
            <w:color w:val="0000FF"/>
            <w:sz w:val="18"/>
            <w:szCs w:val="18"/>
          </w:rPr>
          <w:t>Cleveland Bd. of Educ. v. LaFleur,</w:t>
        </w:r>
      </w:hyperlink>
      <w:hyperlink r:id="rId506" w:history="1">
        <w:r w:rsidRPr="0019267D">
          <w:rPr>
            <w:rFonts w:ascii="Arial" w:hAnsi="Arial" w:cs="Arial"/>
            <w:color w:val="0000FF"/>
            <w:sz w:val="18"/>
            <w:szCs w:val="18"/>
          </w:rPr>
          <w:t xml:space="preserve"> 414 U.S. 632, 639–40, 94 S.Ct. 791, 39 L.Ed.2d 52 (1974)</w:t>
        </w:r>
      </w:hyperlink>
      <w:r w:rsidRPr="0019267D">
        <w:rPr>
          <w:rFonts w:ascii="Arial" w:hAnsi="Arial" w:cs="Arial"/>
          <w:color w:val="000000"/>
          <w:sz w:val="18"/>
          <w:szCs w:val="18"/>
        </w:rPr>
        <w:t xml:space="preserve"> (“This Court has long recognized that freedom of personal choice in matters of marriage and family life is one of the liberties protected by the Due Process Clause of the Fourteenth Amendment.”); </w:t>
      </w:r>
      <w:hyperlink r:id="rId507" w:history="1">
        <w:r w:rsidRPr="0019267D">
          <w:rPr>
            <w:rFonts w:ascii="Arial" w:hAnsi="Arial" w:cs="Arial"/>
            <w:i/>
            <w:iCs/>
            <w:color w:val="0000FF"/>
            <w:sz w:val="18"/>
            <w:szCs w:val="18"/>
          </w:rPr>
          <w:t>Carey v. Population Servs. Int'l,</w:t>
        </w:r>
      </w:hyperlink>
      <w:hyperlink r:id="rId508" w:history="1">
        <w:r w:rsidRPr="0019267D">
          <w:rPr>
            <w:rFonts w:ascii="Arial" w:hAnsi="Arial" w:cs="Arial"/>
            <w:color w:val="0000FF"/>
            <w:sz w:val="18"/>
            <w:szCs w:val="18"/>
          </w:rPr>
          <w:t xml:space="preserve"> 431 U.S. 678, 684–85, 97 S.Ct. 2010, 52 L.Ed.2d 675 (1977)</w:t>
        </w:r>
      </w:hyperlink>
      <w:r w:rsidRPr="0019267D">
        <w:rPr>
          <w:rFonts w:ascii="Arial" w:hAnsi="Arial" w:cs="Arial"/>
          <w:color w:val="000000"/>
          <w:sz w:val="18"/>
          <w:szCs w:val="18"/>
        </w:rPr>
        <w:t xml:space="preserve"> (“[I]t is clear that among the decisions that an individual may make without unjustified government interference are personal decisions relating to marriage, procreation, contraception, family relationships, and child rearing and education.” (citations and internal quotation marks omitted)); </w:t>
      </w:r>
      <w:hyperlink r:id="rId509" w:history="1">
        <w:r w:rsidRPr="0019267D">
          <w:rPr>
            <w:rFonts w:ascii="Arial" w:hAnsi="Arial" w:cs="Arial"/>
            <w:i/>
            <w:iCs/>
            <w:color w:val="0000FF"/>
            <w:sz w:val="18"/>
            <w:szCs w:val="18"/>
          </w:rPr>
          <w:t>Hodgson v. Minnesota,</w:t>
        </w:r>
      </w:hyperlink>
      <w:hyperlink r:id="rId510" w:history="1">
        <w:r w:rsidRPr="0019267D">
          <w:rPr>
            <w:rFonts w:ascii="Arial" w:hAnsi="Arial" w:cs="Arial"/>
            <w:color w:val="0000FF"/>
            <w:sz w:val="18"/>
            <w:szCs w:val="18"/>
          </w:rPr>
          <w:t xml:space="preserve"> 497 U.S. 417, 435, 110 S.Ct. 2926, 111 L.Ed.2d 344 (1990)</w:t>
        </w:r>
      </w:hyperlink>
      <w:r w:rsidRPr="0019267D">
        <w:rPr>
          <w:rFonts w:ascii="Arial" w:hAnsi="Arial" w:cs="Arial"/>
          <w:color w:val="000000"/>
          <w:sz w:val="18"/>
          <w:szCs w:val="18"/>
        </w:rPr>
        <w:t xml:space="preserve"> (“But the regulation of constitutionally protected decisions, such as where a person shall reside or whom he or she shall marry, must be predicated on legitimate state concerns other than disagreement with the choice the individual has made.”). In </w:t>
      </w:r>
      <w:hyperlink r:id="rId511" w:history="1">
        <w:r w:rsidRPr="0019267D">
          <w:rPr>
            <w:rFonts w:ascii="Arial" w:hAnsi="Arial" w:cs="Arial"/>
            <w:i/>
            <w:iCs/>
            <w:color w:val="0000FF"/>
            <w:sz w:val="18"/>
            <w:szCs w:val="18"/>
          </w:rPr>
          <w:t>Planned Parenthood of Southeastern Pennsylvania v. Casey,</w:t>
        </w:r>
      </w:hyperlink>
      <w:r w:rsidRPr="0019267D">
        <w:rPr>
          <w:rFonts w:ascii="Arial" w:hAnsi="Arial" w:cs="Arial"/>
          <w:color w:val="000000"/>
          <w:sz w:val="18"/>
          <w:szCs w:val="18"/>
        </w:rPr>
        <w:t xml:space="preserve"> the Court emphasized the high degree of constitutional protection afforded to an individual's personal choices about marriage and other intimate decisions:</w:t>
      </w:r>
    </w:p>
    <w:p w14:paraId="4D80BF8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418480"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These matters, involving the most intimate and personal choices a person may make in a lifetime, choices central to personal dignity and autonomy, are central to the liberty protected by the Fourteenth Amendment. At the heart of liberty is the right to define one's own concept of existence, of meaning, of the universe, and of the mystery of human life. Beliefs about these matters could not define the attributes of personhood were they formed under compulsion of the State.</w:t>
      </w:r>
    </w:p>
    <w:p w14:paraId="6F84FB2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BA3695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12" w:history="1">
        <w:r w:rsidRPr="0019267D">
          <w:rPr>
            <w:rFonts w:ascii="Arial" w:hAnsi="Arial" w:cs="Arial"/>
            <w:i/>
            <w:iCs/>
            <w:color w:val="0000FF"/>
            <w:sz w:val="18"/>
            <w:szCs w:val="18"/>
          </w:rPr>
          <w:t>Casey,</w:t>
        </w:r>
      </w:hyperlink>
      <w:hyperlink r:id="rId513" w:history="1">
        <w:r w:rsidRPr="0019267D">
          <w:rPr>
            <w:rFonts w:ascii="Arial" w:hAnsi="Arial" w:cs="Arial"/>
            <w:color w:val="0000FF"/>
            <w:sz w:val="18"/>
            <w:szCs w:val="18"/>
          </w:rPr>
          <w:t xml:space="preserve"> 505 U.S. at 851, 112 S.Ct. 2791</w:t>
        </w:r>
      </w:hyperlink>
      <w:r w:rsidRPr="0019267D">
        <w:rPr>
          <w:rFonts w:ascii="Arial" w:hAnsi="Arial" w:cs="Arial"/>
          <w:color w:val="000000"/>
          <w:sz w:val="18"/>
          <w:szCs w:val="18"/>
        </w:rPr>
        <w:t>.</w:t>
      </w:r>
    </w:p>
    <w:p w14:paraId="270D4A1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3DFDDC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Given the importance of marriage as a fundamental right and its relation to an individual's rights to liberty, privacy, and association, the Supreme Court has not hesitated to invalidate state laws pertaining to marriage whenever such a law intrudes on an individual's protected realm of liberty. Most famously, the Court struck down Virginia's law against interracial marriage in </w:t>
      </w:r>
      <w:hyperlink r:id="rId514" w:history="1">
        <w:r w:rsidRPr="0019267D">
          <w:rPr>
            <w:rFonts w:ascii="Arial" w:hAnsi="Arial" w:cs="Arial"/>
            <w:i/>
            <w:iCs/>
            <w:color w:val="0000FF"/>
            <w:sz w:val="18"/>
            <w:szCs w:val="18"/>
          </w:rPr>
          <w:t>Loving v. Virginia,</w:t>
        </w:r>
      </w:hyperlink>
      <w:hyperlink r:id="rId515" w:history="1">
        <w:r w:rsidRPr="0019267D">
          <w:rPr>
            <w:rFonts w:ascii="Arial" w:hAnsi="Arial" w:cs="Arial"/>
            <w:color w:val="0000FF"/>
            <w:sz w:val="18"/>
            <w:szCs w:val="18"/>
          </w:rPr>
          <w:t xml:space="preserve"> 388 U.S. 1, 12, 87 S.Ct. 1817, 18 L.Ed.2d 1010 (1967)</w:t>
        </w:r>
      </w:hyperlink>
      <w:r w:rsidRPr="0019267D">
        <w:rPr>
          <w:rFonts w:ascii="Arial" w:hAnsi="Arial" w:cs="Arial"/>
          <w:color w:val="000000"/>
          <w:sz w:val="18"/>
          <w:szCs w:val="18"/>
        </w:rPr>
        <w:t xml:space="preserve">. The Court found that Virginia's anti-miscegenation statute violated both the Equal Protection Clause and the Due Process Clause of the Fourteenth Amendment. </w:t>
      </w:r>
      <w:hyperlink r:id="rId516"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 Court has since noted that </w:t>
      </w:r>
      <w:hyperlink r:id="rId517" w:history="1">
        <w:r w:rsidRPr="0019267D">
          <w:rPr>
            <w:rFonts w:ascii="Arial" w:hAnsi="Arial" w:cs="Arial"/>
            <w:i/>
            <w:iCs/>
            <w:color w:val="0000FF"/>
            <w:sz w:val="18"/>
            <w:szCs w:val="18"/>
          </w:rPr>
          <w:t>Loving</w:t>
        </w:r>
      </w:hyperlink>
      <w:r w:rsidRPr="0019267D">
        <w:rPr>
          <w:rFonts w:ascii="Arial" w:hAnsi="Arial" w:cs="Arial"/>
          <w:color w:val="000000"/>
          <w:sz w:val="18"/>
          <w:szCs w:val="18"/>
        </w:rPr>
        <w:t xml:space="preserve"> was correctly decided, even though mixed-race marriages had previously been illegal in many states </w:t>
      </w:r>
      <w:hyperlink w:anchor="Document1zzB00772032351566" w:history="1">
        <w:r w:rsidRPr="0019267D">
          <w:rPr>
            <w:rFonts w:ascii="Arial" w:hAnsi="Arial" w:cs="Arial"/>
            <w:color w:val="0000FF"/>
            <w:sz w:val="18"/>
            <w:szCs w:val="18"/>
            <w:vertAlign w:val="superscript"/>
          </w:rPr>
          <w:t>FN7</w:t>
        </w:r>
      </w:hyperlink>
      <w:bookmarkStart w:id="69" w:name="Document1zzF00772032351566"/>
      <w:bookmarkEnd w:id="69"/>
      <w:r w:rsidRPr="0019267D">
        <w:rPr>
          <w:rFonts w:ascii="Arial" w:hAnsi="Arial" w:cs="Arial"/>
          <w:color w:val="000000"/>
          <w:sz w:val="18"/>
          <w:szCs w:val="18"/>
        </w:rPr>
        <w:t xml:space="preserve"> and, moreover, were not specifically protected from government interference at the time the Fourteenth Amendment was ratified: “Marriage is mentioned nowhere in the Bill of Rights and interracial marriage was illegal in most States in the 19th century, but the Court was no doubt correct in finding it to be an aspect of liberty protected against state interference by the substantive component of the Due Process Clause in </w:t>
      </w:r>
      <w:hyperlink r:id="rId518" w:history="1">
        <w:r w:rsidRPr="0019267D">
          <w:rPr>
            <w:rFonts w:ascii="Arial" w:hAnsi="Arial" w:cs="Arial"/>
            <w:i/>
            <w:iCs/>
            <w:color w:val="0000FF"/>
            <w:sz w:val="18"/>
            <w:szCs w:val="18"/>
          </w:rPr>
          <w:t>Loving v. Virginia.</w:t>
        </w:r>
      </w:hyperlink>
      <w:r w:rsidRPr="0019267D">
        <w:rPr>
          <w:rFonts w:ascii="Arial" w:hAnsi="Arial" w:cs="Arial"/>
          <w:color w:val="000000"/>
          <w:sz w:val="18"/>
          <w:szCs w:val="18"/>
        </w:rPr>
        <w:t xml:space="preserve">” </w:t>
      </w:r>
      <w:hyperlink r:id="rId519" w:history="1">
        <w:r w:rsidRPr="0019267D">
          <w:rPr>
            <w:rFonts w:ascii="Arial" w:hAnsi="Arial" w:cs="Arial"/>
            <w:i/>
            <w:iCs/>
            <w:color w:val="0000FF"/>
            <w:sz w:val="18"/>
            <w:szCs w:val="18"/>
          </w:rPr>
          <w:t>Casey,</w:t>
        </w:r>
      </w:hyperlink>
      <w:hyperlink r:id="rId520" w:history="1">
        <w:r w:rsidRPr="0019267D">
          <w:rPr>
            <w:rFonts w:ascii="Arial" w:hAnsi="Arial" w:cs="Arial"/>
            <w:color w:val="0000FF"/>
            <w:sz w:val="18"/>
            <w:szCs w:val="18"/>
          </w:rPr>
          <w:t xml:space="preserve"> 505 U.S. at 847–48, 112 S.Ct. 2791;</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521" w:history="1">
        <w:r w:rsidRPr="0019267D">
          <w:rPr>
            <w:rFonts w:ascii="Arial" w:hAnsi="Arial" w:cs="Arial"/>
            <w:i/>
            <w:iCs/>
            <w:color w:val="0000FF"/>
            <w:sz w:val="18"/>
            <w:szCs w:val="18"/>
          </w:rPr>
          <w:t>Perry v. Schwarzenegger,</w:t>
        </w:r>
      </w:hyperlink>
      <w:hyperlink r:id="rId522" w:history="1">
        <w:r w:rsidRPr="0019267D">
          <w:rPr>
            <w:rFonts w:ascii="Arial" w:hAnsi="Arial" w:cs="Arial"/>
            <w:color w:val="0000FF"/>
            <w:sz w:val="18"/>
            <w:szCs w:val="18"/>
          </w:rPr>
          <w:t xml:space="preserve"> 704 F.Supp.2d 921, 992 (N.D.Cal.2010)</w:t>
        </w:r>
      </w:hyperlink>
      <w:r w:rsidRPr="0019267D">
        <w:rPr>
          <w:rFonts w:ascii="Arial" w:hAnsi="Arial" w:cs="Arial"/>
          <w:color w:val="000000"/>
          <w:sz w:val="18"/>
          <w:szCs w:val="18"/>
        </w:rPr>
        <w:t xml:space="preserve"> (“[T]he Court recognized that race restrictions, despite their historical prevalence, stood in stark contrast to the concepts of liberty and choice inherent in the right to marry.”).</w:t>
      </w:r>
    </w:p>
    <w:p w14:paraId="7E4CB09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1FE773" w14:textId="77777777" w:rsidR="00743F35" w:rsidRPr="0019267D" w:rsidRDefault="00CE5943" w:rsidP="00743F35">
      <w:pPr>
        <w:widowControl w:val="0"/>
        <w:autoSpaceDE w:val="0"/>
        <w:autoSpaceDN w:val="0"/>
        <w:adjustRightInd w:val="0"/>
        <w:ind w:left="720"/>
        <w:jc w:val="both"/>
        <w:rPr>
          <w:rFonts w:ascii="Arial" w:hAnsi="Arial" w:cs="Arial"/>
          <w:color w:val="000000"/>
          <w:sz w:val="18"/>
          <w:szCs w:val="18"/>
        </w:rPr>
      </w:pPr>
      <w:hyperlink w:anchor="Document1zzF00772032351566" w:history="1">
        <w:r w:rsidR="00743F35" w:rsidRPr="0019267D">
          <w:rPr>
            <w:rFonts w:ascii="Arial" w:hAnsi="Arial" w:cs="Arial"/>
            <w:color w:val="0000FF"/>
            <w:sz w:val="18"/>
            <w:szCs w:val="18"/>
          </w:rPr>
          <w:t>FN7.</w:t>
        </w:r>
      </w:hyperlink>
      <w:bookmarkStart w:id="70" w:name="Document1zzB00772032351566"/>
      <w:bookmarkEnd w:id="70"/>
      <w:r w:rsidR="00743F35" w:rsidRPr="0019267D">
        <w:rPr>
          <w:rFonts w:ascii="Arial" w:hAnsi="Arial" w:cs="Arial"/>
          <w:color w:val="000000"/>
          <w:sz w:val="18"/>
          <w:szCs w:val="18"/>
        </w:rPr>
        <w:t xml:space="preserve"> In 1948, the California Supreme Court became the first court in the twentieth century to strike down an anti-miscegenation statute. </w:t>
      </w:r>
      <w:hyperlink r:id="rId523" w:history="1">
        <w:r w:rsidR="00743F35" w:rsidRPr="0019267D">
          <w:rPr>
            <w:rFonts w:ascii="Arial" w:hAnsi="Arial" w:cs="Arial"/>
            <w:i/>
            <w:iCs/>
            <w:color w:val="0000FF"/>
            <w:sz w:val="18"/>
            <w:szCs w:val="18"/>
          </w:rPr>
          <w:t>Perez v. Sharp,</w:t>
        </w:r>
      </w:hyperlink>
      <w:hyperlink r:id="rId524" w:history="1">
        <w:r w:rsidR="00743F35" w:rsidRPr="0019267D">
          <w:rPr>
            <w:rFonts w:ascii="Arial" w:hAnsi="Arial" w:cs="Arial"/>
            <w:color w:val="0000FF"/>
            <w:sz w:val="18"/>
            <w:szCs w:val="18"/>
          </w:rPr>
          <w:t xml:space="preserve"> 32 Cal.2d 711, 198 P.2d 17 (1948)</w:t>
        </w:r>
      </w:hyperlink>
      <w:r w:rsidR="00743F35" w:rsidRPr="0019267D">
        <w:rPr>
          <w:rFonts w:ascii="Arial" w:hAnsi="Arial" w:cs="Arial"/>
          <w:color w:val="000000"/>
          <w:sz w:val="18"/>
          <w:szCs w:val="18"/>
        </w:rPr>
        <w:t xml:space="preserve">; </w:t>
      </w:r>
      <w:r w:rsidR="00743F35" w:rsidRPr="0019267D">
        <w:rPr>
          <w:rFonts w:ascii="Arial" w:hAnsi="Arial" w:cs="Arial"/>
          <w:i/>
          <w:iCs/>
          <w:color w:val="000000"/>
          <w:sz w:val="18"/>
          <w:szCs w:val="18"/>
        </w:rPr>
        <w:t xml:space="preserve">see also </w:t>
      </w:r>
      <w:hyperlink r:id="rId525" w:history="1">
        <w:r w:rsidR="00743F35" w:rsidRPr="0019267D">
          <w:rPr>
            <w:rFonts w:ascii="Arial" w:hAnsi="Arial" w:cs="Arial"/>
            <w:i/>
            <w:iCs/>
            <w:color w:val="0000FF"/>
            <w:sz w:val="18"/>
            <w:szCs w:val="18"/>
          </w:rPr>
          <w:t>Loving,</w:t>
        </w:r>
      </w:hyperlink>
      <w:hyperlink r:id="rId526" w:history="1">
        <w:r w:rsidR="00743F35" w:rsidRPr="0019267D">
          <w:rPr>
            <w:rFonts w:ascii="Arial" w:hAnsi="Arial" w:cs="Arial"/>
            <w:color w:val="0000FF"/>
            <w:sz w:val="18"/>
            <w:szCs w:val="18"/>
          </w:rPr>
          <w:t xml:space="preserve"> 388 U.S. at 6 n. 5, 87 S.Ct. 1817</w:t>
        </w:r>
      </w:hyperlink>
      <w:r w:rsidR="00743F35" w:rsidRPr="0019267D">
        <w:rPr>
          <w:rFonts w:ascii="Arial" w:hAnsi="Arial" w:cs="Arial"/>
          <w:color w:val="000000"/>
          <w:sz w:val="18"/>
          <w:szCs w:val="18"/>
        </w:rPr>
        <w:t>.</w:t>
      </w:r>
    </w:p>
    <w:p w14:paraId="65FF090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4097097"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addition to the anti-miscegenation laws the Supreme Court struck down in </w:t>
      </w:r>
      <w:hyperlink r:id="rId527" w:history="1">
        <w:r w:rsidRPr="0019267D">
          <w:rPr>
            <w:rFonts w:ascii="Arial" w:hAnsi="Arial" w:cs="Arial"/>
            <w:i/>
            <w:iCs/>
            <w:color w:val="0000FF"/>
            <w:sz w:val="18"/>
            <w:szCs w:val="18"/>
          </w:rPr>
          <w:t>Loving,</w:t>
        </w:r>
      </w:hyperlink>
      <w:r w:rsidRPr="0019267D">
        <w:rPr>
          <w:rFonts w:ascii="Arial" w:hAnsi="Arial" w:cs="Arial"/>
          <w:color w:val="000000"/>
          <w:sz w:val="18"/>
          <w:szCs w:val="18"/>
        </w:rPr>
        <w:t xml:space="preserve"> the Supreme Court has held that other state regulations affecting marriage are unconstitutional where these laws infringe on an individual's access to marriage. In </w:t>
      </w:r>
      <w:hyperlink r:id="rId528" w:history="1">
        <w:r w:rsidRPr="0019267D">
          <w:rPr>
            <w:rFonts w:ascii="Arial" w:hAnsi="Arial" w:cs="Arial"/>
            <w:i/>
            <w:iCs/>
            <w:color w:val="0000FF"/>
            <w:sz w:val="18"/>
            <w:szCs w:val="18"/>
          </w:rPr>
          <w:t>Zablocki v. Redhail,</w:t>
        </w:r>
      </w:hyperlink>
      <w:r w:rsidRPr="0019267D">
        <w:rPr>
          <w:rFonts w:ascii="Arial" w:hAnsi="Arial" w:cs="Arial"/>
          <w:color w:val="000000"/>
          <w:sz w:val="18"/>
          <w:szCs w:val="18"/>
        </w:rPr>
        <w:t xml:space="preserve"> the Court considered a Wisconsin statute that required any Wisconsin resident who had children that were not currently in the resident's custody to obtain a court order before the resident was permitted to marry. </w:t>
      </w:r>
      <w:hyperlink r:id="rId529" w:history="1">
        <w:r w:rsidRPr="0019267D">
          <w:rPr>
            <w:rFonts w:ascii="Arial" w:hAnsi="Arial" w:cs="Arial"/>
            <w:color w:val="0000FF"/>
            <w:sz w:val="18"/>
            <w:szCs w:val="18"/>
          </w:rPr>
          <w:t>434 U.S. 374, 375, 98 S.Ct. 673, 54 L.Ed.2d 618 (1978)</w:t>
        </w:r>
      </w:hyperlink>
      <w:r w:rsidRPr="0019267D">
        <w:rPr>
          <w:rFonts w:ascii="Arial" w:hAnsi="Arial" w:cs="Arial"/>
          <w:color w:val="000000"/>
          <w:sz w:val="18"/>
          <w:szCs w:val="18"/>
        </w:rPr>
        <w:t xml:space="preserve">. The statute mandated that the court should not grant permission to marry unless the resident proved that he was in compliance with any support obligation for his out-of-custody children, and could also show that any children covered by such a support order “[were] not then and [were] not likely thereafter to become public charges.” </w:t>
      </w:r>
      <w:hyperlink r:id="rId530"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(quoting </w:t>
      </w:r>
      <w:hyperlink r:id="rId531" w:history="1">
        <w:r w:rsidRPr="0019267D">
          <w:rPr>
            <w:rFonts w:ascii="Arial" w:hAnsi="Arial" w:cs="Arial"/>
            <w:color w:val="0000FF"/>
            <w:sz w:val="18"/>
            <w:szCs w:val="18"/>
          </w:rPr>
          <w:t>Wis. Stat. § 245.10</w:t>
        </w:r>
      </w:hyperlink>
      <w:r w:rsidRPr="0019267D">
        <w:rPr>
          <w:rFonts w:ascii="Arial" w:hAnsi="Arial" w:cs="Arial"/>
          <w:color w:val="000000"/>
          <w:sz w:val="18"/>
          <w:szCs w:val="18"/>
        </w:rPr>
        <w:t xml:space="preserve"> (1973)). The Court found that, while the State had a legitimate and substantial interest in the welfare of children in Wisconsin, the statute was nevertheless unconstitutional because it was not “closely tailored to effectuate only those interests” and “unnecessarily impinge[d] on the right to marry[.]” </w:t>
      </w:r>
      <w:hyperlink r:id="rId532" w:history="1">
        <w:r w:rsidRPr="0019267D">
          <w:rPr>
            <w:rFonts w:ascii="Arial" w:hAnsi="Arial" w:cs="Arial"/>
            <w:i/>
            <w:iCs/>
            <w:color w:val="0000FF"/>
            <w:sz w:val="18"/>
            <w:szCs w:val="18"/>
          </w:rPr>
          <w:t>Id.</w:t>
        </w:r>
      </w:hyperlink>
      <w:hyperlink r:id="rId533" w:history="1">
        <w:r w:rsidRPr="0019267D">
          <w:rPr>
            <w:rFonts w:ascii="Arial" w:hAnsi="Arial" w:cs="Arial"/>
            <w:color w:val="0000FF"/>
            <w:sz w:val="18"/>
            <w:szCs w:val="18"/>
          </w:rPr>
          <w:t xml:space="preserve"> at 388, 98 S.Ct. 673.</w:t>
        </w:r>
      </w:hyperlink>
      <w:r w:rsidRPr="0019267D">
        <w:rPr>
          <w:rFonts w:ascii="Arial" w:hAnsi="Arial" w:cs="Arial"/>
          <w:color w:val="000000"/>
          <w:sz w:val="18"/>
          <w:szCs w:val="18"/>
        </w:rPr>
        <w:t xml:space="preserve"> The Court distinguished the statute at issue from reasonable state regulations related to marriage that would not require any heightened review:</w:t>
      </w:r>
    </w:p>
    <w:p w14:paraId="793102A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840C565"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By reaffirming the fundamental character of the right to marry, we do not mean to suggest that every state regulation which relates in any way to the incidents of or prerequisites for marriage must be subjected to rigorous scrutiny. To the contrary, reasonable regulations that do not significantly interfere with decisions to enter into the marital relationship may legitimately be imposed.</w:t>
      </w:r>
    </w:p>
    <w:p w14:paraId="17E19B0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504D4C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34" w:history="1">
        <w:r w:rsidRPr="0019267D">
          <w:rPr>
            <w:rFonts w:ascii="Arial" w:hAnsi="Arial" w:cs="Arial"/>
            <w:i/>
            <w:iCs/>
            <w:color w:val="0000FF"/>
            <w:sz w:val="18"/>
            <w:szCs w:val="18"/>
          </w:rPr>
          <w:t>Id.</w:t>
        </w:r>
      </w:hyperlink>
      <w:hyperlink r:id="rId535" w:history="1">
        <w:r w:rsidRPr="0019267D">
          <w:rPr>
            <w:rFonts w:ascii="Arial" w:hAnsi="Arial" w:cs="Arial"/>
            <w:color w:val="0000FF"/>
            <w:sz w:val="18"/>
            <w:szCs w:val="18"/>
          </w:rPr>
          <w:t xml:space="preserve"> at 386, 98 S.Ct. 673.</w:t>
        </w:r>
      </w:hyperlink>
      <w:r w:rsidRPr="0019267D">
        <w:rPr>
          <w:rFonts w:ascii="Arial" w:hAnsi="Arial" w:cs="Arial"/>
          <w:color w:val="000000"/>
          <w:sz w:val="18"/>
          <w:szCs w:val="18"/>
        </w:rPr>
        <w:t xml:space="preserve"> As the Honorable John Paul Stevens noted in his concurring opinion, “A classification based on marital status is fundamentally different from a classification which determines who may lawfully enter into the marriage relationship.” </w:t>
      </w:r>
      <w:hyperlink r:id="rId536" w:history="1">
        <w:r w:rsidRPr="0019267D">
          <w:rPr>
            <w:rFonts w:ascii="Arial" w:hAnsi="Arial" w:cs="Arial"/>
            <w:i/>
            <w:iCs/>
            <w:color w:val="0000FF"/>
            <w:sz w:val="18"/>
            <w:szCs w:val="18"/>
          </w:rPr>
          <w:t>Id.</w:t>
        </w:r>
      </w:hyperlink>
      <w:hyperlink r:id="rId537" w:history="1">
        <w:r w:rsidRPr="0019267D">
          <w:rPr>
            <w:rFonts w:ascii="Arial" w:hAnsi="Arial" w:cs="Arial"/>
            <w:color w:val="0000FF"/>
            <w:sz w:val="18"/>
            <w:szCs w:val="18"/>
          </w:rPr>
          <w:t xml:space="preserve"> at 403–04, 98 S.Ct. 673</w:t>
        </w:r>
      </w:hyperlink>
      <w:r w:rsidRPr="0019267D">
        <w:rPr>
          <w:rFonts w:ascii="Arial" w:hAnsi="Arial" w:cs="Arial"/>
          <w:color w:val="000000"/>
          <w:sz w:val="18"/>
          <w:szCs w:val="18"/>
        </w:rPr>
        <w:t xml:space="preserve"> (Stevens, J., concurring).</w:t>
      </w:r>
    </w:p>
    <w:p w14:paraId="656488F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CE7A3C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538" w:history="1">
        <w:r w:rsidRPr="0019267D">
          <w:rPr>
            <w:rFonts w:ascii="Arial" w:hAnsi="Arial" w:cs="Arial"/>
            <w:i/>
            <w:iCs/>
            <w:color w:val="0000FF"/>
            <w:sz w:val="18"/>
            <w:szCs w:val="18"/>
          </w:rPr>
          <w:t>Turner v. Safley,</w:t>
        </w:r>
      </w:hyperlink>
      <w:r w:rsidRPr="0019267D">
        <w:rPr>
          <w:rFonts w:ascii="Arial" w:hAnsi="Arial" w:cs="Arial"/>
          <w:color w:val="000000"/>
          <w:sz w:val="18"/>
          <w:szCs w:val="18"/>
        </w:rPr>
        <w:t xml:space="preserve"> the Court struck down a Missouri regulation that prohibited inmates from marrying unless the prison superintendent approved of the marriage. </w:t>
      </w:r>
      <w:hyperlink r:id="rId539" w:history="1">
        <w:r w:rsidRPr="0019267D">
          <w:rPr>
            <w:rFonts w:ascii="Arial" w:hAnsi="Arial" w:cs="Arial"/>
            <w:color w:val="0000FF"/>
            <w:sz w:val="18"/>
            <w:szCs w:val="18"/>
          </w:rPr>
          <w:t>482 U.S. 78, 99–100, 107 S.Ct. 2254, 96 L.Ed.2d 64 (1987)</w:t>
        </w:r>
      </w:hyperlink>
      <w:r w:rsidRPr="0019267D">
        <w:rPr>
          <w:rFonts w:ascii="Arial" w:hAnsi="Arial" w:cs="Arial"/>
          <w:color w:val="000000"/>
          <w:sz w:val="18"/>
          <w:szCs w:val="18"/>
        </w:rPr>
        <w:t xml:space="preserve">. The Court held that inmates retained their fundamental right to marry even though they had a reduced expectation of liberty in prison. </w:t>
      </w:r>
      <w:hyperlink r:id="rId540" w:history="1">
        <w:r w:rsidRPr="0019267D">
          <w:rPr>
            <w:rFonts w:ascii="Arial" w:hAnsi="Arial" w:cs="Arial"/>
            <w:i/>
            <w:iCs/>
            <w:color w:val="0000FF"/>
            <w:sz w:val="18"/>
            <w:szCs w:val="18"/>
          </w:rPr>
          <w:t>Id.</w:t>
        </w:r>
      </w:hyperlink>
      <w:hyperlink r:id="rId541" w:history="1">
        <w:r w:rsidRPr="0019267D">
          <w:rPr>
            <w:rFonts w:ascii="Arial" w:hAnsi="Arial" w:cs="Arial"/>
            <w:color w:val="0000FF"/>
            <w:sz w:val="18"/>
            <w:szCs w:val="18"/>
          </w:rPr>
          <w:t xml:space="preserve"> at 96, 107 S.Ct. 2254.</w:t>
        </w:r>
      </w:hyperlink>
      <w:r w:rsidRPr="0019267D">
        <w:rPr>
          <w:rFonts w:ascii="Arial" w:hAnsi="Arial" w:cs="Arial"/>
          <w:color w:val="000000"/>
          <w:sz w:val="18"/>
          <w:szCs w:val="18"/>
        </w:rPr>
        <w:t xml:space="preserve"> The Court emphasized the many attributes of marriage that prisoners could enjoy even if they were not able to have sexual relations:</w:t>
      </w:r>
    </w:p>
    <w:p w14:paraId="3D82012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F72E712"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First, inmate marriages, like others, are expressions of emotional support and public commitment. These elements are an important and significant aspect of the marital relationship. In addition, many religions recognize marriage as having spiritual significance; for some inmates and their spouses, therefore, the commitment of marriage may be an exercise of religious faith as well as an expression of personal dedication. Third, most inmates eventually will be released by parole or commutation, and therefore most inmate marriages are formed in the expectation that they ultimately will be fully consummated. Finally, marital status often is a precondition to the receipt of government benefits (</w:t>
      </w:r>
      <w:r w:rsidRPr="0019267D">
        <w:rPr>
          <w:rFonts w:ascii="Arial" w:hAnsi="Arial" w:cs="Arial"/>
          <w:i/>
          <w:iCs/>
          <w:color w:val="000000"/>
          <w:sz w:val="18"/>
          <w:szCs w:val="18"/>
        </w:rPr>
        <w:t>e.g.,</w:t>
      </w:r>
      <w:r w:rsidRPr="0019267D">
        <w:rPr>
          <w:rFonts w:ascii="Arial" w:hAnsi="Arial" w:cs="Arial"/>
          <w:color w:val="000000"/>
          <w:sz w:val="18"/>
          <w:szCs w:val="18"/>
        </w:rPr>
        <w:t xml:space="preserve"> Social Security benefits), property rights (</w:t>
      </w:r>
      <w:r w:rsidRPr="0019267D">
        <w:rPr>
          <w:rFonts w:ascii="Arial" w:hAnsi="Arial" w:cs="Arial"/>
          <w:i/>
          <w:iCs/>
          <w:color w:val="000000"/>
          <w:sz w:val="18"/>
          <w:szCs w:val="18"/>
        </w:rPr>
        <w:t>e.g.,</w:t>
      </w:r>
      <w:r w:rsidRPr="0019267D">
        <w:rPr>
          <w:rFonts w:ascii="Arial" w:hAnsi="Arial" w:cs="Arial"/>
          <w:color w:val="000000"/>
          <w:sz w:val="18"/>
          <w:szCs w:val="18"/>
        </w:rPr>
        <w:t xml:space="preserve"> tenancy by the entirety, inheritance rights), and other, less tangible benefits (</w:t>
      </w:r>
      <w:r w:rsidRPr="0019267D">
        <w:rPr>
          <w:rFonts w:ascii="Arial" w:hAnsi="Arial" w:cs="Arial"/>
          <w:i/>
          <w:iCs/>
          <w:color w:val="000000"/>
          <w:sz w:val="18"/>
          <w:szCs w:val="18"/>
        </w:rPr>
        <w:t>e.g.,</w:t>
      </w:r>
      <w:r w:rsidRPr="0019267D">
        <w:rPr>
          <w:rFonts w:ascii="Arial" w:hAnsi="Arial" w:cs="Arial"/>
          <w:color w:val="000000"/>
          <w:sz w:val="18"/>
          <w:szCs w:val="18"/>
        </w:rPr>
        <w:t xml:space="preserve"> legitimation of children born out of wedlock). These incidents of marriage, like the religious and personal aspects of the marriage commitment, are unaffected by the fact of confinement or the pursuit of legitimate corrections goals.</w:t>
      </w:r>
    </w:p>
    <w:p w14:paraId="3617765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D2357B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42" w:history="1">
        <w:r w:rsidRPr="0019267D">
          <w:rPr>
            <w:rFonts w:ascii="Arial" w:hAnsi="Arial" w:cs="Arial"/>
            <w:i/>
            <w:iCs/>
            <w:color w:val="0000FF"/>
            <w:sz w:val="18"/>
            <w:szCs w:val="18"/>
          </w:rPr>
          <w:t>Id.</w:t>
        </w:r>
      </w:hyperlink>
      <w:hyperlink r:id="rId543" w:history="1">
        <w:r w:rsidRPr="0019267D">
          <w:rPr>
            <w:rFonts w:ascii="Arial" w:hAnsi="Arial" w:cs="Arial"/>
            <w:color w:val="0000FF"/>
            <w:sz w:val="18"/>
            <w:szCs w:val="18"/>
          </w:rPr>
          <w:t xml:space="preserve"> at 95–96, 107 S.Ct. 2254.</w:t>
        </w:r>
      </w:hyperlink>
    </w:p>
    <w:p w14:paraId="0FE91A9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CACF5A7"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72032351566" w:history="1">
        <w:r w:rsidR="00743F35" w:rsidRPr="0019267D">
          <w:rPr>
            <w:rFonts w:ascii="Arial" w:hAnsi="Arial" w:cs="Arial"/>
            <w:color w:val="0000FF"/>
            <w:sz w:val="18"/>
            <w:szCs w:val="18"/>
          </w:rPr>
          <w:t>[7]</w:t>
        </w:r>
      </w:hyperlink>
      <w:bookmarkStart w:id="71" w:name="Document1zzB72032351566"/>
      <w:bookmarkEnd w:id="71"/>
      <w:r w:rsidR="00743F35" w:rsidRPr="0019267D">
        <w:rPr>
          <w:rFonts w:ascii="Arial" w:hAnsi="Arial" w:cs="Arial"/>
          <w:color w:val="000000"/>
          <w:sz w:val="18"/>
          <w:szCs w:val="18"/>
        </w:rPr>
        <w:t xml:space="preserve"> These cases demonstrate that the Constitution protects an individual's right to marry as an essential part of the right to liberty. The right to marry is intertwined with the rights to privacy and intimate association, and an individual's choices related to marriage are protected because they are integral to a person's dignity and autonomy. While states have the authority to regulate marriage, the Supreme Court has struck down several state regulations that impermissibly burdened an individual's ability to exercise the right to marry. With these general observations in mind, the court turns to the specific question of Utah's ability to prohibit same-sex marriage.</w:t>
      </w:r>
    </w:p>
    <w:p w14:paraId="125904B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C170D3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B. </w:t>
      </w:r>
      <w:r w:rsidRPr="0019267D">
        <w:rPr>
          <w:rFonts w:ascii="Arial" w:hAnsi="Arial" w:cs="Arial"/>
          <w:i/>
          <w:iCs/>
          <w:color w:val="000000"/>
          <w:sz w:val="18"/>
          <w:szCs w:val="18"/>
        </w:rPr>
        <w:t>Application of the Court's Jurisprudence to Amendment 3</w:t>
      </w:r>
    </w:p>
    <w:p w14:paraId="1B61DE6E"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82032351566" w:history="1">
        <w:r w:rsidR="00743F35" w:rsidRPr="0019267D">
          <w:rPr>
            <w:rFonts w:ascii="Arial" w:hAnsi="Arial" w:cs="Arial"/>
            <w:color w:val="0000FF"/>
            <w:sz w:val="18"/>
            <w:szCs w:val="18"/>
          </w:rPr>
          <w:t>[8]</w:t>
        </w:r>
      </w:hyperlink>
      <w:bookmarkStart w:id="72" w:name="Document1zzB82032351566"/>
      <w:bookmarkEnd w:id="72"/>
      <w:r w:rsidR="00743F35" w:rsidRPr="0019267D">
        <w:rPr>
          <w:rFonts w:ascii="Arial" w:hAnsi="Arial" w:cs="Arial"/>
          <w:color w:val="000000"/>
          <w:sz w:val="18"/>
          <w:szCs w:val="18"/>
        </w:rPr>
        <w:t xml:space="preserve"> The State does not dispute, nor could it, that the Plaintiffs possess the fundamental right to marry that the Supreme Court has protected in the cases cited above. Like all fundamental rights, the right to marry vests in every American citizen. </w:t>
      </w:r>
      <w:r w:rsidR="00743F35" w:rsidRPr="0019267D">
        <w:rPr>
          <w:rFonts w:ascii="Arial" w:hAnsi="Arial" w:cs="Arial"/>
          <w:i/>
          <w:iCs/>
          <w:color w:val="000000"/>
          <w:sz w:val="18"/>
          <w:szCs w:val="18"/>
        </w:rPr>
        <w:t xml:space="preserve">See </w:t>
      </w:r>
      <w:hyperlink r:id="rId544" w:history="1">
        <w:r w:rsidR="00743F35" w:rsidRPr="0019267D">
          <w:rPr>
            <w:rFonts w:ascii="Arial" w:hAnsi="Arial" w:cs="Arial"/>
            <w:i/>
            <w:iCs/>
            <w:color w:val="0000FF"/>
            <w:sz w:val="18"/>
            <w:szCs w:val="18"/>
          </w:rPr>
          <w:t>Zablocki,</w:t>
        </w:r>
      </w:hyperlink>
      <w:hyperlink r:id="rId545" w:history="1">
        <w:r w:rsidR="00743F35" w:rsidRPr="0019267D">
          <w:rPr>
            <w:rFonts w:ascii="Arial" w:hAnsi="Arial" w:cs="Arial"/>
            <w:color w:val="0000FF"/>
            <w:sz w:val="18"/>
            <w:szCs w:val="18"/>
          </w:rPr>
          <w:t xml:space="preserve"> 434 U.S. at 384, 98 S.Ct. 673</w:t>
        </w:r>
      </w:hyperlink>
      <w:r w:rsidR="00743F35" w:rsidRPr="0019267D">
        <w:rPr>
          <w:rFonts w:ascii="Arial" w:hAnsi="Arial" w:cs="Arial"/>
          <w:color w:val="000000"/>
          <w:sz w:val="18"/>
          <w:szCs w:val="18"/>
        </w:rPr>
        <w:t xml:space="preserve"> (“Although </w:t>
      </w:r>
      <w:hyperlink r:id="rId546" w:history="1">
        <w:r w:rsidR="00743F35" w:rsidRPr="0019267D">
          <w:rPr>
            <w:rFonts w:ascii="Arial" w:hAnsi="Arial" w:cs="Arial"/>
            <w:i/>
            <w:iCs/>
            <w:color w:val="0000FF"/>
            <w:sz w:val="18"/>
            <w:szCs w:val="18"/>
          </w:rPr>
          <w:t>Loving</w:t>
        </w:r>
      </w:hyperlink>
      <w:r w:rsidR="00743F35" w:rsidRPr="0019267D">
        <w:rPr>
          <w:rFonts w:ascii="Arial" w:hAnsi="Arial" w:cs="Arial"/>
          <w:color w:val="000000"/>
          <w:sz w:val="18"/>
          <w:szCs w:val="18"/>
        </w:rPr>
        <w:t xml:space="preserve"> arose in the context of racial discrimination, prior and subsequent decisions of this Court confirm that the right to marry is of fundamental importance for all individuals.”). The State asserts that </w:t>
      </w:r>
      <w:r w:rsidR="00743F35" w:rsidRPr="0019267D">
        <w:rPr>
          <w:rFonts w:ascii="Arial" w:hAnsi="Arial" w:cs="Arial"/>
          <w:color w:val="000000"/>
          <w:sz w:val="18"/>
          <w:szCs w:val="18"/>
        </w:rPr>
        <w:lastRenderedPageBreak/>
        <w:t xml:space="preserve">Amendment 3 does not abridge the Plaintiffs' fundamental right to marry because the Plaintiffs are still at liberty to marry a person of the opposite sex. But this purported liberty is an illusion. The right to marry is not simply the right to become a married person by signing a contract with someone of the opposite sex. If marriages were planned and arranged by the State, for example, these marriages would violate a person's right to marry because such arrangements would infringe an individual's rights to privacy, dignity, and intimate association. A person's choices about marriage implicate the heart of the right to liberty that is protected by the Fourteenth Amendment. </w:t>
      </w:r>
      <w:r w:rsidR="00743F35" w:rsidRPr="0019267D">
        <w:rPr>
          <w:rFonts w:ascii="Arial" w:hAnsi="Arial" w:cs="Arial"/>
          <w:i/>
          <w:iCs/>
          <w:color w:val="000000"/>
          <w:sz w:val="18"/>
          <w:szCs w:val="18"/>
        </w:rPr>
        <w:t xml:space="preserve">See </w:t>
      </w:r>
      <w:hyperlink r:id="rId547" w:history="1">
        <w:r w:rsidR="00743F35" w:rsidRPr="0019267D">
          <w:rPr>
            <w:rFonts w:ascii="Arial" w:hAnsi="Arial" w:cs="Arial"/>
            <w:i/>
            <w:iCs/>
            <w:color w:val="0000FF"/>
            <w:sz w:val="18"/>
            <w:szCs w:val="18"/>
          </w:rPr>
          <w:t>Casey,</w:t>
        </w:r>
      </w:hyperlink>
      <w:hyperlink r:id="rId548" w:history="1">
        <w:r w:rsidR="00743F35" w:rsidRPr="0019267D">
          <w:rPr>
            <w:rFonts w:ascii="Arial" w:hAnsi="Arial" w:cs="Arial"/>
            <w:color w:val="0000FF"/>
            <w:sz w:val="18"/>
            <w:szCs w:val="18"/>
          </w:rPr>
          <w:t xml:space="preserve"> 505 U.S. at 851, 112 S.Ct. 2791.</w:t>
        </w:r>
      </w:hyperlink>
      <w:r w:rsidR="00743F35" w:rsidRPr="0019267D">
        <w:rPr>
          <w:rFonts w:ascii="Arial" w:hAnsi="Arial" w:cs="Arial"/>
          <w:color w:val="000000"/>
          <w:sz w:val="18"/>
          <w:szCs w:val="18"/>
        </w:rPr>
        <w:t xml:space="preserve"> The State's argument disregards these numerous associated rights because the State focuses on the outward manifestations of the right to marry, and not the inner attributes of marriage that form the core justifications for why the Constitution protects this fundamental human right.</w:t>
      </w:r>
    </w:p>
    <w:p w14:paraId="149EDC5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D776F7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Moreover, the State fails to dispute any of the facts that demonstrate why the Plaintiffs' asserted right to marry someone of the opposite sex is meaningless. The State accepts without contest the Plaintiffs' testimony that they cannot develop the type of intimate bond necessary to sustain a marriage with a person of the opposite sex. The Plaintiffs have not come to this realization lightly, and their recognition of their identity has often risked their family relationships and work opportunities. For instance, Kody and Laurie both worried that they would lose their jobs as English teachers if they were open about their sexual identity. Kate's previous partner did lose her job because she was a lesbian, and Kate may have been let go from her position with the National Park Service for the same reason. Karen's family never accepted her identity, and Moudi testified that he remained cautious about openly discussing his sexuality because he feared that his mother might be ridiculed. The Plaintiffs' testimony supports their assertions that their sexual orientation is an inherent characteristic of their identities.</w:t>
      </w:r>
    </w:p>
    <w:p w14:paraId="59FBDFC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C3B97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Forty years ago, these assertions would not have been accepted by a court without dispute. In 1973, the American Psychiatric Association still defined homosexuality as a mental disorder in the Diagnostic and Statistical Manual of Mental Disorders (DSM–II), and leading experts believed that homosexuality was simply a lifestyle choice. With the increased visibility of gay men and lesbians in the past few decades, a wealth of new knowledge about sexuality has upended these previous beliefs. Today, the State does not dispute the Plaintiffs' testimony that they have never been able to develop feelings of deep intimacy for a person of the opposite sex, and the State presents no argument or evidence to suggest that the Plaintiffs could change their identity if they desired to do so. Given these undisputed facts, it is clear that if the Plaintiffs are not allowed to marry a partner of the same sex, the Plaintiffs will be forced to remain unmarried. The effect of Amendment 3 is therefore that it denies gay and lesbian citizens of Utah the ability to exercise one of their constitutionally protected rights. The State's prohibition of the Plaintiffs' right to choose a same-sex marriage partner renders their fundamental right to marry as meaningless as if the State recognized the Plaintiffs' right to bear arms but not their right to buy bullets.</w:t>
      </w:r>
    </w:p>
    <w:p w14:paraId="25AE051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005D91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While admitting that its prohibition of same-sex marriage harms the Plaintiffs, the State argues that the court's characterization of Amendment 3 is incorrect for three reasons: (1) the Plaintiffs are not qualified to enter into a marriage relationship; (2) the Plaintiffs are seeking a new right, not access to an existing right; and (3) history and tradition have not recognized a right to marry a person of the same sex. The court addresses each of these arguments in turn.</w:t>
      </w:r>
    </w:p>
    <w:p w14:paraId="1B65EE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77648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1. </w:t>
      </w:r>
      <w:r w:rsidRPr="0019267D">
        <w:rPr>
          <w:rFonts w:ascii="Arial" w:hAnsi="Arial" w:cs="Arial"/>
          <w:i/>
          <w:iCs/>
          <w:color w:val="000000"/>
          <w:sz w:val="18"/>
          <w:szCs w:val="18"/>
        </w:rPr>
        <w:t>The Plaintiffs Are Qualified to Marry</w:t>
      </w:r>
    </w:p>
    <w:p w14:paraId="6F581542"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92032351566" w:history="1">
        <w:r w:rsidR="00743F35" w:rsidRPr="0019267D">
          <w:rPr>
            <w:rFonts w:ascii="Arial" w:hAnsi="Arial" w:cs="Arial"/>
            <w:color w:val="0000FF"/>
            <w:sz w:val="18"/>
            <w:szCs w:val="18"/>
          </w:rPr>
          <w:t>[9]</w:t>
        </w:r>
      </w:hyperlink>
      <w:bookmarkStart w:id="73" w:name="Document1zzB92032351566"/>
      <w:bookmarkEnd w:id="73"/>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"Document1zzF102032351566"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[10]</w:t>
      </w:r>
      <w:r w:rsidR="00743F35" w:rsidRPr="0019267D">
        <w:rPr>
          <w:rFonts w:ascii="Arial" w:hAnsi="Arial" w:cs="Arial"/>
          <w:color w:val="000000"/>
          <w:sz w:val="18"/>
          <w:szCs w:val="18"/>
        </w:rPr>
        <w:fldChar w:fldCharType="end"/>
      </w:r>
      <w:bookmarkStart w:id="74" w:name="Document1zzB102032351566"/>
      <w:bookmarkEnd w:id="74"/>
      <w:r w:rsidR="00743F35" w:rsidRPr="0019267D">
        <w:rPr>
          <w:rFonts w:ascii="Arial" w:hAnsi="Arial" w:cs="Arial"/>
          <w:color w:val="000000"/>
          <w:sz w:val="18"/>
          <w:szCs w:val="18"/>
        </w:rPr>
        <w:t xml:space="preserve"> First, the State contends that same-sex partners do not possess the qualifications to enter into a marriage relationship and are therefore excluded from this right as a definitional matter. As in other states, the purposes of marriage in Utah include “the state recognition and approval of a couple's choice to live with each other, to remain committed to one another and to form a household based on their own feelings about one another[,] and to join in an economic partnership and support one another and any dependents.” </w:t>
      </w:r>
      <w:hyperlink r:id="rId549" w:history="1">
        <w:r w:rsidR="00743F35" w:rsidRPr="0019267D">
          <w:rPr>
            <w:rFonts w:ascii="Arial" w:hAnsi="Arial" w:cs="Arial"/>
            <w:i/>
            <w:iCs/>
            <w:color w:val="0000FF"/>
            <w:sz w:val="18"/>
            <w:szCs w:val="18"/>
          </w:rPr>
          <w:t>Perry v. Schwarzenegger,</w:t>
        </w:r>
      </w:hyperlink>
      <w:hyperlink r:id="rId550" w:history="1">
        <w:r w:rsidR="00743F35" w:rsidRPr="0019267D">
          <w:rPr>
            <w:rFonts w:ascii="Arial" w:hAnsi="Arial" w:cs="Arial"/>
            <w:color w:val="0000FF"/>
            <w:sz w:val="18"/>
            <w:szCs w:val="18"/>
          </w:rPr>
          <w:t xml:space="preserve"> 704 F.Supp.2d 921, 961 (N.D.Cal.2010)</w:t>
        </w:r>
      </w:hyperlink>
      <w:r w:rsidR="00743F35" w:rsidRPr="0019267D">
        <w:rPr>
          <w:rFonts w:ascii="Arial" w:hAnsi="Arial" w:cs="Arial"/>
          <w:color w:val="000000"/>
          <w:sz w:val="18"/>
          <w:szCs w:val="18"/>
        </w:rPr>
        <w:t xml:space="preserve">. There is no dispute that the Plaintiffs are able to form a committed relationship with one person to the exclusion of all others. There is also no dispute that the Plaintiffs are capable of raising children within this framework if they choose to do so. The State even salutes “[t]he worthy efforts of same-sex couples to rear children.” (Defs.' Mem. in Opp'n, at 46 n. 7, Dkt. 84.) Nevertheless, the State maintains that same-sex couples are distinct from opposite-sex couples because they are not able to naturally reproduce with each other. The State points to Supreme Court cases that have linked the importance of marriage to its relationship to procreation. </w:t>
      </w:r>
      <w:r w:rsidR="00743F35" w:rsidRPr="0019267D">
        <w:rPr>
          <w:rFonts w:ascii="Arial" w:hAnsi="Arial" w:cs="Arial"/>
          <w:i/>
          <w:iCs/>
          <w:color w:val="000000"/>
          <w:sz w:val="18"/>
          <w:szCs w:val="18"/>
        </w:rPr>
        <w:t xml:space="preserve">See, e.g., </w:t>
      </w:r>
      <w:hyperlink r:id="rId551" w:history="1">
        <w:r w:rsidR="00743F35" w:rsidRPr="0019267D">
          <w:rPr>
            <w:rFonts w:ascii="Arial" w:hAnsi="Arial" w:cs="Arial"/>
            <w:i/>
            <w:iCs/>
            <w:color w:val="0000FF"/>
            <w:sz w:val="18"/>
            <w:szCs w:val="18"/>
          </w:rPr>
          <w:t>Skinner v. Oklahoma ex rel. Williamson,</w:t>
        </w:r>
      </w:hyperlink>
      <w:hyperlink r:id="rId552" w:history="1">
        <w:r w:rsidR="00743F35" w:rsidRPr="0019267D">
          <w:rPr>
            <w:rFonts w:ascii="Arial" w:hAnsi="Arial" w:cs="Arial"/>
            <w:color w:val="0000FF"/>
            <w:sz w:val="18"/>
            <w:szCs w:val="18"/>
          </w:rPr>
          <w:t xml:space="preserve"> 316 U.S. 535, 541, 62 S.Ct. 1110, 86 L.Ed. 1655 (1942)</w:t>
        </w:r>
      </w:hyperlink>
      <w:r w:rsidR="00743F35" w:rsidRPr="0019267D">
        <w:rPr>
          <w:rFonts w:ascii="Arial" w:hAnsi="Arial" w:cs="Arial"/>
          <w:color w:val="000000"/>
          <w:sz w:val="18"/>
          <w:szCs w:val="18"/>
        </w:rPr>
        <w:t xml:space="preserve"> (“Marriage and procreation are fundamental to the very existence and survival of the race.”).</w:t>
      </w:r>
    </w:p>
    <w:p w14:paraId="2134881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756227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does not find the State's argument compelling because, however persuasive the ability to procreate might be in the context of a particular religious perspective, it is not a defining characteristic of conjugal relationships from a legal and constitutional point of view. The State's position demeans the dignity not just of same-sex couples, but of the many opposite-sex couples who are unable to reproduce or who choose not to have children. Under the State's reasoning, a post-menopausal woman or infertile man does not have a fundamental right to marry because she or he does not have the capacity to procreate. This </w:t>
      </w:r>
      <w:r w:rsidRPr="0019267D">
        <w:rPr>
          <w:rFonts w:ascii="Arial" w:hAnsi="Arial" w:cs="Arial"/>
          <w:color w:val="000000"/>
          <w:sz w:val="18"/>
          <w:szCs w:val="18"/>
        </w:rPr>
        <w:lastRenderedPageBreak/>
        <w:t>proposition is irreconcilable with the right to liberty that the Constitution guarantees to all citizens.</w:t>
      </w:r>
    </w:p>
    <w:p w14:paraId="3E75F57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E56D15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At oral argument, the State attempted to distinguish post-menopausal women from gay men and lesbians by arguing that older women were more likely to find themselves in the position of caring for a grandchild or other relative. But the State fails to recognize that many same-sex couples are also in the position of raising a child, perhaps through adoption or surrogacy. The court sees no support for the State's suggestion that same-sex couples are interested only in a “consent-based” approach to marriage, in which marriage focuses on the strong emotional attachment and sexual attraction of the two partners involved. </w:t>
      </w:r>
      <w:r w:rsidRPr="0019267D">
        <w:rPr>
          <w:rFonts w:ascii="Arial" w:hAnsi="Arial" w:cs="Arial"/>
          <w:i/>
          <w:iCs/>
          <w:color w:val="000000"/>
          <w:sz w:val="18"/>
          <w:szCs w:val="18"/>
        </w:rPr>
        <w:t xml:space="preserve">See </w:t>
      </w:r>
      <w:hyperlink r:id="rId553" w:history="1">
        <w:r w:rsidRPr="0019267D">
          <w:rPr>
            <w:rFonts w:ascii="Arial" w:hAnsi="Arial" w:cs="Arial"/>
            <w:i/>
            <w:iCs/>
            <w:color w:val="0000FF"/>
            <w:sz w:val="18"/>
            <w:szCs w:val="18"/>
          </w:rPr>
          <w:t>Windsor,</w:t>
        </w:r>
      </w:hyperlink>
      <w:hyperlink r:id="rId554" w:history="1">
        <w:r w:rsidRPr="0019267D">
          <w:rPr>
            <w:rFonts w:ascii="Arial" w:hAnsi="Arial" w:cs="Arial"/>
            <w:color w:val="0000FF"/>
            <w:sz w:val="18"/>
            <w:szCs w:val="18"/>
          </w:rPr>
          <w:t xml:space="preserve"> 133 S.Ct. at 2718</w:t>
        </w:r>
      </w:hyperlink>
      <w:r w:rsidRPr="0019267D">
        <w:rPr>
          <w:rFonts w:ascii="Arial" w:hAnsi="Arial" w:cs="Arial"/>
          <w:color w:val="000000"/>
          <w:sz w:val="18"/>
          <w:szCs w:val="18"/>
        </w:rPr>
        <w:t xml:space="preserve"> (Alito, J., dissenting). Like opposite-sex couples, same-sex couples may decide to marry partly or primarily for the benefits and support that marriage can provide to the children the couple is raising or plans to raise. Same-sex couples are just as capable of providing support for future generations as opposite-sex couples, grandparents, or other caregivers. And there is no difference between same-sex couples who choose not to have children and those opposite-sex couples who exercise their constitutionally protected right not to procreate. </w:t>
      </w:r>
      <w:r w:rsidRPr="0019267D">
        <w:rPr>
          <w:rFonts w:ascii="Arial" w:hAnsi="Arial" w:cs="Arial"/>
          <w:i/>
          <w:iCs/>
          <w:color w:val="000000"/>
          <w:sz w:val="18"/>
          <w:szCs w:val="18"/>
        </w:rPr>
        <w:t xml:space="preserve">See </w:t>
      </w:r>
      <w:hyperlink r:id="rId555" w:history="1">
        <w:r w:rsidRPr="0019267D">
          <w:rPr>
            <w:rFonts w:ascii="Arial" w:hAnsi="Arial" w:cs="Arial"/>
            <w:i/>
            <w:iCs/>
            <w:color w:val="0000FF"/>
            <w:sz w:val="18"/>
            <w:szCs w:val="18"/>
          </w:rPr>
          <w:t>Griswold v. Connecticut,</w:t>
        </w:r>
      </w:hyperlink>
      <w:hyperlink r:id="rId556" w:history="1">
        <w:r w:rsidRPr="0019267D">
          <w:rPr>
            <w:rFonts w:ascii="Arial" w:hAnsi="Arial" w:cs="Arial"/>
            <w:color w:val="0000FF"/>
            <w:sz w:val="18"/>
            <w:szCs w:val="18"/>
          </w:rPr>
          <w:t xml:space="preserve"> 381 U.S. 479, 85 S.Ct. 1678, 14 L.Ed.2d 510 (1965)</w:t>
        </w:r>
      </w:hyperlink>
      <w:r w:rsidRPr="0019267D">
        <w:rPr>
          <w:rFonts w:ascii="Arial" w:hAnsi="Arial" w:cs="Arial"/>
          <w:color w:val="000000"/>
          <w:sz w:val="18"/>
          <w:szCs w:val="18"/>
        </w:rPr>
        <w:t>.</w:t>
      </w:r>
    </w:p>
    <w:p w14:paraId="73A9BAC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16FBC7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any event, the State's argument also neglects to consider the number of additional important attributes of marriage that exist besides procreation. As noted above, the Supreme Court has discussed those attributes in the context of marriages between inmates. </w:t>
      </w:r>
      <w:hyperlink r:id="rId557" w:history="1">
        <w:r w:rsidRPr="0019267D">
          <w:rPr>
            <w:rFonts w:ascii="Arial" w:hAnsi="Arial" w:cs="Arial"/>
            <w:i/>
            <w:iCs/>
            <w:color w:val="0000FF"/>
            <w:sz w:val="18"/>
            <w:szCs w:val="18"/>
          </w:rPr>
          <w:t>Turner v. Safley,</w:t>
        </w:r>
      </w:hyperlink>
      <w:hyperlink r:id="rId558" w:history="1">
        <w:r w:rsidRPr="0019267D">
          <w:rPr>
            <w:rFonts w:ascii="Arial" w:hAnsi="Arial" w:cs="Arial"/>
            <w:color w:val="0000FF"/>
            <w:sz w:val="18"/>
            <w:szCs w:val="18"/>
          </w:rPr>
          <w:t xml:space="preserve"> 482 U.S. 78, 95–96, 107 S.Ct. 2254, 96 L.Ed.2d 64 (1987)</w:t>
        </w:r>
      </w:hyperlink>
      <w:r w:rsidRPr="0019267D">
        <w:rPr>
          <w:rFonts w:ascii="Arial" w:hAnsi="Arial" w:cs="Arial"/>
          <w:color w:val="000000"/>
          <w:sz w:val="18"/>
          <w:szCs w:val="18"/>
        </w:rPr>
        <w:t xml:space="preserve">. While the Supreme Court noted that some inmates might one day be able to consummate their marriages when they were released, the Court found that marriage was important irrespective of its relationship to procreation because it was an expression of emotional support and public commitment, it was spiritually significant, and it provided access to important legal and government benefits. </w:t>
      </w:r>
      <w:hyperlink r:id="rId55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These attributes of marriage are as applicable to same-sex couples as they are to opposite-sex couples.</w:t>
      </w:r>
    </w:p>
    <w:p w14:paraId="469DD60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29B31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2. </w:t>
      </w:r>
      <w:r w:rsidRPr="0019267D">
        <w:rPr>
          <w:rFonts w:ascii="Arial" w:hAnsi="Arial" w:cs="Arial"/>
          <w:i/>
          <w:iCs/>
          <w:color w:val="000000"/>
          <w:sz w:val="18"/>
          <w:szCs w:val="18"/>
        </w:rPr>
        <w:t>The Plaintiffs Seek Access to an Existing Right</w:t>
      </w:r>
    </w:p>
    <w:p w14:paraId="4AC8A205"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12032351566" w:history="1">
        <w:r w:rsidR="00743F35" w:rsidRPr="0019267D">
          <w:rPr>
            <w:rFonts w:ascii="Arial" w:hAnsi="Arial" w:cs="Arial"/>
            <w:color w:val="0000FF"/>
            <w:sz w:val="18"/>
            <w:szCs w:val="18"/>
          </w:rPr>
          <w:t>[11]</w:t>
        </w:r>
      </w:hyperlink>
      <w:bookmarkStart w:id="75" w:name="Document1zzB112032351566"/>
      <w:bookmarkEnd w:id="75"/>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"Document1zzF122032351566"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[12]</w:t>
      </w:r>
      <w:r w:rsidR="00743F35" w:rsidRPr="0019267D">
        <w:rPr>
          <w:rFonts w:ascii="Arial" w:hAnsi="Arial" w:cs="Arial"/>
          <w:color w:val="000000"/>
          <w:sz w:val="18"/>
          <w:szCs w:val="18"/>
        </w:rPr>
        <w:fldChar w:fldCharType="end"/>
      </w:r>
      <w:bookmarkStart w:id="76" w:name="Document1zzB122032351566"/>
      <w:bookmarkEnd w:id="76"/>
      <w:r w:rsidR="00743F35" w:rsidRPr="0019267D">
        <w:rPr>
          <w:rFonts w:ascii="Arial" w:hAnsi="Arial" w:cs="Arial"/>
          <w:color w:val="000000"/>
          <w:sz w:val="18"/>
          <w:szCs w:val="18"/>
        </w:rPr>
        <w:t xml:space="preserve"> The State's second argument is that the Plaintiffs are really seeking a new right, not access to an existing right. To establish a new fundamental right, the court must determine that the right is “deeply rooted in this Nation's history and tradition” and “implicit in the concept of ordered liberty,” such that “neither liberty nor justice would exist if [it] were sacrificed.” </w:t>
      </w:r>
      <w:hyperlink r:id="rId560" w:history="1">
        <w:r w:rsidR="00743F35" w:rsidRPr="0019267D">
          <w:rPr>
            <w:rFonts w:ascii="Arial" w:hAnsi="Arial" w:cs="Arial"/>
            <w:i/>
            <w:iCs/>
            <w:color w:val="0000FF"/>
            <w:sz w:val="18"/>
            <w:szCs w:val="18"/>
          </w:rPr>
          <w:t>Washington v. Glucksberg,</w:t>
        </w:r>
      </w:hyperlink>
      <w:hyperlink r:id="rId561" w:history="1">
        <w:r w:rsidR="00743F35" w:rsidRPr="0019267D">
          <w:rPr>
            <w:rFonts w:ascii="Arial" w:hAnsi="Arial" w:cs="Arial"/>
            <w:color w:val="0000FF"/>
            <w:sz w:val="18"/>
            <w:szCs w:val="18"/>
          </w:rPr>
          <w:t xml:space="preserve"> 521 U.S. 702, 721, 117 S.Ct. 2258, 138 L.Ed.2d 772 (1997)</w:t>
        </w:r>
      </w:hyperlink>
      <w:r w:rsidR="00743F35" w:rsidRPr="0019267D">
        <w:rPr>
          <w:rFonts w:ascii="Arial" w:hAnsi="Arial" w:cs="Arial"/>
          <w:color w:val="000000"/>
          <w:sz w:val="18"/>
          <w:szCs w:val="18"/>
        </w:rPr>
        <w:t xml:space="preserve"> (citations omitted). Because same-sex marriage has only recently been allowed by a number of states, the State argues that an individual's right to marry someone of the same sex cannot be a fundamental right. But the Supreme Court did not adopt this line of reasoning in the analogous case of </w:t>
      </w:r>
      <w:hyperlink r:id="rId562" w:history="1">
        <w:r w:rsidR="00743F35" w:rsidRPr="0019267D">
          <w:rPr>
            <w:rFonts w:ascii="Arial" w:hAnsi="Arial" w:cs="Arial"/>
            <w:i/>
            <w:iCs/>
            <w:color w:val="0000FF"/>
            <w:sz w:val="18"/>
            <w:szCs w:val="18"/>
          </w:rPr>
          <w:t>Loving v. Virginia,</w:t>
        </w:r>
      </w:hyperlink>
      <w:hyperlink r:id="rId563" w:history="1">
        <w:r w:rsidR="00743F35" w:rsidRPr="0019267D">
          <w:rPr>
            <w:rFonts w:ascii="Arial" w:hAnsi="Arial" w:cs="Arial"/>
            <w:color w:val="0000FF"/>
            <w:sz w:val="18"/>
            <w:szCs w:val="18"/>
          </w:rPr>
          <w:t xml:space="preserve"> 388 U.S. 1, 87 S.Ct. 1817, 18 L.Ed.2d 1010 (1967)</w:t>
        </w:r>
      </w:hyperlink>
      <w:r w:rsidR="00743F35" w:rsidRPr="0019267D">
        <w:rPr>
          <w:rFonts w:ascii="Arial" w:hAnsi="Arial" w:cs="Arial"/>
          <w:color w:val="000000"/>
          <w:sz w:val="18"/>
          <w:szCs w:val="18"/>
        </w:rPr>
        <w:t xml:space="preserve">. Instead of declaring a new right to interracial marriage, the Court held that individuals could not be restricted from exercising their existing right to marry on account of the race of their chosen partner. </w:t>
      </w:r>
      <w:hyperlink r:id="rId564" w:history="1">
        <w:r w:rsidR="00743F35" w:rsidRPr="0019267D">
          <w:rPr>
            <w:rFonts w:ascii="Arial" w:hAnsi="Arial" w:cs="Arial"/>
            <w:i/>
            <w:iCs/>
            <w:color w:val="0000FF"/>
            <w:sz w:val="18"/>
            <w:szCs w:val="18"/>
          </w:rPr>
          <w:t>Id.</w:t>
        </w:r>
      </w:hyperlink>
      <w:hyperlink r:id="rId565" w:history="1">
        <w:r w:rsidR="00743F35" w:rsidRPr="0019267D">
          <w:rPr>
            <w:rFonts w:ascii="Arial" w:hAnsi="Arial" w:cs="Arial"/>
            <w:color w:val="0000FF"/>
            <w:sz w:val="18"/>
            <w:szCs w:val="18"/>
          </w:rPr>
          <w:t xml:space="preserve"> at 12, 87 S.Ct. 1817.</w:t>
        </w:r>
      </w:hyperlink>
      <w:r w:rsidR="00743F35" w:rsidRPr="0019267D">
        <w:rPr>
          <w:rFonts w:ascii="Arial" w:hAnsi="Arial" w:cs="Arial"/>
          <w:color w:val="000000"/>
          <w:sz w:val="18"/>
          <w:szCs w:val="18"/>
        </w:rPr>
        <w:t xml:space="preserve"> Similarly, the Plaintiffs here do not seek a new right to same-sex marriage, but instead ask the court to hold that the State cannot prohibit them from exercising their existing right to marry on account of the sex of their chosen partner.</w:t>
      </w:r>
    </w:p>
    <w:p w14:paraId="0DFC6EC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832EE1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alleged right to same-sex marriage that the State claims the Plaintiffs are seeking is simply the same right that is currently enjoyed by heterosexual individuals: the right to make a public commitment to form an exclusive relationship and create a family with a partner with whom the person shares an intimate and sustaining emotional bond. This right is deeply rooted in the nation's history and implicit in the concept of ordered liberty because it protects an individual's ability to make deeply personal choices about love and family free from government interference. And, as discussed above, this right is enjoyed by all individuals. If the right to same-sex marriage were a new right, then it should make new protections and benefits available to all citizens. But heterosexual individuals are as likely to exercise their purported right to same-sex marriage as gay men and lesbians are to exercise their purported right to opposite-sex marriage. Both same-sex and opposite-sex marriage are therefore simply manifestations of one right—the right to marry—applied to people with different sexual identities.</w:t>
      </w:r>
    </w:p>
    <w:p w14:paraId="44E580E3"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38E60B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While it was assumed until recently that a person could only share an intimate emotional bond and develop a family with a person of the opposite sex, the realization that this assumption is false does not change the underlying right. It merely changes the result when the court applies that right to the facts before it. Applying that right to these Plaintiffs, the court finds that the Constitution protects their right to marry a person of the same sex to the same degree that the Constitution protects the right of heterosexual individuals to marry a person of the opposite sex.</w:t>
      </w:r>
    </w:p>
    <w:p w14:paraId="7820A3D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73B6A9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Because the right to marry has already been established as a fundamental right, the court finds that the </w:t>
      </w:r>
      <w:r w:rsidRPr="0019267D">
        <w:rPr>
          <w:rFonts w:ascii="Arial" w:hAnsi="Arial" w:cs="Arial"/>
          <w:i/>
          <w:iCs/>
          <w:color w:val="000000"/>
          <w:sz w:val="18"/>
          <w:szCs w:val="18"/>
        </w:rPr>
        <w:t>Glucksberg</w:t>
      </w:r>
      <w:r w:rsidRPr="0019267D">
        <w:rPr>
          <w:rFonts w:ascii="Arial" w:hAnsi="Arial" w:cs="Arial"/>
          <w:color w:val="000000"/>
          <w:sz w:val="18"/>
          <w:szCs w:val="18"/>
        </w:rPr>
        <w:t xml:space="preserve"> analysis is inapplicable here. The Plaintiffs are seeking access to an existing right, not the declaration of a new right.</w:t>
      </w:r>
    </w:p>
    <w:p w14:paraId="5D7609B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45E7A0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3. </w:t>
      </w:r>
      <w:r w:rsidRPr="0019267D">
        <w:rPr>
          <w:rFonts w:ascii="Arial" w:hAnsi="Arial" w:cs="Arial"/>
          <w:i/>
          <w:iCs/>
          <w:color w:val="000000"/>
          <w:sz w:val="18"/>
          <w:szCs w:val="18"/>
        </w:rPr>
        <w:t>Tradition and History Are Insufficient Reasons to Deny Fundamental Rights to an Individual.</w:t>
      </w:r>
    </w:p>
    <w:p w14:paraId="077D521E"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32032351566" w:history="1">
        <w:r w:rsidR="00743F35" w:rsidRPr="0019267D">
          <w:rPr>
            <w:rFonts w:ascii="Arial" w:hAnsi="Arial" w:cs="Arial"/>
            <w:color w:val="0000FF"/>
            <w:sz w:val="18"/>
            <w:szCs w:val="18"/>
          </w:rPr>
          <w:t>[13]</w:t>
        </w:r>
      </w:hyperlink>
      <w:bookmarkStart w:id="77" w:name="Document1zzB132032351566"/>
      <w:bookmarkEnd w:id="77"/>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"Document1zzF142032351566"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[14]</w:t>
      </w:r>
      <w:r w:rsidR="00743F35" w:rsidRPr="0019267D">
        <w:rPr>
          <w:rFonts w:ascii="Arial" w:hAnsi="Arial" w:cs="Arial"/>
          <w:color w:val="000000"/>
          <w:sz w:val="18"/>
          <w:szCs w:val="18"/>
        </w:rPr>
        <w:fldChar w:fldCharType="end"/>
      </w:r>
      <w:bookmarkStart w:id="78" w:name="Document1zzB142032351566"/>
      <w:bookmarkEnd w:id="78"/>
      <w:r w:rsidR="00743F35" w:rsidRPr="0019267D">
        <w:rPr>
          <w:rFonts w:ascii="Arial" w:hAnsi="Arial" w:cs="Arial"/>
          <w:color w:val="000000"/>
          <w:sz w:val="18"/>
          <w:szCs w:val="18"/>
        </w:rPr>
        <w:t xml:space="preserve"> Finally, the State contends that the fundamental right to marriage cannot encompass the right to marry someone of the same sex because this right has never been interpreted to have this meaning in the past. The court is not persuaded by the </w:t>
      </w:r>
      <w:r w:rsidR="00743F35" w:rsidRPr="0019267D">
        <w:rPr>
          <w:rFonts w:ascii="Arial" w:hAnsi="Arial" w:cs="Arial"/>
          <w:color w:val="000000"/>
          <w:sz w:val="18"/>
          <w:szCs w:val="18"/>
        </w:rPr>
        <w:lastRenderedPageBreak/>
        <w:t>State's argument. The Constitution is not so rigid that it always mandates the same outcome even when its principles operate on a new set of facts that were previously unknown:</w:t>
      </w:r>
    </w:p>
    <w:p w14:paraId="6DC3F30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14E70B7"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Had those who drew and ratified the Due Process Clauses of the Fifth Amendment or the Fourteenth Amendment known the components of liberty in its manifold possibilities, they might have been more specific. They did not presume to have this insight. They knew times can blind us to certain truths and later generations can see that laws once thought necessary and proper in fact serve only to oppress. As the Constitution endures, persons in every generation can invoke its principles in their own search for greater freedom.</w:t>
      </w:r>
    </w:p>
    <w:p w14:paraId="0946DFF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F0BDFF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66" w:history="1">
        <w:r w:rsidRPr="0019267D">
          <w:rPr>
            <w:rFonts w:ascii="Arial" w:hAnsi="Arial" w:cs="Arial"/>
            <w:i/>
            <w:iCs/>
            <w:color w:val="0000FF"/>
            <w:sz w:val="18"/>
            <w:szCs w:val="18"/>
          </w:rPr>
          <w:t>Lawrence v. Texas,</w:t>
        </w:r>
      </w:hyperlink>
      <w:hyperlink r:id="rId567" w:history="1">
        <w:r w:rsidRPr="0019267D">
          <w:rPr>
            <w:rFonts w:ascii="Arial" w:hAnsi="Arial" w:cs="Arial"/>
            <w:color w:val="0000FF"/>
            <w:sz w:val="18"/>
            <w:szCs w:val="18"/>
          </w:rPr>
          <w:t xml:space="preserve"> 539 U.S. 558, 578–79, 123 S.Ct. 2472, 156 L.Ed.2d 508 (2003)</w:t>
        </w:r>
      </w:hyperlink>
      <w:r w:rsidRPr="0019267D">
        <w:rPr>
          <w:rFonts w:ascii="Arial" w:hAnsi="Arial" w:cs="Arial"/>
          <w:color w:val="000000"/>
          <w:sz w:val="18"/>
          <w:szCs w:val="18"/>
        </w:rPr>
        <w:t>. Here, it is not the Constitution that has changed, but the knowledge of what it means to be gay or lesbian. The court cannot ignore the fact that the Plaintiffs are able to develop a committed, intimate relationship with a person of the same sex but not with a person of the opposite sex. The court, and the State, must adapt to this changed understanding.</w:t>
      </w:r>
    </w:p>
    <w:p w14:paraId="059D39D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BC0BED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C. </w:t>
      </w:r>
      <w:r w:rsidRPr="0019267D">
        <w:rPr>
          <w:rFonts w:ascii="Arial" w:hAnsi="Arial" w:cs="Arial"/>
          <w:i/>
          <w:iCs/>
          <w:color w:val="000000"/>
          <w:sz w:val="18"/>
          <w:szCs w:val="18"/>
        </w:rPr>
        <w:t>Summary of Due Process Analysis</w:t>
      </w:r>
    </w:p>
    <w:p w14:paraId="2C66918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Fourteenth Amendment protects the liberty rights of all citizens, and none of the State's arguments presents a compelling reason why the scope of that right should be greater for heterosexual individuals than it is for gay and lesbian individuals. If, as is clear from the Supreme Court cases discussing the right to marry, a heterosexual person's choices about intimate association and family life are protected from unreasonable government interference in the marital context, then a gay or lesbian person also enjoys these same protections.</w:t>
      </w:r>
    </w:p>
    <w:p w14:paraId="75EABED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9A8182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court's holding is supported, even required, by the Supreme Court's recent opinion concerning the scope of protection that the Fourteenth Amendment provides to gay and lesbian citizens. In </w:t>
      </w:r>
      <w:hyperlink r:id="rId568" w:history="1">
        <w:r w:rsidRPr="0019267D">
          <w:rPr>
            <w:rFonts w:ascii="Arial" w:hAnsi="Arial" w:cs="Arial"/>
            <w:i/>
            <w:iCs/>
            <w:color w:val="0000FF"/>
            <w:sz w:val="18"/>
            <w:szCs w:val="18"/>
          </w:rPr>
          <w:t>Lawrence v. Texas,</w:t>
        </w:r>
      </w:hyperlink>
      <w:r w:rsidRPr="0019267D">
        <w:rPr>
          <w:rFonts w:ascii="Arial" w:hAnsi="Arial" w:cs="Arial"/>
          <w:color w:val="000000"/>
          <w:sz w:val="18"/>
          <w:szCs w:val="18"/>
        </w:rPr>
        <w:t xml:space="preserve"> the Court overruled its previous decision in </w:t>
      </w:r>
      <w:hyperlink r:id="rId569" w:history="1">
        <w:r w:rsidRPr="0019267D">
          <w:rPr>
            <w:rFonts w:ascii="Arial" w:hAnsi="Arial" w:cs="Arial"/>
            <w:i/>
            <w:iCs/>
            <w:color w:val="0000FF"/>
            <w:sz w:val="18"/>
            <w:szCs w:val="18"/>
          </w:rPr>
          <w:t>Bowers v. Hardwick,</w:t>
        </w:r>
      </w:hyperlink>
      <w:hyperlink r:id="rId570" w:history="1">
        <w:r w:rsidRPr="0019267D">
          <w:rPr>
            <w:rFonts w:ascii="Arial" w:hAnsi="Arial" w:cs="Arial"/>
            <w:color w:val="0000FF"/>
            <w:sz w:val="18"/>
            <w:szCs w:val="18"/>
          </w:rPr>
          <w:t xml:space="preserve"> 478 U.S. 186, 106 S.Ct. 2841, 92 L.Ed.2d 140 (1986)</w:t>
        </w:r>
      </w:hyperlink>
      <w:r w:rsidRPr="0019267D">
        <w:rPr>
          <w:rFonts w:ascii="Arial" w:hAnsi="Arial" w:cs="Arial"/>
          <w:color w:val="000000"/>
          <w:sz w:val="18"/>
          <w:szCs w:val="18"/>
        </w:rPr>
        <w:t xml:space="preserve">, and held that the Due Process Clause protected an individual's right to have sexual relations with a partner of the same sex. </w:t>
      </w:r>
      <w:hyperlink r:id="rId571" w:history="1">
        <w:r w:rsidRPr="0019267D">
          <w:rPr>
            <w:rFonts w:ascii="Arial" w:hAnsi="Arial" w:cs="Arial"/>
            <w:color w:val="0000FF"/>
            <w:sz w:val="18"/>
            <w:szCs w:val="18"/>
          </w:rPr>
          <w:t>539 U.S. at 578, 123 S.Ct. 2472.</w:t>
        </w:r>
      </w:hyperlink>
      <w:r w:rsidRPr="0019267D">
        <w:rPr>
          <w:rFonts w:ascii="Arial" w:hAnsi="Arial" w:cs="Arial"/>
          <w:color w:val="000000"/>
          <w:sz w:val="18"/>
          <w:szCs w:val="18"/>
        </w:rPr>
        <w:t xml:space="preserve"> The Court ruled: “The Texas [sodomy] statute furthers no legitimate state interest which can justify its intrusion into the personal and private life of the individual.” </w:t>
      </w:r>
      <w:hyperlink r:id="rId572"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While the Court stated that its opinion did not address “whether the government must give formal recognition to any relationship that homosexual persons seek to enter,” </w:t>
      </w:r>
      <w:hyperlink r:id="rId573"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the Court confirmed that “our laws and tradition afford constitutional protection to personal decisions relating to </w:t>
      </w:r>
      <w:r w:rsidRPr="0019267D">
        <w:rPr>
          <w:rFonts w:ascii="Arial" w:hAnsi="Arial" w:cs="Arial"/>
          <w:i/>
          <w:iCs/>
          <w:color w:val="000000"/>
          <w:sz w:val="18"/>
          <w:szCs w:val="18"/>
        </w:rPr>
        <w:t>marriage,</w:t>
      </w:r>
      <w:r w:rsidRPr="0019267D">
        <w:rPr>
          <w:rFonts w:ascii="Arial" w:hAnsi="Arial" w:cs="Arial"/>
          <w:color w:val="000000"/>
          <w:sz w:val="18"/>
          <w:szCs w:val="18"/>
        </w:rPr>
        <w:t xml:space="preserve"> procreation, contraception, family relationships, child rearing, and education” and held that “[p]ersons in a homosexual relationship may seek autonomy for these purposes, just as heterosexual persons do.” </w:t>
      </w:r>
      <w:hyperlink r:id="rId574" w:history="1">
        <w:r w:rsidRPr="0019267D">
          <w:rPr>
            <w:rFonts w:ascii="Arial" w:hAnsi="Arial" w:cs="Arial"/>
            <w:i/>
            <w:iCs/>
            <w:color w:val="0000FF"/>
            <w:sz w:val="18"/>
            <w:szCs w:val="18"/>
          </w:rPr>
          <w:t>Id.</w:t>
        </w:r>
      </w:hyperlink>
      <w:hyperlink r:id="rId575" w:history="1">
        <w:r w:rsidRPr="0019267D">
          <w:rPr>
            <w:rFonts w:ascii="Arial" w:hAnsi="Arial" w:cs="Arial"/>
            <w:color w:val="0000FF"/>
            <w:sz w:val="18"/>
            <w:szCs w:val="18"/>
          </w:rPr>
          <w:t xml:space="preserve"> at 574, 123 S.Ct. 2472</w:t>
        </w:r>
      </w:hyperlink>
      <w:r w:rsidRPr="0019267D">
        <w:rPr>
          <w:rFonts w:ascii="Arial" w:hAnsi="Arial" w:cs="Arial"/>
          <w:color w:val="000000"/>
          <w:sz w:val="18"/>
          <w:szCs w:val="18"/>
        </w:rPr>
        <w:t xml:space="preserve"> (emphasis added). The court therefore agrees with the portion of Justice Scalia's dissenting opinion in </w:t>
      </w:r>
      <w:hyperlink r:id="rId576" w:history="1">
        <w:r w:rsidRPr="0019267D">
          <w:rPr>
            <w:rFonts w:ascii="Arial" w:hAnsi="Arial" w:cs="Arial"/>
            <w:i/>
            <w:iCs/>
            <w:color w:val="0000FF"/>
            <w:sz w:val="18"/>
            <w:szCs w:val="18"/>
          </w:rPr>
          <w:t>Lawrence</w:t>
        </w:r>
      </w:hyperlink>
      <w:r w:rsidRPr="0019267D">
        <w:rPr>
          <w:rFonts w:ascii="Arial" w:hAnsi="Arial" w:cs="Arial"/>
          <w:color w:val="000000"/>
          <w:sz w:val="18"/>
          <w:szCs w:val="18"/>
        </w:rPr>
        <w:t xml:space="preserve"> in which Justice Scalia stated that the Court's reasoning logically extends to protect an individual's right to marry a person of the same sex:</w:t>
      </w:r>
    </w:p>
    <w:p w14:paraId="50B4105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6E4014C" w14:textId="77777777" w:rsidR="00743F35" w:rsidRPr="0019267D" w:rsidRDefault="00743F35" w:rsidP="00743F35">
      <w:pPr>
        <w:widowControl w:val="0"/>
        <w:autoSpaceDE w:val="0"/>
        <w:autoSpaceDN w:val="0"/>
        <w:adjustRightInd w:val="0"/>
        <w:ind w:left="180"/>
        <w:jc w:val="both"/>
        <w:rPr>
          <w:rFonts w:ascii="Arial" w:hAnsi="Arial" w:cs="Arial"/>
          <w:color w:val="000000"/>
          <w:sz w:val="18"/>
          <w:szCs w:val="18"/>
        </w:rPr>
      </w:pPr>
      <w:r w:rsidRPr="0019267D">
        <w:rPr>
          <w:rFonts w:ascii="Arial" w:hAnsi="Arial" w:cs="Arial"/>
          <w:color w:val="000000"/>
          <w:sz w:val="18"/>
          <w:szCs w:val="18"/>
        </w:rPr>
        <w:t>Today's opinion dismantles the structure of constitutional law that has permitted a distinction to be made between heterosexual and homosexual unions, insofar as formal recognition in marriage is concerned. If moral disapprobation of homosexual conduct is “no legitimate state interest” for purposes of proscribing that conduct, ... what justification could there possibly be for denying the benefits of marriage to homosexual couples exercising “the liberty protected by the Constitution”?</w:t>
      </w:r>
    </w:p>
    <w:p w14:paraId="141287B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5ED5FC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 </w:t>
      </w:r>
      <w:hyperlink r:id="rId577" w:history="1">
        <w:r w:rsidRPr="0019267D">
          <w:rPr>
            <w:rFonts w:ascii="Arial" w:hAnsi="Arial" w:cs="Arial"/>
            <w:i/>
            <w:iCs/>
            <w:color w:val="0000FF"/>
            <w:sz w:val="18"/>
            <w:szCs w:val="18"/>
          </w:rPr>
          <w:t>Id.</w:t>
        </w:r>
      </w:hyperlink>
      <w:hyperlink r:id="rId578" w:history="1">
        <w:r w:rsidRPr="0019267D">
          <w:rPr>
            <w:rFonts w:ascii="Arial" w:hAnsi="Arial" w:cs="Arial"/>
            <w:color w:val="0000FF"/>
            <w:sz w:val="18"/>
            <w:szCs w:val="18"/>
          </w:rPr>
          <w:t xml:space="preserve"> at 604–05, 123 S.Ct. 2472</w:t>
        </w:r>
      </w:hyperlink>
      <w:r w:rsidRPr="0019267D">
        <w:rPr>
          <w:rFonts w:ascii="Arial" w:hAnsi="Arial" w:cs="Arial"/>
          <w:color w:val="000000"/>
          <w:sz w:val="18"/>
          <w:szCs w:val="18"/>
        </w:rPr>
        <w:t xml:space="preserve"> (Scalia, J., dissenting) (citations omitted).</w:t>
      </w:r>
    </w:p>
    <w:p w14:paraId="1E804F8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B76C528"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52032351566" w:history="1">
        <w:r w:rsidR="00743F35" w:rsidRPr="0019267D">
          <w:rPr>
            <w:rFonts w:ascii="Arial" w:hAnsi="Arial" w:cs="Arial"/>
            <w:color w:val="0000FF"/>
            <w:sz w:val="18"/>
            <w:szCs w:val="18"/>
          </w:rPr>
          <w:t>[15]</w:t>
        </w:r>
      </w:hyperlink>
      <w:bookmarkStart w:id="79" w:name="Document1zzB152032351566"/>
      <w:bookmarkEnd w:id="79"/>
      <w:r w:rsidR="00743F35" w:rsidRPr="0019267D">
        <w:rPr>
          <w:rFonts w:ascii="Arial" w:hAnsi="Arial" w:cs="Arial"/>
          <w:color w:val="000000"/>
          <w:sz w:val="18"/>
          <w:szCs w:val="18"/>
        </w:rPr>
        <w:t xml:space="preserve"> The Supreme Court's decision in </w:t>
      </w:r>
      <w:hyperlink r:id="rId579" w:history="1">
        <w:r w:rsidR="00743F35" w:rsidRPr="0019267D">
          <w:rPr>
            <w:rFonts w:ascii="Arial" w:hAnsi="Arial" w:cs="Arial"/>
            <w:i/>
            <w:iCs/>
            <w:color w:val="0000FF"/>
            <w:sz w:val="18"/>
            <w:szCs w:val="18"/>
          </w:rPr>
          <w:t>Lawrence</w:t>
        </w:r>
      </w:hyperlink>
      <w:r w:rsidR="00743F35" w:rsidRPr="0019267D">
        <w:rPr>
          <w:rFonts w:ascii="Arial" w:hAnsi="Arial" w:cs="Arial"/>
          <w:color w:val="000000"/>
          <w:sz w:val="18"/>
          <w:szCs w:val="18"/>
        </w:rPr>
        <w:t xml:space="preserve"> removed the only ground—moral disapproval—on which the State could have at one time relied to distinguish the rights of gay and lesbian individuals from the rights of heterosexual individuals. The only other distinction the State has attempted to make is its argument that same-sex couples are not able to naturally reproduce with each other. But, of course, neither can thousands of opposite-sex couples in Utah. As a result, there is no legitimate reason that the rights of gay and lesbian individuals are any different from those of other people. All citizens, regardless of their sexual identity, have a fundamental right to liberty, and this right protects an individual's ability to marry and the intimate choices a person makes about marriage and family.</w:t>
      </w:r>
    </w:p>
    <w:p w14:paraId="5676595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54E0ED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therefore finds that the Plaintiffs have a fundamental right to marry that protects their choice of a same-sex partner.</w:t>
      </w:r>
    </w:p>
    <w:p w14:paraId="6E9CE6D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451771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D. </w:t>
      </w:r>
      <w:r w:rsidRPr="0019267D">
        <w:rPr>
          <w:rFonts w:ascii="Arial" w:hAnsi="Arial" w:cs="Arial"/>
          <w:i/>
          <w:iCs/>
          <w:color w:val="000000"/>
          <w:sz w:val="18"/>
          <w:szCs w:val="18"/>
        </w:rPr>
        <w:t>Amendment 3 Does Not Survive Strict Scrutiny</w:t>
      </w:r>
    </w:p>
    <w:p w14:paraId="1451857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court's determination that the fundamental right to marry encompasses the Plaintiffs' right to marry a person of the same sex is not the end of the court's analysis. The State may pass a law that restricts a person's fundamental rights provided that the law is “narrowly tailored to serve a compelling state interest.” </w:t>
      </w:r>
      <w:hyperlink r:id="rId580" w:history="1">
        <w:r w:rsidRPr="0019267D">
          <w:rPr>
            <w:rFonts w:ascii="Arial" w:hAnsi="Arial" w:cs="Arial"/>
            <w:i/>
            <w:iCs/>
            <w:color w:val="0000FF"/>
            <w:sz w:val="18"/>
            <w:szCs w:val="18"/>
          </w:rPr>
          <w:t>Reno v. Flores,</w:t>
        </w:r>
      </w:hyperlink>
      <w:hyperlink r:id="rId581" w:history="1">
        <w:r w:rsidRPr="0019267D">
          <w:rPr>
            <w:rFonts w:ascii="Arial" w:hAnsi="Arial" w:cs="Arial"/>
            <w:color w:val="0000FF"/>
            <w:sz w:val="18"/>
            <w:szCs w:val="18"/>
          </w:rPr>
          <w:t xml:space="preserve"> 507 U.S. 292, 302, 113 S.Ct. 1439, 123 L.Ed.2d 1 </w:t>
        </w:r>
        <w:r w:rsidRPr="0019267D">
          <w:rPr>
            <w:rFonts w:ascii="Arial" w:hAnsi="Arial" w:cs="Arial"/>
            <w:color w:val="0000FF"/>
            <w:sz w:val="18"/>
            <w:szCs w:val="18"/>
          </w:rPr>
          <w:lastRenderedPageBreak/>
          <w:t>(1993)</w:t>
        </w:r>
      </w:hyperlink>
      <w:r w:rsidRPr="0019267D">
        <w:rPr>
          <w:rFonts w:ascii="Arial" w:hAnsi="Arial" w:cs="Arial"/>
          <w:color w:val="000000"/>
          <w:sz w:val="18"/>
          <w:szCs w:val="18"/>
        </w:rPr>
        <w:t xml:space="preserve">. For instance, a state may permissibly regulate the age at which a person may be married because the state has a compelling interest in protecting children against abuse and coercion. Similarly, a state need not allow an individual to marry if that person is mentally incapable of forming the requisite consent, or if that prohibition is part of the punishment for a prisoner serving a life sentence. </w:t>
      </w:r>
      <w:r w:rsidRPr="0019267D">
        <w:rPr>
          <w:rFonts w:ascii="Arial" w:hAnsi="Arial" w:cs="Arial"/>
          <w:i/>
          <w:iCs/>
          <w:color w:val="000000"/>
          <w:sz w:val="18"/>
          <w:szCs w:val="18"/>
        </w:rPr>
        <w:t xml:space="preserve">See </w:t>
      </w:r>
      <w:hyperlink r:id="rId582" w:history="1">
        <w:r w:rsidRPr="0019267D">
          <w:rPr>
            <w:rFonts w:ascii="Arial" w:hAnsi="Arial" w:cs="Arial"/>
            <w:i/>
            <w:iCs/>
            <w:color w:val="0000FF"/>
            <w:sz w:val="18"/>
            <w:szCs w:val="18"/>
          </w:rPr>
          <w:t>Butler v. Wilson,</w:t>
        </w:r>
      </w:hyperlink>
      <w:hyperlink r:id="rId583" w:history="1">
        <w:r w:rsidRPr="0019267D">
          <w:rPr>
            <w:rFonts w:ascii="Arial" w:hAnsi="Arial" w:cs="Arial"/>
            <w:color w:val="0000FF"/>
            <w:sz w:val="18"/>
            <w:szCs w:val="18"/>
          </w:rPr>
          <w:t xml:space="preserve"> 415 U.S. 953, 94 S.Ct. 1479, 39 L.Ed.2d 569 (1974)</w:t>
        </w:r>
      </w:hyperlink>
      <w:r w:rsidRPr="0019267D">
        <w:rPr>
          <w:rFonts w:ascii="Arial" w:hAnsi="Arial" w:cs="Arial"/>
          <w:color w:val="000000"/>
          <w:sz w:val="18"/>
          <w:szCs w:val="18"/>
        </w:rPr>
        <w:t xml:space="preserve"> (summarily affirming decision to uphold a state law that prohibited prisoners incarcerated for life from marrying).</w:t>
      </w:r>
    </w:p>
    <w:p w14:paraId="167917B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E8FB540"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court finds no reason that the Plaintiffs are comparable to children, the mentally incapable, or life prisoners. Instead, the Plaintiffs are ordinary citizens—business owners, teachers, and doctors—who wish to marry the persons they love. As discussed below, the State of Utah has not demonstrated a rational, much less a compelling, reason why the Plaintiffs should be denied their right to marry. Consequently, the court finds that Amendment 3 violates the Plaintiffs' due process rights under the Fourteenth Amendment.</w:t>
      </w:r>
    </w:p>
    <w:p w14:paraId="2A29361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A0BC72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V. Amendment 3 Violates the Plaintiffs' Right to Equal Protection</w:t>
      </w:r>
    </w:p>
    <w:p w14:paraId="00E4C824"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62032351566" w:history="1">
        <w:r w:rsidR="00743F35" w:rsidRPr="0019267D">
          <w:rPr>
            <w:rFonts w:ascii="Arial" w:hAnsi="Arial" w:cs="Arial"/>
            <w:color w:val="0000FF"/>
            <w:sz w:val="18"/>
            <w:szCs w:val="18"/>
          </w:rPr>
          <w:t>[16]</w:t>
        </w:r>
      </w:hyperlink>
      <w:bookmarkStart w:id="80" w:name="Document1zzB162032351566"/>
      <w:bookmarkEnd w:id="80"/>
      <w:r w:rsidR="00743F35" w:rsidRPr="0019267D">
        <w:rPr>
          <w:rFonts w:ascii="Arial" w:hAnsi="Arial" w:cs="Arial"/>
          <w:color w:val="000000"/>
          <w:sz w:val="18"/>
          <w:szCs w:val="18"/>
        </w:rPr>
        <w:t xml:space="preserve"> The Equal Protection Clause of the Fourteenth Amendment provides that no state shall “deny to any person within its jurisdiction the equal protection of its laws.” </w:t>
      </w:r>
      <w:hyperlink r:id="rId584" w:history="1">
        <w:r w:rsidR="00743F35" w:rsidRPr="0019267D">
          <w:rPr>
            <w:rFonts w:ascii="Arial" w:hAnsi="Arial" w:cs="Arial"/>
            <w:color w:val="0000FF"/>
            <w:sz w:val="18"/>
            <w:szCs w:val="18"/>
          </w:rPr>
          <w:t>U.S. Const. amend. XIV, § 1</w:t>
        </w:r>
      </w:hyperlink>
      <w:r w:rsidR="00743F35" w:rsidRPr="0019267D">
        <w:rPr>
          <w:rFonts w:ascii="Arial" w:hAnsi="Arial" w:cs="Arial"/>
          <w:color w:val="000000"/>
          <w:sz w:val="18"/>
          <w:szCs w:val="18"/>
        </w:rPr>
        <w:t xml:space="preserve">. The Constitution “neither knows nor tolerates classes among citizens.” </w:t>
      </w:r>
      <w:hyperlink r:id="rId585" w:history="1">
        <w:r w:rsidR="00743F35" w:rsidRPr="0019267D">
          <w:rPr>
            <w:rFonts w:ascii="Arial" w:hAnsi="Arial" w:cs="Arial"/>
            <w:i/>
            <w:iCs/>
            <w:color w:val="0000FF"/>
            <w:sz w:val="18"/>
            <w:szCs w:val="18"/>
          </w:rPr>
          <w:t>Plessy v. Ferguson,</w:t>
        </w:r>
      </w:hyperlink>
      <w:hyperlink r:id="rId586" w:history="1">
        <w:r w:rsidR="00743F35" w:rsidRPr="0019267D">
          <w:rPr>
            <w:rFonts w:ascii="Arial" w:hAnsi="Arial" w:cs="Arial"/>
            <w:color w:val="0000FF"/>
            <w:sz w:val="18"/>
            <w:szCs w:val="18"/>
          </w:rPr>
          <w:t xml:space="preserve"> 163 U.S. 537, 559, 16 S.Ct. 1138, 41 L.Ed. 256 (1896)</w:t>
        </w:r>
      </w:hyperlink>
      <w:r w:rsidR="00743F35" w:rsidRPr="0019267D">
        <w:rPr>
          <w:rFonts w:ascii="Arial" w:hAnsi="Arial" w:cs="Arial"/>
          <w:color w:val="000000"/>
          <w:sz w:val="18"/>
          <w:szCs w:val="18"/>
        </w:rPr>
        <w:t xml:space="preserve"> (Harlan, J., dissenting). But the guarantee of equal protection coexists with the practical necessity that most legislation must classify for some purpose or another. </w:t>
      </w:r>
      <w:r w:rsidR="00743F35" w:rsidRPr="0019267D">
        <w:rPr>
          <w:rFonts w:ascii="Arial" w:hAnsi="Arial" w:cs="Arial"/>
          <w:i/>
          <w:iCs/>
          <w:color w:val="000000"/>
          <w:sz w:val="18"/>
          <w:szCs w:val="18"/>
        </w:rPr>
        <w:t xml:space="preserve">See </w:t>
      </w:r>
      <w:hyperlink r:id="rId587" w:history="1">
        <w:r w:rsidR="00743F35" w:rsidRPr="0019267D">
          <w:rPr>
            <w:rFonts w:ascii="Arial" w:hAnsi="Arial" w:cs="Arial"/>
            <w:i/>
            <w:iCs/>
            <w:color w:val="0000FF"/>
            <w:sz w:val="18"/>
            <w:szCs w:val="18"/>
          </w:rPr>
          <w:t>Romer v. Evans,</w:t>
        </w:r>
      </w:hyperlink>
      <w:hyperlink r:id="rId588" w:history="1">
        <w:r w:rsidR="00743F35" w:rsidRPr="0019267D">
          <w:rPr>
            <w:rFonts w:ascii="Arial" w:hAnsi="Arial" w:cs="Arial"/>
            <w:color w:val="0000FF"/>
            <w:sz w:val="18"/>
            <w:szCs w:val="18"/>
          </w:rPr>
          <w:t xml:space="preserve"> 517 U.S. 620, 631, 116 S.Ct. 1620, 134 L.Ed.2d 855 (1996)</w:t>
        </w:r>
      </w:hyperlink>
      <w:r w:rsidR="00743F35" w:rsidRPr="0019267D">
        <w:rPr>
          <w:rFonts w:ascii="Arial" w:hAnsi="Arial" w:cs="Arial"/>
          <w:color w:val="000000"/>
          <w:sz w:val="18"/>
          <w:szCs w:val="18"/>
        </w:rPr>
        <w:t>.</w:t>
      </w:r>
    </w:p>
    <w:p w14:paraId="63DEC8C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4CA0B08"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72032351566" w:history="1">
        <w:r w:rsidR="00743F35" w:rsidRPr="0019267D">
          <w:rPr>
            <w:rFonts w:ascii="Arial" w:hAnsi="Arial" w:cs="Arial"/>
            <w:color w:val="0000FF"/>
            <w:sz w:val="18"/>
            <w:szCs w:val="18"/>
          </w:rPr>
          <w:t>[17]</w:t>
        </w:r>
      </w:hyperlink>
      <w:bookmarkStart w:id="81" w:name="Document1zzB172032351566"/>
      <w:bookmarkEnd w:id="81"/>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"Document1zzF182032351566"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[18]</w:t>
      </w:r>
      <w:r w:rsidR="00743F35" w:rsidRPr="0019267D">
        <w:rPr>
          <w:rFonts w:ascii="Arial" w:hAnsi="Arial" w:cs="Arial"/>
          <w:color w:val="000000"/>
          <w:sz w:val="18"/>
          <w:szCs w:val="18"/>
        </w:rPr>
        <w:fldChar w:fldCharType="end"/>
      </w:r>
      <w:bookmarkStart w:id="82" w:name="Document1zzB182032351566"/>
      <w:bookmarkEnd w:id="82"/>
      <w:r w:rsidR="00743F35" w:rsidRPr="0019267D">
        <w:rPr>
          <w:rFonts w:ascii="Arial" w:hAnsi="Arial" w:cs="Arial"/>
          <w:color w:val="000000"/>
          <w:sz w:val="18"/>
          <w:szCs w:val="18"/>
        </w:rPr>
        <w:t xml:space="preserve"> To determine whether a piece of legislation violates the Equal Protection Clause, the court first looks to see whether the challenged law implicates a fundamental right. “When a statutory classification significantly interferes with the exercise of a fundamental right, it cannot be upheld unless it is supported by sufficiently important state interests and is closely tailored to effectuate only those interests.” </w:t>
      </w:r>
      <w:hyperlink r:id="rId589" w:history="1">
        <w:r w:rsidR="00743F35" w:rsidRPr="0019267D">
          <w:rPr>
            <w:rFonts w:ascii="Arial" w:hAnsi="Arial" w:cs="Arial"/>
            <w:i/>
            <w:iCs/>
            <w:color w:val="0000FF"/>
            <w:sz w:val="18"/>
            <w:szCs w:val="18"/>
          </w:rPr>
          <w:t>Zablocki,</w:t>
        </w:r>
      </w:hyperlink>
      <w:hyperlink r:id="rId590" w:history="1">
        <w:r w:rsidR="00743F35" w:rsidRPr="0019267D">
          <w:rPr>
            <w:rFonts w:ascii="Arial" w:hAnsi="Arial" w:cs="Arial"/>
            <w:color w:val="0000FF"/>
            <w:sz w:val="18"/>
            <w:szCs w:val="18"/>
          </w:rPr>
          <w:t xml:space="preserve"> 434 U.S. at 388, 98 S.Ct. 673;</w:t>
        </w:r>
      </w:hyperlink>
      <w:r w:rsidR="00743F35" w:rsidRPr="0019267D">
        <w:rPr>
          <w:rFonts w:ascii="Arial" w:hAnsi="Arial" w:cs="Arial"/>
          <w:color w:val="000000"/>
          <w:sz w:val="18"/>
          <w:szCs w:val="18"/>
        </w:rPr>
        <w:t xml:space="preserve"> </w:t>
      </w:r>
      <w:r w:rsidR="00743F35" w:rsidRPr="0019267D">
        <w:rPr>
          <w:rFonts w:ascii="Arial" w:hAnsi="Arial" w:cs="Arial"/>
          <w:i/>
          <w:iCs/>
          <w:color w:val="000000"/>
          <w:sz w:val="18"/>
          <w:szCs w:val="18"/>
        </w:rPr>
        <w:t xml:space="preserve">see also </w:t>
      </w:r>
      <w:hyperlink r:id="rId591" w:history="1">
        <w:r w:rsidR="00743F35" w:rsidRPr="0019267D">
          <w:rPr>
            <w:rFonts w:ascii="Arial" w:hAnsi="Arial" w:cs="Arial"/>
            <w:i/>
            <w:iCs/>
            <w:color w:val="0000FF"/>
            <w:sz w:val="18"/>
            <w:szCs w:val="18"/>
          </w:rPr>
          <w:t>Harper v. Va. State Bd. of Elections,</w:t>
        </w:r>
      </w:hyperlink>
      <w:hyperlink r:id="rId592" w:history="1">
        <w:r w:rsidR="00743F35" w:rsidRPr="0019267D">
          <w:rPr>
            <w:rFonts w:ascii="Arial" w:hAnsi="Arial" w:cs="Arial"/>
            <w:color w:val="0000FF"/>
            <w:sz w:val="18"/>
            <w:szCs w:val="18"/>
          </w:rPr>
          <w:t xml:space="preserve"> 383 U.S. 663, 670, 86 S.Ct. 1079, 16 L.Ed.2d 169 (1966)</w:t>
        </w:r>
      </w:hyperlink>
      <w:r w:rsidR="00743F35" w:rsidRPr="0019267D">
        <w:rPr>
          <w:rFonts w:ascii="Arial" w:hAnsi="Arial" w:cs="Arial"/>
          <w:color w:val="000000"/>
          <w:sz w:val="18"/>
          <w:szCs w:val="18"/>
        </w:rPr>
        <w:t xml:space="preserve"> (“We have long been mindful that where fundamental rights and liberties are asserted under the Equal Protection Clause, classifications which might invade or restrain them must be closely scrutinized and carefully confined.”). Here, the court finds that Amendment 3 interferes with the exercise of the Plaintiffs' fundamental right to marry. As discussed above, Amendment 3 is therefore unconstitutional because the State has not shown that the law is narrowly tailored to meet a compelling governmental interest. But even if the court disregarded the impact of Amendment 3 on the Plaintiffs' fundamental rights, the law would still fail for the reasons discussed below.</w:t>
      </w:r>
    </w:p>
    <w:p w14:paraId="06161DC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98230E5"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192032351566" w:history="1">
        <w:r w:rsidR="00743F35" w:rsidRPr="0019267D">
          <w:rPr>
            <w:rFonts w:ascii="Arial" w:hAnsi="Arial" w:cs="Arial"/>
            <w:color w:val="0000FF"/>
            <w:sz w:val="18"/>
            <w:szCs w:val="18"/>
          </w:rPr>
          <w:t>[19]</w:t>
        </w:r>
      </w:hyperlink>
      <w:bookmarkStart w:id="83" w:name="Document1zzB192032351566"/>
      <w:bookmarkEnd w:id="83"/>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"Document1zzF202032351566"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[20]</w:t>
      </w:r>
      <w:r w:rsidR="00743F35" w:rsidRPr="0019267D">
        <w:rPr>
          <w:rFonts w:ascii="Arial" w:hAnsi="Arial" w:cs="Arial"/>
          <w:color w:val="000000"/>
          <w:sz w:val="18"/>
          <w:szCs w:val="18"/>
        </w:rPr>
        <w:fldChar w:fldCharType="end"/>
      </w:r>
      <w:bookmarkStart w:id="84" w:name="Document1zzB202032351566"/>
      <w:bookmarkEnd w:id="84"/>
      <w:r w:rsidR="00743F35" w:rsidRPr="0019267D">
        <w:rPr>
          <w:rFonts w:ascii="Arial" w:hAnsi="Arial" w:cs="Arial"/>
          <w:color w:val="000000"/>
          <w:sz w:val="18"/>
          <w:szCs w:val="18"/>
        </w:rPr>
        <w:t xml:space="preserve"> The Plaintiffs argue that Amendment 3 discriminates against them on the basis of their sex and sexual identity in violation of the Equal Protection Clause. When a state regulation adversely affects members of a certain class, but does not significantly interfere with the fundamental rights of the individuals in that class, courts first determine how closely they should scrutinize the challenged regulation. Courts must not simply defer to the State's judgment when there is reason to suspect “prejudice against discrete and insular minorities ... which tends seriously to curtail the operation of those political processes ordinarily relied upon to protect minorities[.]” </w:t>
      </w:r>
      <w:hyperlink r:id="rId593" w:history="1">
        <w:r w:rsidR="00743F35" w:rsidRPr="0019267D">
          <w:rPr>
            <w:rFonts w:ascii="Arial" w:hAnsi="Arial" w:cs="Arial"/>
            <w:i/>
            <w:iCs/>
            <w:color w:val="0000FF"/>
            <w:sz w:val="18"/>
            <w:szCs w:val="18"/>
          </w:rPr>
          <w:t>United States v. Carolene Prods. Co.,</w:t>
        </w:r>
      </w:hyperlink>
      <w:hyperlink r:id="rId594" w:history="1">
        <w:r w:rsidR="00743F35" w:rsidRPr="0019267D">
          <w:rPr>
            <w:rFonts w:ascii="Arial" w:hAnsi="Arial" w:cs="Arial"/>
            <w:color w:val="0000FF"/>
            <w:sz w:val="18"/>
            <w:szCs w:val="18"/>
          </w:rPr>
          <w:t xml:space="preserve"> 304 U.S. 144, 152–53 n. 4, 58 S.Ct. 778, 82 L.Ed. 1234 (1938)</w:t>
        </w:r>
      </w:hyperlink>
      <w:r w:rsidR="00743F35" w:rsidRPr="0019267D">
        <w:rPr>
          <w:rFonts w:ascii="Arial" w:hAnsi="Arial" w:cs="Arial"/>
          <w:color w:val="000000"/>
          <w:sz w:val="18"/>
          <w:szCs w:val="18"/>
        </w:rPr>
        <w:t>.</w:t>
      </w:r>
    </w:p>
    <w:p w14:paraId="329A787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B0D2F32"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12032351566" w:history="1">
        <w:r w:rsidR="00743F35" w:rsidRPr="0019267D">
          <w:rPr>
            <w:rFonts w:ascii="Arial" w:hAnsi="Arial" w:cs="Arial"/>
            <w:color w:val="0000FF"/>
            <w:sz w:val="18"/>
            <w:szCs w:val="18"/>
          </w:rPr>
          <w:t>[21]</w:t>
        </w:r>
      </w:hyperlink>
      <w:bookmarkStart w:id="85" w:name="Document1zzB212032351566"/>
      <w:bookmarkEnd w:id="85"/>
      <w:r w:rsidR="00743F35" w:rsidRPr="0019267D">
        <w:rPr>
          <w:rFonts w:ascii="Arial" w:hAnsi="Arial" w:cs="Arial"/>
          <w:color w:val="000000"/>
          <w:sz w:val="18"/>
          <w:szCs w:val="18"/>
        </w:rPr>
        <w:t xml:space="preserve"> To decide whether a challenged state law impermissibly discriminates against members of a class in violation of the Equal Protection Clause, the Supreme Court has developed varying tiers of scrutiny that courts apply depending on what class of citizens is affected. “Classifications based on race or national origin” are considered highly suspect and “are given the most exacting scrutiny.” </w:t>
      </w:r>
      <w:hyperlink r:id="rId595" w:history="1">
        <w:r w:rsidR="00743F35" w:rsidRPr="0019267D">
          <w:rPr>
            <w:rFonts w:ascii="Arial" w:hAnsi="Arial" w:cs="Arial"/>
            <w:i/>
            <w:iCs/>
            <w:color w:val="0000FF"/>
            <w:sz w:val="18"/>
            <w:szCs w:val="18"/>
          </w:rPr>
          <w:t>Clark v. Jeter,</w:t>
        </w:r>
      </w:hyperlink>
      <w:hyperlink r:id="rId596" w:history="1">
        <w:r w:rsidR="00743F35" w:rsidRPr="0019267D">
          <w:rPr>
            <w:rFonts w:ascii="Arial" w:hAnsi="Arial" w:cs="Arial"/>
            <w:color w:val="0000FF"/>
            <w:sz w:val="18"/>
            <w:szCs w:val="18"/>
          </w:rPr>
          <w:t xml:space="preserve"> 486 U.S. 456, 461, 108 S.Ct. 1910, 100 L.Ed.2d 465 (1988)</w:t>
        </w:r>
      </w:hyperlink>
      <w:r w:rsidR="00743F35" w:rsidRPr="0019267D">
        <w:rPr>
          <w:rFonts w:ascii="Arial" w:hAnsi="Arial" w:cs="Arial"/>
          <w:color w:val="000000"/>
          <w:sz w:val="18"/>
          <w:szCs w:val="18"/>
        </w:rPr>
        <w:t xml:space="preserve">. On the other end of the spectrum, courts must uphold a legislative classification that does not target a suspect class “so long as it bears a rational relation to some legitimate end.” </w:t>
      </w:r>
      <w:hyperlink r:id="rId597" w:history="1">
        <w:r w:rsidR="00743F35" w:rsidRPr="0019267D">
          <w:rPr>
            <w:rFonts w:ascii="Arial" w:hAnsi="Arial" w:cs="Arial"/>
            <w:i/>
            <w:iCs/>
            <w:color w:val="0000FF"/>
            <w:sz w:val="18"/>
            <w:szCs w:val="18"/>
          </w:rPr>
          <w:t>Romer,</w:t>
        </w:r>
      </w:hyperlink>
      <w:hyperlink r:id="rId598" w:history="1">
        <w:r w:rsidR="00743F35" w:rsidRPr="0019267D">
          <w:rPr>
            <w:rFonts w:ascii="Arial" w:hAnsi="Arial" w:cs="Arial"/>
            <w:color w:val="0000FF"/>
            <w:sz w:val="18"/>
            <w:szCs w:val="18"/>
          </w:rPr>
          <w:t xml:space="preserve"> 517 U.S. at 631, 116 S.Ct. 1620.</w:t>
        </w:r>
      </w:hyperlink>
      <w:r w:rsidR="00743F35" w:rsidRPr="0019267D">
        <w:rPr>
          <w:rFonts w:ascii="Arial" w:hAnsi="Arial" w:cs="Arial"/>
          <w:color w:val="000000"/>
          <w:sz w:val="18"/>
          <w:szCs w:val="18"/>
        </w:rPr>
        <w:t xml:space="preserve"> “Between these extremes of rational basis review and strict scrutiny lies a level of intermediate scrutiny, which generally has been applied to discriminatory classifications based on sex or illegitimacy.” </w:t>
      </w:r>
      <w:hyperlink r:id="rId599" w:history="1">
        <w:r w:rsidR="00743F35" w:rsidRPr="0019267D">
          <w:rPr>
            <w:rFonts w:ascii="Arial" w:hAnsi="Arial" w:cs="Arial"/>
            <w:i/>
            <w:iCs/>
            <w:color w:val="0000FF"/>
            <w:sz w:val="18"/>
            <w:szCs w:val="18"/>
          </w:rPr>
          <w:t>Clark,</w:t>
        </w:r>
      </w:hyperlink>
      <w:hyperlink r:id="rId600" w:history="1">
        <w:r w:rsidR="00743F35" w:rsidRPr="0019267D">
          <w:rPr>
            <w:rFonts w:ascii="Arial" w:hAnsi="Arial" w:cs="Arial"/>
            <w:color w:val="0000FF"/>
            <w:sz w:val="18"/>
            <w:szCs w:val="18"/>
          </w:rPr>
          <w:t xml:space="preserve"> 486 U.S. at 461, 108 S.Ct. 1910.</w:t>
        </w:r>
      </w:hyperlink>
      <w:r w:rsidR="00743F35" w:rsidRPr="0019267D">
        <w:rPr>
          <w:rFonts w:ascii="Arial" w:hAnsi="Arial" w:cs="Arial"/>
          <w:color w:val="000000"/>
          <w:sz w:val="18"/>
          <w:szCs w:val="18"/>
        </w:rPr>
        <w:t xml:space="preserve"> Classifications receiving this intermediate level of scrutiny are quasi-suspect classifications that can be sustained only if they are “substantially related to an important governmental objective.” </w:t>
      </w:r>
      <w:hyperlink r:id="rId601" w:history="1">
        <w:r w:rsidR="00743F35" w:rsidRPr="0019267D">
          <w:rPr>
            <w:rFonts w:ascii="Arial" w:hAnsi="Arial" w:cs="Arial"/>
            <w:i/>
            <w:iCs/>
            <w:color w:val="0000FF"/>
            <w:sz w:val="18"/>
            <w:szCs w:val="18"/>
          </w:rPr>
          <w:t>Id.</w:t>
        </w:r>
      </w:hyperlink>
    </w:p>
    <w:p w14:paraId="73D87E8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37C154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A. </w:t>
      </w:r>
      <w:r w:rsidRPr="0019267D">
        <w:rPr>
          <w:rFonts w:ascii="Arial" w:hAnsi="Arial" w:cs="Arial"/>
          <w:i/>
          <w:iCs/>
          <w:color w:val="000000"/>
          <w:sz w:val="18"/>
          <w:szCs w:val="18"/>
        </w:rPr>
        <w:t>Heightened Scrutiny</w:t>
      </w:r>
    </w:p>
    <w:p w14:paraId="5A49433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Plaintiffs assert three theories why the court should apply some form of heightened scrutiny to this case. While the court discusses each of these theories below, it finds that it need not apply heightened scrutiny here because Amendment 3 fails under even the most deferential level of review.</w:t>
      </w:r>
    </w:p>
    <w:p w14:paraId="47A3BF6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FF30EB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1. </w:t>
      </w:r>
      <w:r w:rsidRPr="0019267D">
        <w:rPr>
          <w:rFonts w:ascii="Arial" w:hAnsi="Arial" w:cs="Arial"/>
          <w:i/>
          <w:iCs/>
          <w:color w:val="000000"/>
          <w:sz w:val="18"/>
          <w:szCs w:val="18"/>
        </w:rPr>
        <w:t>Sex Discrimination</w:t>
      </w:r>
    </w:p>
    <w:p w14:paraId="5A8847B7"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22032351566" w:history="1">
        <w:r w:rsidR="00743F35" w:rsidRPr="0019267D">
          <w:rPr>
            <w:rFonts w:ascii="Arial" w:hAnsi="Arial" w:cs="Arial"/>
            <w:color w:val="0000FF"/>
            <w:sz w:val="18"/>
            <w:szCs w:val="18"/>
          </w:rPr>
          <w:t>[22]</w:t>
        </w:r>
      </w:hyperlink>
      <w:bookmarkStart w:id="86" w:name="Document1zzB222032351566"/>
      <w:bookmarkEnd w:id="86"/>
      <w:r w:rsidR="00743F35" w:rsidRPr="0019267D">
        <w:rPr>
          <w:rFonts w:ascii="Arial" w:hAnsi="Arial" w:cs="Arial"/>
          <w:color w:val="000000"/>
          <w:sz w:val="18"/>
          <w:szCs w:val="18"/>
        </w:rPr>
        <w:t xml:space="preserve"> The Plaintiffs argue that the court should apply heightened scrutiny to Amendment 3 because it discriminates on the basis </w:t>
      </w:r>
      <w:r w:rsidR="00743F35" w:rsidRPr="0019267D">
        <w:rPr>
          <w:rFonts w:ascii="Arial" w:hAnsi="Arial" w:cs="Arial"/>
          <w:color w:val="000000"/>
          <w:sz w:val="18"/>
          <w:szCs w:val="18"/>
        </w:rPr>
        <w:lastRenderedPageBreak/>
        <w:t xml:space="preserve">of an individual's sex. As noted above, classifications based on sex can be sustained only where the government demonstrates that they are “substantially related” to an “important governmental objective[.]” </w:t>
      </w:r>
      <w:hyperlink r:id="rId602" w:history="1">
        <w:r w:rsidR="00743F35" w:rsidRPr="0019267D">
          <w:rPr>
            <w:rFonts w:ascii="Arial" w:hAnsi="Arial" w:cs="Arial"/>
            <w:i/>
            <w:iCs/>
            <w:color w:val="0000FF"/>
            <w:sz w:val="18"/>
            <w:szCs w:val="18"/>
          </w:rPr>
          <w:t>United States v. Virginia,</w:t>
        </w:r>
      </w:hyperlink>
      <w:hyperlink r:id="rId603" w:history="1">
        <w:r w:rsidR="00743F35" w:rsidRPr="0019267D">
          <w:rPr>
            <w:rFonts w:ascii="Arial" w:hAnsi="Arial" w:cs="Arial"/>
            <w:color w:val="0000FF"/>
            <w:sz w:val="18"/>
            <w:szCs w:val="18"/>
          </w:rPr>
          <w:t xml:space="preserve"> 518 U.S. 515, 533, 116 S.Ct. 2264, 135 L.Ed.2d 735 (1996)</w:t>
        </w:r>
      </w:hyperlink>
      <w:r w:rsidR="00743F35" w:rsidRPr="0019267D">
        <w:rPr>
          <w:rFonts w:ascii="Arial" w:hAnsi="Arial" w:cs="Arial"/>
          <w:color w:val="000000"/>
          <w:sz w:val="18"/>
          <w:szCs w:val="18"/>
        </w:rPr>
        <w:t xml:space="preserve"> (citation omitted); </w:t>
      </w:r>
      <w:hyperlink r:id="rId604" w:history="1">
        <w:r w:rsidR="00743F35" w:rsidRPr="0019267D">
          <w:rPr>
            <w:rFonts w:ascii="Arial" w:hAnsi="Arial" w:cs="Arial"/>
            <w:i/>
            <w:iCs/>
            <w:color w:val="0000FF"/>
            <w:sz w:val="18"/>
            <w:szCs w:val="18"/>
          </w:rPr>
          <w:t>Concrete Works v. City of Denver,</w:t>
        </w:r>
      </w:hyperlink>
      <w:hyperlink r:id="rId605" w:history="1">
        <w:r w:rsidR="00743F35" w:rsidRPr="0019267D">
          <w:rPr>
            <w:rFonts w:ascii="Arial" w:hAnsi="Arial" w:cs="Arial"/>
            <w:color w:val="0000FF"/>
            <w:sz w:val="18"/>
            <w:szCs w:val="18"/>
          </w:rPr>
          <w:t xml:space="preserve"> 36 F.3d 1513, 1519 (10th Cir.1994)</w:t>
        </w:r>
      </w:hyperlink>
      <w:r w:rsidR="00743F35" w:rsidRPr="0019267D">
        <w:rPr>
          <w:rFonts w:ascii="Arial" w:hAnsi="Arial" w:cs="Arial"/>
          <w:color w:val="000000"/>
          <w:sz w:val="18"/>
          <w:szCs w:val="18"/>
        </w:rPr>
        <w:t xml:space="preserve"> (“Gender-based classifications ... are evaluated under the intermediate scrutiny rubric”).</w:t>
      </w:r>
    </w:p>
    <w:p w14:paraId="39340B0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C97D354"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32032351566" w:history="1">
        <w:r w:rsidR="00743F35" w:rsidRPr="0019267D">
          <w:rPr>
            <w:rFonts w:ascii="Arial" w:hAnsi="Arial" w:cs="Arial"/>
            <w:color w:val="0000FF"/>
            <w:sz w:val="18"/>
            <w:szCs w:val="18"/>
          </w:rPr>
          <w:t>[23]</w:t>
        </w:r>
      </w:hyperlink>
      <w:bookmarkStart w:id="87" w:name="Document1zzB232032351566"/>
      <w:bookmarkEnd w:id="87"/>
      <w:r w:rsidR="00743F35" w:rsidRPr="0019267D">
        <w:rPr>
          <w:rFonts w:ascii="Arial" w:hAnsi="Arial" w:cs="Arial"/>
          <w:color w:val="000000"/>
          <w:sz w:val="18"/>
          <w:szCs w:val="18"/>
        </w:rPr>
        <w:t xml:space="preserve"> The State concedes that Amendment 3 involves sex-based classifications because it prohibits a man from marrying another man, but does not prohibit that man from marrying a woman. Nevertheless, the State argues that Amendment 3 does not discriminate on the basis of sex because its prohibition against same-sex marriage applies equally to both men and women. The Supreme Court rejected an analogous argument in </w:t>
      </w:r>
      <w:hyperlink r:id="rId606" w:history="1">
        <w:r w:rsidR="00743F35" w:rsidRPr="0019267D">
          <w:rPr>
            <w:rFonts w:ascii="Arial" w:hAnsi="Arial" w:cs="Arial"/>
            <w:i/>
            <w:iCs/>
            <w:color w:val="0000FF"/>
            <w:sz w:val="18"/>
            <w:szCs w:val="18"/>
          </w:rPr>
          <w:t>Loving v. Virginia,</w:t>
        </w:r>
      </w:hyperlink>
      <w:hyperlink r:id="rId607" w:history="1">
        <w:r w:rsidR="00743F35" w:rsidRPr="0019267D">
          <w:rPr>
            <w:rFonts w:ascii="Arial" w:hAnsi="Arial" w:cs="Arial"/>
            <w:color w:val="0000FF"/>
            <w:sz w:val="18"/>
            <w:szCs w:val="18"/>
          </w:rPr>
          <w:t xml:space="preserve"> 388 U.S. 1, 8–9, 87 S.Ct. 1817, 18 L.Ed.2d 1010 (1967)</w:t>
        </w:r>
      </w:hyperlink>
      <w:r w:rsidR="00743F35" w:rsidRPr="0019267D">
        <w:rPr>
          <w:rFonts w:ascii="Arial" w:hAnsi="Arial" w:cs="Arial"/>
          <w:color w:val="000000"/>
          <w:sz w:val="18"/>
          <w:szCs w:val="18"/>
        </w:rPr>
        <w:t xml:space="preserve">. In </w:t>
      </w:r>
      <w:hyperlink r:id="rId608" w:history="1">
        <w:r w:rsidR="00743F35" w:rsidRPr="0019267D">
          <w:rPr>
            <w:rFonts w:ascii="Arial" w:hAnsi="Arial" w:cs="Arial"/>
            <w:i/>
            <w:iCs/>
            <w:color w:val="0000FF"/>
            <w:sz w:val="18"/>
            <w:szCs w:val="18"/>
          </w:rPr>
          <w:t>Loving,</w:t>
        </w:r>
      </w:hyperlink>
      <w:r w:rsidR="00743F35" w:rsidRPr="0019267D">
        <w:rPr>
          <w:rFonts w:ascii="Arial" w:hAnsi="Arial" w:cs="Arial"/>
          <w:color w:val="000000"/>
          <w:sz w:val="18"/>
          <w:szCs w:val="18"/>
        </w:rPr>
        <w:t xml:space="preserve"> Virginia argued that its anti-miscegenation laws did not discriminate based on race because the prohibition against mixed-race marriage applied equally to both white and black citizens. </w:t>
      </w:r>
      <w:hyperlink r:id="rId609" w:history="1">
        <w:r w:rsidR="00743F35" w:rsidRPr="0019267D">
          <w:rPr>
            <w:rFonts w:ascii="Arial" w:hAnsi="Arial" w:cs="Arial"/>
            <w:i/>
            <w:iCs/>
            <w:color w:val="0000FF"/>
            <w:sz w:val="18"/>
            <w:szCs w:val="18"/>
          </w:rPr>
          <w:t>Id.</w:t>
        </w:r>
      </w:hyperlink>
      <w:hyperlink r:id="rId610" w:history="1">
        <w:r w:rsidR="00743F35" w:rsidRPr="0019267D">
          <w:rPr>
            <w:rFonts w:ascii="Arial" w:hAnsi="Arial" w:cs="Arial"/>
            <w:color w:val="0000FF"/>
            <w:sz w:val="18"/>
            <w:szCs w:val="18"/>
          </w:rPr>
          <w:t xml:space="preserve"> at 7–8, 87 S.Ct. 1817.</w:t>
        </w:r>
      </w:hyperlink>
      <w:r w:rsidR="00743F35" w:rsidRPr="0019267D">
        <w:rPr>
          <w:rFonts w:ascii="Arial" w:hAnsi="Arial" w:cs="Arial"/>
          <w:color w:val="000000"/>
          <w:sz w:val="18"/>
          <w:szCs w:val="18"/>
        </w:rPr>
        <w:t xml:space="preserve"> The Court found that “the fact of equal application does not immunize the statute from the very heavy burden of justification which the Fourteenth Amendment has traditionally required of state statutes drawn according to race.” </w:t>
      </w:r>
      <w:hyperlink r:id="rId611" w:history="1">
        <w:r w:rsidR="00743F35" w:rsidRPr="0019267D">
          <w:rPr>
            <w:rFonts w:ascii="Arial" w:hAnsi="Arial" w:cs="Arial"/>
            <w:i/>
            <w:iCs/>
            <w:color w:val="0000FF"/>
            <w:sz w:val="18"/>
            <w:szCs w:val="18"/>
          </w:rPr>
          <w:t>Id.</w:t>
        </w:r>
      </w:hyperlink>
      <w:hyperlink r:id="rId612" w:history="1">
        <w:r w:rsidR="00743F35" w:rsidRPr="0019267D">
          <w:rPr>
            <w:rFonts w:ascii="Arial" w:hAnsi="Arial" w:cs="Arial"/>
            <w:color w:val="0000FF"/>
            <w:sz w:val="18"/>
            <w:szCs w:val="18"/>
          </w:rPr>
          <w:t xml:space="preserve"> at 9, 87 S.Ct. 1817.</w:t>
        </w:r>
      </w:hyperlink>
      <w:r w:rsidR="00743F35" w:rsidRPr="0019267D">
        <w:rPr>
          <w:rFonts w:ascii="Arial" w:hAnsi="Arial" w:cs="Arial"/>
          <w:color w:val="000000"/>
          <w:sz w:val="18"/>
          <w:szCs w:val="18"/>
        </w:rPr>
        <w:t xml:space="preserve"> Applying the same logic, the court finds that the fact of equal application to both men and women does not immunize Utah's Amendment 3 from the heightened burden of justification that the Fourteenth Amendment requires of state laws drawn according to sex.</w:t>
      </w:r>
    </w:p>
    <w:p w14:paraId="0792F17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B45512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But because the court finds that Amendment 3 fails rational basis review, it need not analyze why Utah is also unable to satisfy the more rigorous standard of demonstrating an “exceedingly persuasive” justification for its prohibition against same-sex marriage. </w:t>
      </w:r>
      <w:hyperlink r:id="rId613" w:history="1">
        <w:r w:rsidRPr="0019267D">
          <w:rPr>
            <w:rFonts w:ascii="Arial" w:hAnsi="Arial" w:cs="Arial"/>
            <w:i/>
            <w:iCs/>
            <w:color w:val="0000FF"/>
            <w:sz w:val="18"/>
            <w:szCs w:val="18"/>
          </w:rPr>
          <w:t>Virginia,</w:t>
        </w:r>
      </w:hyperlink>
      <w:hyperlink r:id="rId614" w:history="1">
        <w:r w:rsidRPr="0019267D">
          <w:rPr>
            <w:rFonts w:ascii="Arial" w:hAnsi="Arial" w:cs="Arial"/>
            <w:color w:val="0000FF"/>
            <w:sz w:val="18"/>
            <w:szCs w:val="18"/>
          </w:rPr>
          <w:t xml:space="preserve"> 518 U.S. at 533, 116 S.Ct. 2264</w:t>
        </w:r>
      </w:hyperlink>
      <w:r w:rsidRPr="0019267D">
        <w:rPr>
          <w:rFonts w:ascii="Arial" w:hAnsi="Arial" w:cs="Arial"/>
          <w:color w:val="000000"/>
          <w:sz w:val="18"/>
          <w:szCs w:val="18"/>
        </w:rPr>
        <w:t>.</w:t>
      </w:r>
    </w:p>
    <w:p w14:paraId="1D47C5A6"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57641C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2. </w:t>
      </w:r>
      <w:r w:rsidRPr="0019267D">
        <w:rPr>
          <w:rFonts w:ascii="Arial" w:hAnsi="Arial" w:cs="Arial"/>
          <w:i/>
          <w:iCs/>
          <w:color w:val="000000"/>
          <w:sz w:val="18"/>
          <w:szCs w:val="18"/>
        </w:rPr>
        <w:t>Sexual Orientation as a Suspect Class</w:t>
      </w:r>
    </w:p>
    <w:p w14:paraId="04C64C4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Plaintiffs assert that, even if Amendment 3 does not discriminate on the basis of sex, it is undisputed that the law discriminates on the basis of a person's sexual orientation. The Plaintiffs maintain that gay men and lesbians as a class exhibit the “traditional indicia” that indicate they are especially at risk of discrimination. </w:t>
      </w:r>
      <w:hyperlink r:id="rId615" w:history="1">
        <w:r w:rsidRPr="0019267D">
          <w:rPr>
            <w:rFonts w:ascii="Arial" w:hAnsi="Arial" w:cs="Arial"/>
            <w:i/>
            <w:iCs/>
            <w:color w:val="0000FF"/>
            <w:sz w:val="18"/>
            <w:szCs w:val="18"/>
          </w:rPr>
          <w:t>San Antonio Indep. Sch. Dist. v. Rodriguez,</w:t>
        </w:r>
      </w:hyperlink>
      <w:hyperlink r:id="rId616" w:history="1">
        <w:r w:rsidRPr="0019267D">
          <w:rPr>
            <w:rFonts w:ascii="Arial" w:hAnsi="Arial" w:cs="Arial"/>
            <w:color w:val="0000FF"/>
            <w:sz w:val="18"/>
            <w:szCs w:val="18"/>
          </w:rPr>
          <w:t xml:space="preserve"> 411 U.S. 1, 28, 93 S.Ct. 1278, 36 L.Ed.2d 16 (1973)</w:t>
        </w:r>
      </w:hyperlink>
      <w:r w:rsidRPr="0019267D">
        <w:rPr>
          <w:rFonts w:ascii="Arial" w:hAnsi="Arial" w:cs="Arial"/>
          <w:color w:val="000000"/>
          <w:sz w:val="18"/>
          <w:szCs w:val="18"/>
        </w:rPr>
        <w:t>. The Plaintiffs therefore urge the court to hold that sexual orientation should be considered at least a quasi-suspect class, a holding which would require the court to apply heightened scrutiny to its analysis of Amendment 3.</w:t>
      </w:r>
    </w:p>
    <w:p w14:paraId="4669299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B6D71F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declines to address the Plaintiffs' argument because it finds that it is bound by the Tenth Circuit's discussion of this issue. In </w:t>
      </w:r>
      <w:hyperlink r:id="rId617" w:history="1">
        <w:r w:rsidRPr="0019267D">
          <w:rPr>
            <w:rFonts w:ascii="Arial" w:hAnsi="Arial" w:cs="Arial"/>
            <w:i/>
            <w:iCs/>
            <w:color w:val="0000FF"/>
            <w:sz w:val="18"/>
            <w:szCs w:val="18"/>
          </w:rPr>
          <w:t>Price–Cornelison v. Brooks,</w:t>
        </w:r>
      </w:hyperlink>
      <w:r w:rsidRPr="0019267D">
        <w:rPr>
          <w:rFonts w:ascii="Arial" w:hAnsi="Arial" w:cs="Arial"/>
          <w:color w:val="000000"/>
          <w:sz w:val="18"/>
          <w:szCs w:val="18"/>
        </w:rPr>
        <w:t xml:space="preserve"> the Tenth Circuit considered a claim that an undersheriff refused to enforce a protective order because the domestic violence victim was a lesbian. </w:t>
      </w:r>
      <w:hyperlink r:id="rId618" w:history="1">
        <w:r w:rsidRPr="0019267D">
          <w:rPr>
            <w:rFonts w:ascii="Arial" w:hAnsi="Arial" w:cs="Arial"/>
            <w:color w:val="0000FF"/>
            <w:sz w:val="18"/>
            <w:szCs w:val="18"/>
          </w:rPr>
          <w:t>524 F.3d 1103, 1105 (2008)</w:t>
        </w:r>
      </w:hyperlink>
      <w:r w:rsidRPr="0019267D">
        <w:rPr>
          <w:rFonts w:ascii="Arial" w:hAnsi="Arial" w:cs="Arial"/>
          <w:color w:val="000000"/>
          <w:sz w:val="18"/>
          <w:szCs w:val="18"/>
        </w:rPr>
        <w:t xml:space="preserve">. The court held that the plaintiff's claim did not “implicate a protected class, which would warrant heightened scrutiny.” </w:t>
      </w:r>
      <w:hyperlink r:id="rId619" w:history="1">
        <w:r w:rsidRPr="0019267D">
          <w:rPr>
            <w:rFonts w:ascii="Arial" w:hAnsi="Arial" w:cs="Arial"/>
            <w:i/>
            <w:iCs/>
            <w:color w:val="0000FF"/>
            <w:sz w:val="18"/>
            <w:szCs w:val="18"/>
          </w:rPr>
          <w:t>Id.</w:t>
        </w:r>
      </w:hyperlink>
      <w:hyperlink r:id="rId620" w:history="1">
        <w:r w:rsidRPr="0019267D">
          <w:rPr>
            <w:rFonts w:ascii="Arial" w:hAnsi="Arial" w:cs="Arial"/>
            <w:color w:val="0000FF"/>
            <w:sz w:val="18"/>
            <w:szCs w:val="18"/>
          </w:rPr>
          <w:t xml:space="preserve"> at 1113.</w:t>
        </w:r>
      </w:hyperlink>
      <w:r w:rsidRPr="0019267D">
        <w:rPr>
          <w:rFonts w:ascii="Arial" w:hAnsi="Arial" w:cs="Arial"/>
          <w:color w:val="000000"/>
          <w:sz w:val="18"/>
          <w:szCs w:val="18"/>
        </w:rPr>
        <w:t xml:space="preserve"> In a footnote, the court supported its statement with a number of citations to cases from the Tenth Circuit and other Courts of Appeal. </w:t>
      </w:r>
      <w:r w:rsidRPr="0019267D">
        <w:rPr>
          <w:rFonts w:ascii="Arial" w:hAnsi="Arial" w:cs="Arial"/>
          <w:i/>
          <w:iCs/>
          <w:color w:val="000000"/>
          <w:sz w:val="18"/>
          <w:szCs w:val="18"/>
        </w:rPr>
        <w:t xml:space="preserve">See </w:t>
      </w:r>
      <w:hyperlink r:id="rId621" w:history="1">
        <w:r w:rsidRPr="0019267D">
          <w:rPr>
            <w:rFonts w:ascii="Arial" w:hAnsi="Arial" w:cs="Arial"/>
            <w:i/>
            <w:iCs/>
            <w:color w:val="0000FF"/>
            <w:sz w:val="18"/>
            <w:szCs w:val="18"/>
          </w:rPr>
          <w:t>id.</w:t>
        </w:r>
      </w:hyperlink>
      <w:hyperlink r:id="rId622" w:history="1">
        <w:r w:rsidRPr="0019267D">
          <w:rPr>
            <w:rFonts w:ascii="Arial" w:hAnsi="Arial" w:cs="Arial"/>
            <w:color w:val="0000FF"/>
            <w:sz w:val="18"/>
            <w:szCs w:val="18"/>
          </w:rPr>
          <w:t xml:space="preserve"> at 1113 n. 9.</w:t>
        </w:r>
      </w:hyperlink>
    </w:p>
    <w:p w14:paraId="40BA61C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94606F4"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42032351566" w:history="1">
        <w:r w:rsidR="00743F35" w:rsidRPr="0019267D">
          <w:rPr>
            <w:rFonts w:ascii="Arial" w:hAnsi="Arial" w:cs="Arial"/>
            <w:color w:val="0000FF"/>
            <w:sz w:val="18"/>
            <w:szCs w:val="18"/>
          </w:rPr>
          <w:t>[24]</w:t>
        </w:r>
      </w:hyperlink>
      <w:bookmarkStart w:id="88" w:name="Document1zzB242032351566"/>
      <w:bookmarkEnd w:id="88"/>
      <w:r w:rsidR="00743F35" w:rsidRPr="0019267D">
        <w:rPr>
          <w:rFonts w:ascii="Arial" w:hAnsi="Arial" w:cs="Arial"/>
          <w:color w:val="000000"/>
          <w:sz w:val="18"/>
          <w:szCs w:val="18"/>
        </w:rPr>
        <w:t xml:space="preserve"> The American Civil Liberties Union submitted an amicus brief arguing that the Tenth Circuit had no occasion to decide whether heightened scrutiny would be appropriate in </w:t>
      </w:r>
      <w:hyperlink r:id="rId623" w:history="1">
        <w:r w:rsidR="00743F35" w:rsidRPr="0019267D">
          <w:rPr>
            <w:rFonts w:ascii="Arial" w:hAnsi="Arial" w:cs="Arial"/>
            <w:i/>
            <w:iCs/>
            <w:color w:val="0000FF"/>
            <w:sz w:val="18"/>
            <w:szCs w:val="18"/>
          </w:rPr>
          <w:t>Price–Cornelison</w:t>
        </w:r>
      </w:hyperlink>
      <w:r w:rsidR="00743F35" w:rsidRPr="0019267D">
        <w:rPr>
          <w:rFonts w:ascii="Arial" w:hAnsi="Arial" w:cs="Arial"/>
          <w:color w:val="000000"/>
          <w:sz w:val="18"/>
          <w:szCs w:val="18"/>
        </w:rPr>
        <w:t xml:space="preserve"> because the court found that the discrimination at issue did not survive even rational basis review. </w:t>
      </w:r>
      <w:hyperlink r:id="rId624" w:history="1">
        <w:r w:rsidR="00743F35" w:rsidRPr="0019267D">
          <w:rPr>
            <w:rFonts w:ascii="Arial" w:hAnsi="Arial" w:cs="Arial"/>
            <w:i/>
            <w:iCs/>
            <w:color w:val="0000FF"/>
            <w:sz w:val="18"/>
            <w:szCs w:val="18"/>
          </w:rPr>
          <w:t>Id.</w:t>
        </w:r>
      </w:hyperlink>
      <w:hyperlink r:id="rId625" w:history="1">
        <w:r w:rsidR="00743F35" w:rsidRPr="0019267D">
          <w:rPr>
            <w:rFonts w:ascii="Arial" w:hAnsi="Arial" w:cs="Arial"/>
            <w:color w:val="0000FF"/>
            <w:sz w:val="18"/>
            <w:szCs w:val="18"/>
          </w:rPr>
          <w:t xml:space="preserve"> at 1114.</w:t>
        </w:r>
      </w:hyperlink>
      <w:r w:rsidR="00743F35" w:rsidRPr="0019267D">
        <w:rPr>
          <w:rFonts w:ascii="Arial" w:hAnsi="Arial" w:cs="Arial"/>
          <w:color w:val="000000"/>
          <w:sz w:val="18"/>
          <w:szCs w:val="18"/>
        </w:rPr>
        <w:t xml:space="preserve"> As a result, the ACLU contends that the Tenth Circuit's statement was dicta and not binding. The court is not persuaded by the ACLU's argument. Even if the Tenth Circuit did not need to reach this question, the court's extensive footnote in </w:t>
      </w:r>
      <w:hyperlink r:id="rId626" w:history="1">
        <w:r w:rsidR="00743F35" w:rsidRPr="0019267D">
          <w:rPr>
            <w:rFonts w:ascii="Arial" w:hAnsi="Arial" w:cs="Arial"/>
            <w:i/>
            <w:iCs/>
            <w:color w:val="0000FF"/>
            <w:sz w:val="18"/>
            <w:szCs w:val="18"/>
          </w:rPr>
          <w:t>Price–Cornelison</w:t>
        </w:r>
      </w:hyperlink>
      <w:r w:rsidR="00743F35" w:rsidRPr="0019267D">
        <w:rPr>
          <w:rFonts w:ascii="Arial" w:hAnsi="Arial" w:cs="Arial"/>
          <w:color w:val="000000"/>
          <w:sz w:val="18"/>
          <w:szCs w:val="18"/>
        </w:rPr>
        <w:t xml:space="preserve"> clearly indicates that the Tenth Circuit currently applies only rational basis review to classifications based on sexual orientation. Unless the Supreme Court or the Tenth Circuit hold differently, the court continues to follow this approach.</w:t>
      </w:r>
    </w:p>
    <w:p w14:paraId="1E859B8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6AD530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3. </w:t>
      </w:r>
      <w:r w:rsidRPr="0019267D">
        <w:rPr>
          <w:rFonts w:ascii="Arial" w:hAnsi="Arial" w:cs="Arial"/>
          <w:i/>
          <w:iCs/>
          <w:color w:val="000000"/>
          <w:sz w:val="18"/>
          <w:szCs w:val="18"/>
        </w:rPr>
        <w:t>Animus</w:t>
      </w:r>
    </w:p>
    <w:p w14:paraId="425809F7"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52032351566" w:history="1">
        <w:r w:rsidR="00743F35" w:rsidRPr="0019267D">
          <w:rPr>
            <w:rFonts w:ascii="Arial" w:hAnsi="Arial" w:cs="Arial"/>
            <w:color w:val="0000FF"/>
            <w:sz w:val="18"/>
            <w:szCs w:val="18"/>
          </w:rPr>
          <w:t>[25]</w:t>
        </w:r>
      </w:hyperlink>
      <w:bookmarkStart w:id="89" w:name="Document1zzB252032351566"/>
      <w:bookmarkEnd w:id="89"/>
      <w:r w:rsidR="00743F35" w:rsidRPr="0019267D">
        <w:rPr>
          <w:rFonts w:ascii="Arial" w:hAnsi="Arial" w:cs="Arial"/>
          <w:color w:val="000000"/>
          <w:sz w:val="18"/>
          <w:szCs w:val="18"/>
        </w:rPr>
        <w:t xml:space="preserve"> The Plaintiffs contend that Amendment 3 is based on animus against gay and lesbian individuals and that the court should therefore apply a heightened level of scrutiny to the law. As discussed below, there is some support for the Plaintiffs' argument in the Supreme Court opinions of </w:t>
      </w:r>
      <w:hyperlink r:id="rId627" w:history="1">
        <w:r w:rsidR="00743F35" w:rsidRPr="0019267D">
          <w:rPr>
            <w:rFonts w:ascii="Arial" w:hAnsi="Arial" w:cs="Arial"/>
            <w:i/>
            <w:iCs/>
            <w:color w:val="0000FF"/>
            <w:sz w:val="18"/>
            <w:szCs w:val="18"/>
          </w:rPr>
          <w:t>Romer v. Evans,</w:t>
        </w:r>
      </w:hyperlink>
      <w:hyperlink r:id="rId628" w:history="1">
        <w:r w:rsidR="00743F35" w:rsidRPr="0019267D">
          <w:rPr>
            <w:rFonts w:ascii="Arial" w:hAnsi="Arial" w:cs="Arial"/>
            <w:color w:val="0000FF"/>
            <w:sz w:val="18"/>
            <w:szCs w:val="18"/>
          </w:rPr>
          <w:t xml:space="preserve"> 517 U.S. 620, 116 S.Ct. 1620, 134 L.Ed.2d 855 (1996)</w:t>
        </w:r>
      </w:hyperlink>
      <w:r w:rsidR="00743F35" w:rsidRPr="0019267D">
        <w:rPr>
          <w:rFonts w:ascii="Arial" w:hAnsi="Arial" w:cs="Arial"/>
          <w:color w:val="000000"/>
          <w:sz w:val="18"/>
          <w:szCs w:val="18"/>
        </w:rPr>
        <w:t xml:space="preserve"> and </w:t>
      </w:r>
      <w:hyperlink r:id="rId629" w:history="1">
        <w:r w:rsidR="00743F35" w:rsidRPr="0019267D">
          <w:rPr>
            <w:rFonts w:ascii="Arial" w:hAnsi="Arial" w:cs="Arial"/>
            <w:i/>
            <w:iCs/>
            <w:color w:val="0000FF"/>
            <w:sz w:val="18"/>
            <w:szCs w:val="18"/>
          </w:rPr>
          <w:t>United States v. Windsor,</w:t>
        </w:r>
      </w:hyperlink>
      <w:hyperlink r:id="rId630" w:history="1">
        <w:r w:rsidR="00743F35" w:rsidRPr="0019267D">
          <w:rPr>
            <w:rFonts w:ascii="Arial" w:hAnsi="Arial" w:cs="Arial"/>
            <w:color w:val="0000FF"/>
            <w:sz w:val="18"/>
            <w:szCs w:val="18"/>
          </w:rPr>
          <w:t xml:space="preserve"> ––– U.S. ––––, 133 S.Ct. 2675, 186 L.Ed.2d 808 (2013)</w:t>
        </w:r>
      </w:hyperlink>
      <w:r w:rsidR="00743F35" w:rsidRPr="0019267D">
        <w:rPr>
          <w:rFonts w:ascii="Arial" w:hAnsi="Arial" w:cs="Arial"/>
          <w:color w:val="000000"/>
          <w:sz w:val="18"/>
          <w:szCs w:val="18"/>
        </w:rPr>
        <w:t>. But because the Supreme Court has not yet delineated the contours of such an approach, this court will continue to apply the standard rational basis test.</w:t>
      </w:r>
    </w:p>
    <w:p w14:paraId="4683265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061C63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w:t>
      </w:r>
      <w:hyperlink r:id="rId631"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the Supreme Court considered an amendment to the Colorado Constitution that prohibited any department or agency of the State of Colorado or any Colorado municipality from adopting any law or regulation that would protect gay men, lesbians, or bisexuals from discrimination. </w:t>
      </w:r>
      <w:hyperlink r:id="rId632" w:history="1">
        <w:r w:rsidRPr="0019267D">
          <w:rPr>
            <w:rFonts w:ascii="Arial" w:hAnsi="Arial" w:cs="Arial"/>
            <w:color w:val="0000FF"/>
            <w:sz w:val="18"/>
            <w:szCs w:val="18"/>
          </w:rPr>
          <w:t>517 U.S. at 624, 116 S.Ct. 1620.</w:t>
        </w:r>
      </w:hyperlink>
      <w:r w:rsidRPr="0019267D">
        <w:rPr>
          <w:rFonts w:ascii="Arial" w:hAnsi="Arial" w:cs="Arial"/>
          <w:color w:val="000000"/>
          <w:sz w:val="18"/>
          <w:szCs w:val="18"/>
        </w:rPr>
        <w:t xml:space="preserve"> The amendment not only prevented future attempts to establish these protections, but also repealed ordinances that had already been adopted by the cities of Denver, Boulder, and Aspen. </w:t>
      </w:r>
      <w:hyperlink r:id="rId633" w:history="1">
        <w:r w:rsidRPr="0019267D">
          <w:rPr>
            <w:rFonts w:ascii="Arial" w:hAnsi="Arial" w:cs="Arial"/>
            <w:i/>
            <w:iCs/>
            <w:color w:val="0000FF"/>
            <w:sz w:val="18"/>
            <w:szCs w:val="18"/>
          </w:rPr>
          <w:t>Id.</w:t>
        </w:r>
      </w:hyperlink>
      <w:hyperlink r:id="rId634" w:history="1">
        <w:r w:rsidRPr="0019267D">
          <w:rPr>
            <w:rFonts w:ascii="Arial" w:hAnsi="Arial" w:cs="Arial"/>
            <w:color w:val="0000FF"/>
            <w:sz w:val="18"/>
            <w:szCs w:val="18"/>
          </w:rPr>
          <w:t xml:space="preserve"> at 623–24, 116 S.Ct. 1620.</w:t>
        </w:r>
      </w:hyperlink>
      <w:r w:rsidRPr="0019267D">
        <w:rPr>
          <w:rFonts w:ascii="Arial" w:hAnsi="Arial" w:cs="Arial"/>
          <w:color w:val="000000"/>
          <w:sz w:val="18"/>
          <w:szCs w:val="18"/>
        </w:rPr>
        <w:t xml:space="preserve"> The Supreme Court held that the amendment was unconstitutional because it violated the Equal Protection Clause. </w:t>
      </w:r>
      <w:hyperlink r:id="rId635" w:history="1">
        <w:r w:rsidRPr="0019267D">
          <w:rPr>
            <w:rFonts w:ascii="Arial" w:hAnsi="Arial" w:cs="Arial"/>
            <w:i/>
            <w:iCs/>
            <w:color w:val="0000FF"/>
            <w:sz w:val="18"/>
            <w:szCs w:val="18"/>
          </w:rPr>
          <w:t>Id.</w:t>
        </w:r>
      </w:hyperlink>
      <w:hyperlink r:id="rId636" w:history="1">
        <w:r w:rsidRPr="0019267D">
          <w:rPr>
            <w:rFonts w:ascii="Arial" w:hAnsi="Arial" w:cs="Arial"/>
            <w:color w:val="0000FF"/>
            <w:sz w:val="18"/>
            <w:szCs w:val="18"/>
          </w:rPr>
          <w:t xml:space="preserve"> at 635, 116 S.Ct. 1620.</w:t>
        </w:r>
      </w:hyperlink>
      <w:r w:rsidRPr="0019267D">
        <w:rPr>
          <w:rFonts w:ascii="Arial" w:hAnsi="Arial" w:cs="Arial"/>
          <w:color w:val="000000"/>
          <w:sz w:val="18"/>
          <w:szCs w:val="18"/>
        </w:rPr>
        <w:t xml:space="preserve"> While the Court cited the rational basis test, the Court also stated that the </w:t>
      </w:r>
      <w:r w:rsidRPr="0019267D">
        <w:rPr>
          <w:rFonts w:ascii="Arial" w:hAnsi="Arial" w:cs="Arial"/>
          <w:color w:val="000000"/>
          <w:sz w:val="18"/>
          <w:szCs w:val="18"/>
        </w:rPr>
        <w:lastRenderedPageBreak/>
        <w:t xml:space="preserve">Colorado law “confound[ed] this normal process of judicial review.” </w:t>
      </w:r>
      <w:hyperlink r:id="rId637" w:history="1">
        <w:r w:rsidRPr="0019267D">
          <w:rPr>
            <w:rFonts w:ascii="Arial" w:hAnsi="Arial" w:cs="Arial"/>
            <w:i/>
            <w:iCs/>
            <w:color w:val="0000FF"/>
            <w:sz w:val="18"/>
            <w:szCs w:val="18"/>
          </w:rPr>
          <w:t>Id.</w:t>
        </w:r>
      </w:hyperlink>
      <w:hyperlink r:id="rId638" w:history="1">
        <w:r w:rsidRPr="0019267D">
          <w:rPr>
            <w:rFonts w:ascii="Arial" w:hAnsi="Arial" w:cs="Arial"/>
            <w:color w:val="0000FF"/>
            <w:sz w:val="18"/>
            <w:szCs w:val="18"/>
          </w:rPr>
          <w:t xml:space="preserve"> at 633, 116 S.Ct. 1620.</w:t>
        </w:r>
      </w:hyperlink>
      <w:r w:rsidRPr="0019267D">
        <w:rPr>
          <w:rFonts w:ascii="Arial" w:hAnsi="Arial" w:cs="Arial"/>
          <w:color w:val="000000"/>
          <w:sz w:val="18"/>
          <w:szCs w:val="18"/>
        </w:rPr>
        <w:t xml:space="preserve"> The Court then held that the law had no rational relation to a legitimate end for two reasons. First, the Court ruled that it was not “within our constitutional tradition” to enact a law “declaring that in general it shall be more difficult for one group of citizens than for all others to seek aid from the government[.]” </w:t>
      </w:r>
      <w:hyperlink r:id="rId639" w:history="1">
        <w:r w:rsidRPr="0019267D">
          <w:rPr>
            <w:rFonts w:ascii="Arial" w:hAnsi="Arial" w:cs="Arial"/>
            <w:i/>
            <w:iCs/>
            <w:color w:val="0000FF"/>
            <w:sz w:val="18"/>
            <w:szCs w:val="18"/>
          </w:rPr>
          <w:t>Id.</w:t>
        </w:r>
      </w:hyperlink>
      <w:r w:rsidRPr="0019267D">
        <w:rPr>
          <w:rFonts w:ascii="Arial" w:hAnsi="Arial" w:cs="Arial"/>
          <w:color w:val="000000"/>
          <w:sz w:val="18"/>
          <w:szCs w:val="18"/>
        </w:rPr>
        <w:t xml:space="preserve"> Second, the Court held that “laws of the kind now before us raise the inevitable inference that the disadvantage imposed is born of animosity toward the class of persons affected.” </w:t>
      </w:r>
      <w:hyperlink r:id="rId640" w:history="1">
        <w:r w:rsidRPr="0019267D">
          <w:rPr>
            <w:rFonts w:ascii="Arial" w:hAnsi="Arial" w:cs="Arial"/>
            <w:i/>
            <w:iCs/>
            <w:color w:val="0000FF"/>
            <w:sz w:val="18"/>
            <w:szCs w:val="18"/>
          </w:rPr>
          <w:t>Id.</w:t>
        </w:r>
      </w:hyperlink>
      <w:hyperlink r:id="rId641" w:history="1">
        <w:r w:rsidRPr="0019267D">
          <w:rPr>
            <w:rFonts w:ascii="Arial" w:hAnsi="Arial" w:cs="Arial"/>
            <w:color w:val="0000FF"/>
            <w:sz w:val="18"/>
            <w:szCs w:val="18"/>
          </w:rPr>
          <w:t xml:space="preserve"> at 634, 116 S.Ct. 1620.</w:t>
        </w:r>
      </w:hyperlink>
      <w:r w:rsidRPr="0019267D">
        <w:rPr>
          <w:rFonts w:ascii="Arial" w:hAnsi="Arial" w:cs="Arial"/>
          <w:color w:val="000000"/>
          <w:sz w:val="18"/>
          <w:szCs w:val="18"/>
        </w:rPr>
        <w:t xml:space="preserve"> The Court's analysis focused more on the purpose and effect of the Colorado amendment than on a consideration of the purported legitimate interests the State asserted in support of its law.</w:t>
      </w:r>
    </w:p>
    <w:p w14:paraId="31FF2A0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4FCA298"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Supreme Court's opinion in </w:t>
      </w:r>
      <w:hyperlink r:id="rId642"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is similar. The Court did not analyze the legitimate interests cited by DOMA's defenders as would be typical in a rational basis review. </w:t>
      </w:r>
      <w:r w:rsidRPr="0019267D">
        <w:rPr>
          <w:rFonts w:ascii="Arial" w:hAnsi="Arial" w:cs="Arial"/>
          <w:i/>
          <w:iCs/>
          <w:color w:val="000000"/>
          <w:sz w:val="18"/>
          <w:szCs w:val="18"/>
        </w:rPr>
        <w:t xml:space="preserve">See </w:t>
      </w:r>
      <w:hyperlink r:id="rId643" w:history="1">
        <w:r w:rsidRPr="0019267D">
          <w:rPr>
            <w:rFonts w:ascii="Arial" w:hAnsi="Arial" w:cs="Arial"/>
            <w:i/>
            <w:iCs/>
            <w:color w:val="0000FF"/>
            <w:sz w:val="18"/>
            <w:szCs w:val="18"/>
          </w:rPr>
          <w:t>Windsor,</w:t>
        </w:r>
      </w:hyperlink>
      <w:hyperlink r:id="rId644" w:history="1">
        <w:r w:rsidRPr="0019267D">
          <w:rPr>
            <w:rFonts w:ascii="Arial" w:hAnsi="Arial" w:cs="Arial"/>
            <w:color w:val="0000FF"/>
            <w:sz w:val="18"/>
            <w:szCs w:val="18"/>
          </w:rPr>
          <w:t xml:space="preserve"> 133 S.Ct. at 2707</w:t>
        </w:r>
      </w:hyperlink>
      <w:r w:rsidRPr="0019267D">
        <w:rPr>
          <w:rFonts w:ascii="Arial" w:hAnsi="Arial" w:cs="Arial"/>
          <w:color w:val="000000"/>
          <w:sz w:val="18"/>
          <w:szCs w:val="18"/>
        </w:rPr>
        <w:t xml:space="preserve"> (Scalia, J., dissenting) (“[The majority] makes only a passing mention of the ‘arguments put forward’ by the Act's defenders, and does not even trouble to paraphrase or describe them.”). Instead, the Court focused on the “design, purpose, and effect of DOMA,” </w:t>
      </w:r>
      <w:hyperlink r:id="rId645" w:history="1">
        <w:r w:rsidRPr="0019267D">
          <w:rPr>
            <w:rFonts w:ascii="Arial" w:hAnsi="Arial" w:cs="Arial"/>
            <w:i/>
            <w:iCs/>
            <w:color w:val="0000FF"/>
            <w:sz w:val="18"/>
            <w:szCs w:val="18"/>
          </w:rPr>
          <w:t>id.</w:t>
        </w:r>
      </w:hyperlink>
      <w:hyperlink r:id="rId646" w:history="1">
        <w:r w:rsidRPr="0019267D">
          <w:rPr>
            <w:rFonts w:ascii="Arial" w:hAnsi="Arial" w:cs="Arial"/>
            <w:color w:val="0000FF"/>
            <w:sz w:val="18"/>
            <w:szCs w:val="18"/>
          </w:rPr>
          <w:t xml:space="preserve"> at 2689,</w:t>
        </w:r>
      </w:hyperlink>
      <w:r w:rsidRPr="0019267D">
        <w:rPr>
          <w:rFonts w:ascii="Arial" w:hAnsi="Arial" w:cs="Arial"/>
          <w:color w:val="000000"/>
          <w:sz w:val="18"/>
          <w:szCs w:val="18"/>
        </w:rPr>
        <w:t xml:space="preserve"> and held that the law's “avowed purpose and practical effect” was “to impose a disadvantage, a separate status, and so a stigma” on same-sex couples that a state had permitted to wed. </w:t>
      </w:r>
      <w:hyperlink r:id="rId647" w:history="1">
        <w:r w:rsidRPr="0019267D">
          <w:rPr>
            <w:rFonts w:ascii="Arial" w:hAnsi="Arial" w:cs="Arial"/>
            <w:i/>
            <w:iCs/>
            <w:color w:val="0000FF"/>
            <w:sz w:val="18"/>
            <w:szCs w:val="18"/>
          </w:rPr>
          <w:t>Id.</w:t>
        </w:r>
      </w:hyperlink>
      <w:hyperlink r:id="rId648" w:history="1">
        <w:r w:rsidRPr="0019267D">
          <w:rPr>
            <w:rFonts w:ascii="Arial" w:hAnsi="Arial" w:cs="Arial"/>
            <w:color w:val="0000FF"/>
            <w:sz w:val="18"/>
            <w:szCs w:val="18"/>
          </w:rPr>
          <w:t xml:space="preserve"> at 2693.</w:t>
        </w:r>
      </w:hyperlink>
      <w:r w:rsidRPr="0019267D">
        <w:rPr>
          <w:rFonts w:ascii="Arial" w:hAnsi="Arial" w:cs="Arial"/>
          <w:color w:val="000000"/>
          <w:sz w:val="18"/>
          <w:szCs w:val="18"/>
        </w:rPr>
        <w:t xml:space="preserve"> Because DOMA's “principal purpose” was “to impose inequality,” </w:t>
      </w:r>
      <w:hyperlink r:id="rId649" w:history="1">
        <w:r w:rsidRPr="0019267D">
          <w:rPr>
            <w:rFonts w:ascii="Arial" w:hAnsi="Arial" w:cs="Arial"/>
            <w:i/>
            <w:iCs/>
            <w:color w:val="0000FF"/>
            <w:sz w:val="18"/>
            <w:szCs w:val="18"/>
          </w:rPr>
          <w:t>id.</w:t>
        </w:r>
      </w:hyperlink>
      <w:hyperlink r:id="rId650" w:history="1">
        <w:r w:rsidRPr="0019267D">
          <w:rPr>
            <w:rFonts w:ascii="Arial" w:hAnsi="Arial" w:cs="Arial"/>
            <w:color w:val="0000FF"/>
            <w:sz w:val="18"/>
            <w:szCs w:val="18"/>
          </w:rPr>
          <w:t xml:space="preserve"> at 2694,</w:t>
        </w:r>
      </w:hyperlink>
      <w:r w:rsidRPr="0019267D">
        <w:rPr>
          <w:rFonts w:ascii="Arial" w:hAnsi="Arial" w:cs="Arial"/>
          <w:color w:val="000000"/>
          <w:sz w:val="18"/>
          <w:szCs w:val="18"/>
        </w:rPr>
        <w:t xml:space="preserve"> the Court ruled that the law deprived legally wed same-sex couples of “an essential part of the liberty protected by the Fifth Amendment.” </w:t>
      </w:r>
      <w:hyperlink r:id="rId651" w:history="1">
        <w:r w:rsidRPr="0019267D">
          <w:rPr>
            <w:rFonts w:ascii="Arial" w:hAnsi="Arial" w:cs="Arial"/>
            <w:i/>
            <w:iCs/>
            <w:color w:val="0000FF"/>
            <w:sz w:val="18"/>
            <w:szCs w:val="18"/>
          </w:rPr>
          <w:t>Id.</w:t>
        </w:r>
      </w:hyperlink>
      <w:hyperlink r:id="rId652" w:history="1">
        <w:r w:rsidRPr="0019267D">
          <w:rPr>
            <w:rFonts w:ascii="Arial" w:hAnsi="Arial" w:cs="Arial"/>
            <w:color w:val="0000FF"/>
            <w:sz w:val="18"/>
            <w:szCs w:val="18"/>
          </w:rPr>
          <w:t xml:space="preserve"> at 2692.</w:t>
        </w:r>
      </w:hyperlink>
    </w:p>
    <w:p w14:paraId="0AF6565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75B3F7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both </w:t>
      </w:r>
      <w:hyperlink r:id="rId653"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and </w:t>
      </w:r>
      <w:hyperlink r:id="rId65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 Court cited the following statement from </w:t>
      </w:r>
      <w:hyperlink r:id="rId655" w:history="1">
        <w:r w:rsidRPr="0019267D">
          <w:rPr>
            <w:rFonts w:ascii="Arial" w:hAnsi="Arial" w:cs="Arial"/>
            <w:i/>
            <w:iCs/>
            <w:color w:val="0000FF"/>
            <w:sz w:val="18"/>
            <w:szCs w:val="18"/>
          </w:rPr>
          <w:t>Louisville Gas &amp; Elec. Co. v. Coleman:</w:t>
        </w:r>
      </w:hyperlink>
      <w:r w:rsidRPr="0019267D">
        <w:rPr>
          <w:rFonts w:ascii="Arial" w:hAnsi="Arial" w:cs="Arial"/>
          <w:color w:val="000000"/>
          <w:sz w:val="18"/>
          <w:szCs w:val="18"/>
        </w:rPr>
        <w:t xml:space="preserve"> “Discriminations of an unusual character especially suggest careful consideration to determine whether they are obnoxious to the constitutional provision.” </w:t>
      </w:r>
      <w:hyperlink r:id="rId656" w:history="1">
        <w:r w:rsidRPr="0019267D">
          <w:rPr>
            <w:rFonts w:ascii="Arial" w:hAnsi="Arial" w:cs="Arial"/>
            <w:color w:val="0000FF"/>
            <w:sz w:val="18"/>
            <w:szCs w:val="18"/>
          </w:rPr>
          <w:t>277 U.S. 32, 37–38, 48 S.Ct. 423, 72 L.Ed. 770 (1928)</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quoted in </w:t>
      </w:r>
      <w:hyperlink r:id="rId657" w:history="1">
        <w:r w:rsidRPr="0019267D">
          <w:rPr>
            <w:rFonts w:ascii="Arial" w:hAnsi="Arial" w:cs="Arial"/>
            <w:i/>
            <w:iCs/>
            <w:color w:val="0000FF"/>
            <w:sz w:val="18"/>
            <w:szCs w:val="18"/>
          </w:rPr>
          <w:t>Romer,</w:t>
        </w:r>
      </w:hyperlink>
      <w:hyperlink r:id="rId658" w:history="1">
        <w:r w:rsidRPr="0019267D">
          <w:rPr>
            <w:rFonts w:ascii="Arial" w:hAnsi="Arial" w:cs="Arial"/>
            <w:color w:val="0000FF"/>
            <w:sz w:val="18"/>
            <w:szCs w:val="18"/>
          </w:rPr>
          <w:t xml:space="preserve"> 517 U.S. at 633, 116 S.Ct. 1620.</w:t>
        </w:r>
      </w:hyperlink>
      <w:r w:rsidRPr="0019267D">
        <w:rPr>
          <w:rFonts w:ascii="Arial" w:hAnsi="Arial" w:cs="Arial"/>
          <w:color w:val="000000"/>
          <w:sz w:val="18"/>
          <w:szCs w:val="18"/>
        </w:rPr>
        <w:t xml:space="preserve"> Indeed, the </w:t>
      </w:r>
      <w:hyperlink r:id="rId659"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Court held that “discriminations of an unusual character especially </w:t>
      </w:r>
      <w:r w:rsidRPr="0019267D">
        <w:rPr>
          <w:rFonts w:ascii="Arial" w:hAnsi="Arial" w:cs="Arial"/>
          <w:i/>
          <w:iCs/>
          <w:color w:val="000000"/>
          <w:sz w:val="18"/>
          <w:szCs w:val="18"/>
        </w:rPr>
        <w:t>require</w:t>
      </w:r>
      <w:r w:rsidRPr="0019267D">
        <w:rPr>
          <w:rFonts w:ascii="Arial" w:hAnsi="Arial" w:cs="Arial"/>
          <w:color w:val="000000"/>
          <w:sz w:val="18"/>
          <w:szCs w:val="18"/>
        </w:rPr>
        <w:t xml:space="preserve"> careful consideration.” </w:t>
      </w:r>
      <w:hyperlink r:id="rId660" w:history="1">
        <w:r w:rsidRPr="0019267D">
          <w:rPr>
            <w:rFonts w:ascii="Arial" w:hAnsi="Arial" w:cs="Arial"/>
            <w:color w:val="0000FF"/>
            <w:sz w:val="18"/>
            <w:szCs w:val="18"/>
          </w:rPr>
          <w:t>133 S.Ct. at 2693</w:t>
        </w:r>
      </w:hyperlink>
      <w:r w:rsidRPr="0019267D">
        <w:rPr>
          <w:rFonts w:ascii="Arial" w:hAnsi="Arial" w:cs="Arial"/>
          <w:color w:val="000000"/>
          <w:sz w:val="18"/>
          <w:szCs w:val="18"/>
        </w:rPr>
        <w:t xml:space="preserve"> (emphasis added) (citation omitted). The Court's emphasis on discriminations of an unusual character suggests that, when presented with an equal protection challenge, courts should first analyze the law's design, purpose, and effect to determine whether the law is subject to “careful consideration.” If the principal purpose or effect of a law is to impose inequality, a court need not even consider whether the class of citizens that the law effects requires heightened scrutiny or a rational basis approach. Such laws are “not within our constitutional tradition,” </w:t>
      </w:r>
      <w:hyperlink r:id="rId661" w:history="1">
        <w:r w:rsidRPr="0019267D">
          <w:rPr>
            <w:rFonts w:ascii="Arial" w:hAnsi="Arial" w:cs="Arial"/>
            <w:i/>
            <w:iCs/>
            <w:color w:val="0000FF"/>
            <w:sz w:val="18"/>
            <w:szCs w:val="18"/>
          </w:rPr>
          <w:t>Romer,</w:t>
        </w:r>
      </w:hyperlink>
      <w:hyperlink r:id="rId662" w:history="1">
        <w:r w:rsidRPr="0019267D">
          <w:rPr>
            <w:rFonts w:ascii="Arial" w:hAnsi="Arial" w:cs="Arial"/>
            <w:color w:val="0000FF"/>
            <w:sz w:val="18"/>
            <w:szCs w:val="18"/>
          </w:rPr>
          <w:t xml:space="preserve"> 517 U.S. at 633, 116 S.Ct. 1620,</w:t>
        </w:r>
      </w:hyperlink>
      <w:r w:rsidRPr="0019267D">
        <w:rPr>
          <w:rFonts w:ascii="Arial" w:hAnsi="Arial" w:cs="Arial"/>
          <w:color w:val="000000"/>
          <w:sz w:val="18"/>
          <w:szCs w:val="18"/>
        </w:rPr>
        <w:t xml:space="preserve"> and violate the Equal Protection Clause regardless of the class of citizens that bears the disabilities imposed by the law. If, on the other hand, the law merely distributes benefits unevenly, then the law is subject to heightened scrutiny only if the disadvantages imposed by that law are borne by a class of people that has a history of oppression and political powerlessness.</w:t>
      </w:r>
    </w:p>
    <w:p w14:paraId="729F903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E6CD78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While this analysis appears to follow the Supreme Court's reasoning in </w:t>
      </w:r>
      <w:hyperlink r:id="rId663"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and </w:t>
      </w:r>
      <w:hyperlink r:id="rId66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the court is wary of adopting such an approach here in the absence of more explicit guidance. For instance, the Supreme Court has not elaborated how a court should determine whether a law imposes a discrimination of an unusual character. There are a number of reasons why Amendment 3 is similar to both DOMA and the Colorado amendment that the Supreme Court struck down in </w:t>
      </w:r>
      <w:hyperlink r:id="rId665"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and </w:t>
      </w:r>
      <w:hyperlink r:id="rId666"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First, the avowed purpose and practical effect of Amendment 3 is to deny the responsibilities and benefits of marriage to same-sex couples, which is another way of saying that the law imposes inequality. Indeed, Amendment 3 went beyond denying gay and lesbian individuals the right to marry and held that no domestic union could be given the same or substantially equivalent legal effect as marriage. This wording suggests that the imposition of inequality was not merely the law's effect, but its goal.</w:t>
      </w:r>
    </w:p>
    <w:p w14:paraId="6095944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566958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Second, Amendment 3 has an unusual character when viewed within the historical context in which it was passed. Even though Utah already had statutory provisions that restricted marriage to opposite-sex couples, the State nevertheless passed a constitutional amendment to codify this prohibition. This action is only logical when viewed against the developments in Massachusetts, whose Supreme Court held in 2003 that the Massachusetts Constitution required the recognition of same-sex marriages. </w:t>
      </w:r>
      <w:hyperlink r:id="rId667" w:history="1">
        <w:r w:rsidRPr="0019267D">
          <w:rPr>
            <w:rFonts w:ascii="Arial" w:hAnsi="Arial" w:cs="Arial"/>
            <w:i/>
            <w:iCs/>
            <w:color w:val="0000FF"/>
            <w:sz w:val="18"/>
            <w:szCs w:val="18"/>
          </w:rPr>
          <w:t>Goodridge v. Dep't of Pub. Health,</w:t>
        </w:r>
      </w:hyperlink>
      <w:hyperlink r:id="rId668" w:history="1">
        <w:r w:rsidRPr="0019267D">
          <w:rPr>
            <w:rFonts w:ascii="Arial" w:hAnsi="Arial" w:cs="Arial"/>
            <w:color w:val="0000FF"/>
            <w:sz w:val="18"/>
            <w:szCs w:val="18"/>
          </w:rPr>
          <w:t xml:space="preserve"> 440 Mass. 309, 798 N.E.2d 941, 948 (2003)</w:t>
        </w:r>
      </w:hyperlink>
      <w:r w:rsidRPr="0019267D">
        <w:rPr>
          <w:rFonts w:ascii="Arial" w:hAnsi="Arial" w:cs="Arial"/>
          <w:color w:val="000000"/>
          <w:sz w:val="18"/>
          <w:szCs w:val="18"/>
        </w:rPr>
        <w:t>. The Utah legislature believed that a constitutional amendment was necessary to maintain Utah's ban on same-sex marriage because of the possibility that a Utah court would adopt reasoning similar to the Massachusetts Supreme Court and hold that the Utah Constitution already protected an individual's right to marry a same-sex partner. Amendment 3 thereby preemptively denied rights to gay and lesbian citizens of Utah that they may have already had under the Utah Constitution.</w:t>
      </w:r>
    </w:p>
    <w:p w14:paraId="2B8424AE"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77FF49E"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But there are also reasons why Amendment 3 may be distinguishable from the laws the Supreme Court has previously held to be discriminations of an unusual character. Most notably, the Court has not articulated to what extent such a discrimination must be motivated by a “bare ... desire to harm a politically unpopular group.” </w:t>
      </w:r>
      <w:hyperlink r:id="rId669" w:history="1">
        <w:r w:rsidRPr="0019267D">
          <w:rPr>
            <w:rFonts w:ascii="Arial" w:hAnsi="Arial" w:cs="Arial"/>
            <w:i/>
            <w:iCs/>
            <w:color w:val="0000FF"/>
            <w:sz w:val="18"/>
            <w:szCs w:val="18"/>
          </w:rPr>
          <w:t>U.S. Dep't of Agric. v. Moreno,</w:t>
        </w:r>
      </w:hyperlink>
      <w:hyperlink r:id="rId670" w:history="1">
        <w:r w:rsidRPr="0019267D">
          <w:rPr>
            <w:rFonts w:ascii="Arial" w:hAnsi="Arial" w:cs="Arial"/>
            <w:color w:val="0000FF"/>
            <w:sz w:val="18"/>
            <w:szCs w:val="18"/>
          </w:rPr>
          <w:t xml:space="preserve"> 413 U.S. 528, 534, 93 S.Ct. 2821, 37 L.Ed.2d 782 (1973)</w:t>
        </w:r>
      </w:hyperlink>
      <w:r w:rsidRPr="0019267D">
        <w:rPr>
          <w:rFonts w:ascii="Arial" w:hAnsi="Arial" w:cs="Arial"/>
          <w:color w:val="000000"/>
          <w:sz w:val="18"/>
          <w:szCs w:val="18"/>
        </w:rPr>
        <w:t xml:space="preserve">. The Plaintiffs argue that Amendment 3 was motivated by animus and urge the court to consider the statements in the Voter Information Pamphlet that was provided to Utah voters. The Pamphlet includes arguments made by Amendment 3's proponents that the amendment was necessary to “maintain[ ] public morality” and to ensure the continuation of </w:t>
      </w:r>
      <w:r w:rsidRPr="0019267D">
        <w:rPr>
          <w:rFonts w:ascii="Arial" w:hAnsi="Arial" w:cs="Arial"/>
          <w:color w:val="000000"/>
          <w:sz w:val="18"/>
          <w:szCs w:val="18"/>
        </w:rPr>
        <w:lastRenderedPageBreak/>
        <w:t>“the ideal relationship where men, women and children thrive best.” (Utah Voter Information Pamphlet to General Election on Nov. 2, 2004, at 36, Dkt. 32–2.) The Plaintiffs submit that these statements demonstrate that Amendment 3 was adopted to further privately held moral views that same-sex couples are immoral and inferior to opposite-sex couples.</w:t>
      </w:r>
    </w:p>
    <w:p w14:paraId="52D7F6D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2264F3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While the Plaintiffs argue that many Utah citizens voted for Amendment 3 out of a dislike of gay and lesbian individuals, the court finds that it is impossible to determine what was in the mind of each individual voter. Some citizens may have voted for Amendment 3 purely out of a belief that the amendment would protect the benefits of opposite-sex marriage. Of course, good intentions do not save a law if the law bears no rational connection to its stated legitimate interests, but this analysis is the test the court applies when it follows the Supreme Court's rational basis jurisprudence. It is unclear how a mix of animus and good intentions affects the determination of whether a law imposes a discrimination of such unusual character that it requires the court to give it careful consideration.</w:t>
      </w:r>
    </w:p>
    <w:p w14:paraId="52BA673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415BE0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any event, the theory of heightened scrutiny that the Plaintiffs advocate is not necessary to the court's determination of Amendment 3's constitutionality. The court has already held that Amendment 3 burdens the Plaintiffs' fundamental right to marriage and is therefore subject to strict scrutiny. And, as discussed below, the court finds that Amendment 3 bears no rational relationship to any legitimate state interests and therefore fails rational basis review. It may be that some laws neither burden a fundamental right nor target a suspect class, but nevertheless impose a discrimination of such unusual character that a court must review a challenge to such a law with careful consideration. But the court's analysis here does not hinge on that type of heightened review. The court therefore proceeds to apply the well-settled rational basis test to Amendment 3.</w:t>
      </w:r>
    </w:p>
    <w:p w14:paraId="6129179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07A18E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B. </w:t>
      </w:r>
      <w:r w:rsidRPr="0019267D">
        <w:rPr>
          <w:rFonts w:ascii="Arial" w:hAnsi="Arial" w:cs="Arial"/>
          <w:i/>
          <w:iCs/>
          <w:color w:val="000000"/>
          <w:sz w:val="18"/>
          <w:szCs w:val="18"/>
        </w:rPr>
        <w:t>Rational Basis Review</w:t>
      </w:r>
    </w:p>
    <w:p w14:paraId="6719253C"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62032351566" w:history="1">
        <w:r w:rsidR="00743F35" w:rsidRPr="0019267D">
          <w:rPr>
            <w:rFonts w:ascii="Arial" w:hAnsi="Arial" w:cs="Arial"/>
            <w:color w:val="0000FF"/>
            <w:sz w:val="18"/>
            <w:szCs w:val="18"/>
          </w:rPr>
          <w:t>[26]</w:t>
        </w:r>
      </w:hyperlink>
      <w:bookmarkStart w:id="90" w:name="Document1zzB262032351566"/>
      <w:bookmarkEnd w:id="90"/>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"Document1zzF272032351566"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[27]</w:t>
      </w:r>
      <w:r w:rsidR="00743F35" w:rsidRPr="0019267D">
        <w:rPr>
          <w:rFonts w:ascii="Arial" w:hAnsi="Arial" w:cs="Arial"/>
          <w:color w:val="000000"/>
          <w:sz w:val="18"/>
          <w:szCs w:val="18"/>
        </w:rPr>
        <w:fldChar w:fldCharType="end"/>
      </w:r>
      <w:bookmarkStart w:id="91" w:name="Document1zzB272032351566"/>
      <w:bookmarkEnd w:id="91"/>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"Document1zzF282032351566"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[28]</w:t>
      </w:r>
      <w:r w:rsidR="00743F35" w:rsidRPr="0019267D">
        <w:rPr>
          <w:rFonts w:ascii="Arial" w:hAnsi="Arial" w:cs="Arial"/>
          <w:color w:val="000000"/>
          <w:sz w:val="18"/>
          <w:szCs w:val="18"/>
        </w:rPr>
        <w:fldChar w:fldCharType="end"/>
      </w:r>
      <w:bookmarkStart w:id="92" w:name="Document1zzB282032351566"/>
      <w:bookmarkEnd w:id="92"/>
      <w:r w:rsidR="00743F35" w:rsidRPr="0019267D">
        <w:rPr>
          <w:rFonts w:ascii="Arial" w:hAnsi="Arial" w:cs="Arial"/>
          <w:color w:val="000000"/>
          <w:sz w:val="18"/>
          <w:szCs w:val="18"/>
        </w:rPr>
        <w:t xml:space="preserve"> When a law creates a classification but does not target a suspect class or burden a fundamental right, the court presumes the law is valid and will uphold it so long as it rationally relates to some legitimate governmental purpose. </w:t>
      </w:r>
      <w:r w:rsidR="00743F35" w:rsidRPr="0019267D">
        <w:rPr>
          <w:rFonts w:ascii="Arial" w:hAnsi="Arial" w:cs="Arial"/>
          <w:i/>
          <w:iCs/>
          <w:color w:val="000000"/>
          <w:sz w:val="18"/>
          <w:szCs w:val="18"/>
        </w:rPr>
        <w:t xml:space="preserve">See </w:t>
      </w:r>
      <w:hyperlink r:id="rId671" w:history="1">
        <w:r w:rsidR="00743F35" w:rsidRPr="0019267D">
          <w:rPr>
            <w:rFonts w:ascii="Arial" w:hAnsi="Arial" w:cs="Arial"/>
            <w:i/>
            <w:iCs/>
            <w:color w:val="0000FF"/>
            <w:sz w:val="18"/>
            <w:szCs w:val="18"/>
          </w:rPr>
          <w:t>Heller v. Doe,</w:t>
        </w:r>
      </w:hyperlink>
      <w:hyperlink r:id="rId672" w:history="1">
        <w:r w:rsidR="00743F35" w:rsidRPr="0019267D">
          <w:rPr>
            <w:rFonts w:ascii="Arial" w:hAnsi="Arial" w:cs="Arial"/>
            <w:color w:val="0000FF"/>
            <w:sz w:val="18"/>
            <w:szCs w:val="18"/>
          </w:rPr>
          <w:t xml:space="preserve"> 509 U.S. 312, 319, 113 S.Ct. 2637, 125 L.Ed.2d 257 (1993)</w:t>
        </w:r>
      </w:hyperlink>
      <w:r w:rsidR="00743F35" w:rsidRPr="0019267D">
        <w:rPr>
          <w:rFonts w:ascii="Arial" w:hAnsi="Arial" w:cs="Arial"/>
          <w:color w:val="000000"/>
          <w:sz w:val="18"/>
          <w:szCs w:val="18"/>
        </w:rPr>
        <w:t xml:space="preserve">. The court defers to the judgment of the legislature or the judgment of the people who have spoken through a referendum if there is at least a debatable question whether the underlying basis for the classification is rational. </w:t>
      </w:r>
      <w:r w:rsidR="00743F35" w:rsidRPr="0019267D">
        <w:rPr>
          <w:rFonts w:ascii="Arial" w:hAnsi="Arial" w:cs="Arial"/>
          <w:i/>
          <w:iCs/>
          <w:color w:val="000000"/>
          <w:sz w:val="18"/>
          <w:szCs w:val="18"/>
        </w:rPr>
        <w:t xml:space="preserve">See </w:t>
      </w:r>
      <w:hyperlink r:id="rId673" w:history="1">
        <w:r w:rsidR="00743F35" w:rsidRPr="0019267D">
          <w:rPr>
            <w:rFonts w:ascii="Arial" w:hAnsi="Arial" w:cs="Arial"/>
            <w:i/>
            <w:iCs/>
            <w:color w:val="0000FF"/>
            <w:sz w:val="18"/>
            <w:szCs w:val="18"/>
          </w:rPr>
          <w:t>Minnesota v. Clover Leaf Creamery Co.,</w:t>
        </w:r>
      </w:hyperlink>
      <w:hyperlink r:id="rId674" w:history="1">
        <w:r w:rsidR="00743F35" w:rsidRPr="0019267D">
          <w:rPr>
            <w:rFonts w:ascii="Arial" w:hAnsi="Arial" w:cs="Arial"/>
            <w:color w:val="0000FF"/>
            <w:sz w:val="18"/>
            <w:szCs w:val="18"/>
          </w:rPr>
          <w:t xml:space="preserve"> 449 U.S. 456, 464, 101 S.Ct. 715, 66 L.Ed.2d 659 (1981)</w:t>
        </w:r>
      </w:hyperlink>
      <w:r w:rsidR="00743F35" w:rsidRPr="0019267D">
        <w:rPr>
          <w:rFonts w:ascii="Arial" w:hAnsi="Arial" w:cs="Arial"/>
          <w:color w:val="000000"/>
          <w:sz w:val="18"/>
          <w:szCs w:val="18"/>
        </w:rPr>
        <w:t xml:space="preserve">. But even under the most deferential standard of review, the court must still “insist on knowing the relation between the classification adopted and the object to be obtained.” </w:t>
      </w:r>
      <w:hyperlink r:id="rId675" w:history="1">
        <w:r w:rsidR="00743F35" w:rsidRPr="0019267D">
          <w:rPr>
            <w:rFonts w:ascii="Arial" w:hAnsi="Arial" w:cs="Arial"/>
            <w:i/>
            <w:iCs/>
            <w:color w:val="0000FF"/>
            <w:sz w:val="18"/>
            <w:szCs w:val="18"/>
          </w:rPr>
          <w:t>Romer v. Evans,</w:t>
        </w:r>
      </w:hyperlink>
      <w:hyperlink r:id="rId676" w:history="1">
        <w:r w:rsidR="00743F35" w:rsidRPr="0019267D">
          <w:rPr>
            <w:rFonts w:ascii="Arial" w:hAnsi="Arial" w:cs="Arial"/>
            <w:color w:val="0000FF"/>
            <w:sz w:val="18"/>
            <w:szCs w:val="18"/>
          </w:rPr>
          <w:t xml:space="preserve"> 517 U.S. 620, 632, 116 S.Ct. 1620, 134 L.Ed.2d 855 (1996)</w:t>
        </w:r>
      </w:hyperlink>
      <w:r w:rsidR="00743F35" w:rsidRPr="0019267D">
        <w:rPr>
          <w:rFonts w:ascii="Arial" w:hAnsi="Arial" w:cs="Arial"/>
          <w:color w:val="000000"/>
          <w:sz w:val="18"/>
          <w:szCs w:val="18"/>
        </w:rPr>
        <w:t xml:space="preserve">; </w:t>
      </w:r>
      <w:hyperlink r:id="rId677" w:history="1">
        <w:r w:rsidR="00743F35" w:rsidRPr="0019267D">
          <w:rPr>
            <w:rFonts w:ascii="Arial" w:hAnsi="Arial" w:cs="Arial"/>
            <w:i/>
            <w:iCs/>
            <w:color w:val="0000FF"/>
            <w:sz w:val="18"/>
            <w:szCs w:val="18"/>
          </w:rPr>
          <w:t>Lyng v. Int'l Union,</w:t>
        </w:r>
      </w:hyperlink>
      <w:hyperlink r:id="rId678" w:history="1">
        <w:r w:rsidR="00743F35" w:rsidRPr="0019267D">
          <w:rPr>
            <w:rFonts w:ascii="Arial" w:hAnsi="Arial" w:cs="Arial"/>
            <w:color w:val="0000FF"/>
            <w:sz w:val="18"/>
            <w:szCs w:val="18"/>
          </w:rPr>
          <w:t xml:space="preserve"> 485 U.S. 360, 375, 108 S.Ct. 1184, 99 L.Ed.2d 380 (1988)</w:t>
        </w:r>
      </w:hyperlink>
      <w:r w:rsidR="00743F35" w:rsidRPr="0019267D">
        <w:rPr>
          <w:rFonts w:ascii="Arial" w:hAnsi="Arial" w:cs="Arial"/>
          <w:color w:val="000000"/>
          <w:sz w:val="18"/>
          <w:szCs w:val="18"/>
        </w:rPr>
        <w:t xml:space="preserve"> (“[L]egislative enactments must implicate legitimate goals, and the means chosen by the legislature must bear a rational relationship to those goals.”). This search for a rational relationship “ensure[s] that classifications are not drawn for the purpose of disadvantaging the group burdened by the law.” </w:t>
      </w:r>
      <w:hyperlink r:id="rId679" w:history="1">
        <w:r w:rsidR="00743F35" w:rsidRPr="0019267D">
          <w:rPr>
            <w:rFonts w:ascii="Arial" w:hAnsi="Arial" w:cs="Arial"/>
            <w:i/>
            <w:iCs/>
            <w:color w:val="0000FF"/>
            <w:sz w:val="18"/>
            <w:szCs w:val="18"/>
          </w:rPr>
          <w:t>Romer,</w:t>
        </w:r>
      </w:hyperlink>
      <w:hyperlink r:id="rId680" w:history="1">
        <w:r w:rsidR="00743F35" w:rsidRPr="0019267D">
          <w:rPr>
            <w:rFonts w:ascii="Arial" w:hAnsi="Arial" w:cs="Arial"/>
            <w:color w:val="0000FF"/>
            <w:sz w:val="18"/>
            <w:szCs w:val="18"/>
          </w:rPr>
          <w:t xml:space="preserve"> 517 U.S. at 633, 116 S.Ct. 1620.</w:t>
        </w:r>
      </w:hyperlink>
      <w:r w:rsidR="00743F35" w:rsidRPr="0019267D">
        <w:rPr>
          <w:rFonts w:ascii="Arial" w:hAnsi="Arial" w:cs="Arial"/>
          <w:color w:val="000000"/>
          <w:sz w:val="18"/>
          <w:szCs w:val="18"/>
        </w:rPr>
        <w:t xml:space="preserve"> As a result, a law must do more than disadvantage or otherwise harm a particular group to survive rational basis review. </w:t>
      </w:r>
      <w:r w:rsidR="00743F35" w:rsidRPr="0019267D">
        <w:rPr>
          <w:rFonts w:ascii="Arial" w:hAnsi="Arial" w:cs="Arial"/>
          <w:i/>
          <w:iCs/>
          <w:color w:val="000000"/>
          <w:sz w:val="18"/>
          <w:szCs w:val="18"/>
        </w:rPr>
        <w:t xml:space="preserve">See </w:t>
      </w:r>
      <w:hyperlink r:id="rId681" w:history="1">
        <w:r w:rsidR="00743F35" w:rsidRPr="0019267D">
          <w:rPr>
            <w:rFonts w:ascii="Arial" w:hAnsi="Arial" w:cs="Arial"/>
            <w:i/>
            <w:iCs/>
            <w:color w:val="0000FF"/>
            <w:sz w:val="18"/>
            <w:szCs w:val="18"/>
          </w:rPr>
          <w:t>U.S. Dep't of Agric. v. Moreno,</w:t>
        </w:r>
      </w:hyperlink>
      <w:hyperlink r:id="rId682" w:history="1">
        <w:r w:rsidR="00743F35" w:rsidRPr="0019267D">
          <w:rPr>
            <w:rFonts w:ascii="Arial" w:hAnsi="Arial" w:cs="Arial"/>
            <w:color w:val="0000FF"/>
            <w:sz w:val="18"/>
            <w:szCs w:val="18"/>
          </w:rPr>
          <w:t xml:space="preserve"> 413 U.S. 528, 534, 93 S.Ct. 2821, 37 L.Ed.2d 782 (1973)</w:t>
        </w:r>
      </w:hyperlink>
      <w:r w:rsidR="00743F35" w:rsidRPr="0019267D">
        <w:rPr>
          <w:rFonts w:ascii="Arial" w:hAnsi="Arial" w:cs="Arial"/>
          <w:color w:val="000000"/>
          <w:sz w:val="18"/>
          <w:szCs w:val="18"/>
        </w:rPr>
        <w:t>.</w:t>
      </w:r>
    </w:p>
    <w:p w14:paraId="4AB6632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2070492"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292032351566" w:history="1">
        <w:r w:rsidR="00743F35" w:rsidRPr="0019267D">
          <w:rPr>
            <w:rFonts w:ascii="Arial" w:hAnsi="Arial" w:cs="Arial"/>
            <w:color w:val="0000FF"/>
            <w:sz w:val="18"/>
            <w:szCs w:val="18"/>
          </w:rPr>
          <w:t>[29]</w:t>
        </w:r>
      </w:hyperlink>
      <w:bookmarkStart w:id="93" w:name="Document1zzB292032351566"/>
      <w:bookmarkEnd w:id="93"/>
      <w:r w:rsidR="00743F35" w:rsidRPr="0019267D">
        <w:rPr>
          <w:rFonts w:ascii="Arial" w:hAnsi="Arial" w:cs="Arial"/>
          <w:color w:val="000000"/>
          <w:sz w:val="18"/>
          <w:szCs w:val="18"/>
        </w:rPr>
        <w:fldChar w:fldCharType="begin"/>
      </w:r>
      <w:r w:rsidR="00743F35" w:rsidRPr="0019267D">
        <w:rPr>
          <w:rFonts w:ascii="Arial" w:hAnsi="Arial" w:cs="Arial"/>
          <w:color w:val="000000"/>
          <w:sz w:val="18"/>
          <w:szCs w:val="18"/>
        </w:rPr>
        <w:instrText>HYPERLINK \l "Document1zzF302032351566"</w:instrText>
      </w:r>
      <w:r w:rsidR="00743F35" w:rsidRPr="0019267D">
        <w:rPr>
          <w:rFonts w:ascii="Arial" w:hAnsi="Arial" w:cs="Arial"/>
          <w:color w:val="000000"/>
          <w:sz w:val="18"/>
          <w:szCs w:val="18"/>
        </w:rPr>
        <w:fldChar w:fldCharType="separate"/>
      </w:r>
      <w:r w:rsidR="00743F35" w:rsidRPr="0019267D">
        <w:rPr>
          <w:rFonts w:ascii="Arial" w:hAnsi="Arial" w:cs="Arial"/>
          <w:color w:val="0000FF"/>
          <w:sz w:val="18"/>
          <w:szCs w:val="18"/>
        </w:rPr>
        <w:t>[30]</w:t>
      </w:r>
      <w:r w:rsidR="00743F35" w:rsidRPr="0019267D">
        <w:rPr>
          <w:rFonts w:ascii="Arial" w:hAnsi="Arial" w:cs="Arial"/>
          <w:color w:val="000000"/>
          <w:sz w:val="18"/>
          <w:szCs w:val="18"/>
        </w:rPr>
        <w:fldChar w:fldCharType="end"/>
      </w:r>
      <w:bookmarkStart w:id="94" w:name="Document1zzB302032351566"/>
      <w:bookmarkEnd w:id="94"/>
      <w:r w:rsidR="00743F35" w:rsidRPr="0019267D">
        <w:rPr>
          <w:rFonts w:ascii="Arial" w:hAnsi="Arial" w:cs="Arial"/>
          <w:color w:val="000000"/>
          <w:sz w:val="18"/>
          <w:szCs w:val="18"/>
        </w:rPr>
        <w:t xml:space="preserve"> The State emphasizes that the court must accept any legislative generalizations, “even when there is an imperfect fit between means and ends.” </w:t>
      </w:r>
      <w:hyperlink r:id="rId683" w:history="1">
        <w:r w:rsidR="00743F35" w:rsidRPr="0019267D">
          <w:rPr>
            <w:rFonts w:ascii="Arial" w:hAnsi="Arial" w:cs="Arial"/>
            <w:i/>
            <w:iCs/>
            <w:color w:val="0000FF"/>
            <w:sz w:val="18"/>
            <w:szCs w:val="18"/>
          </w:rPr>
          <w:t>Heller,</w:t>
        </w:r>
      </w:hyperlink>
      <w:hyperlink r:id="rId684" w:history="1">
        <w:r w:rsidR="00743F35" w:rsidRPr="0019267D">
          <w:rPr>
            <w:rFonts w:ascii="Arial" w:hAnsi="Arial" w:cs="Arial"/>
            <w:color w:val="0000FF"/>
            <w:sz w:val="18"/>
            <w:szCs w:val="18"/>
          </w:rPr>
          <w:t xml:space="preserve"> 509 U.S. at 321, 113 S.Ct. 2637.</w:t>
        </w:r>
      </w:hyperlink>
      <w:r w:rsidR="00743F35" w:rsidRPr="0019267D">
        <w:rPr>
          <w:rFonts w:ascii="Arial" w:hAnsi="Arial" w:cs="Arial"/>
          <w:color w:val="000000"/>
          <w:sz w:val="18"/>
          <w:szCs w:val="18"/>
        </w:rPr>
        <w:t xml:space="preserve"> The court will uphold a classification provided “the inclusion of one group promotes a legitimate governmental purpose, and the addition of other groups would not.” </w:t>
      </w:r>
      <w:hyperlink r:id="rId685" w:history="1">
        <w:r w:rsidR="00743F35" w:rsidRPr="0019267D">
          <w:rPr>
            <w:rFonts w:ascii="Arial" w:hAnsi="Arial" w:cs="Arial"/>
            <w:i/>
            <w:iCs/>
            <w:color w:val="0000FF"/>
            <w:sz w:val="18"/>
            <w:szCs w:val="18"/>
          </w:rPr>
          <w:t>Johnson v. Robison,</w:t>
        </w:r>
      </w:hyperlink>
      <w:hyperlink r:id="rId686" w:history="1">
        <w:r w:rsidR="00743F35" w:rsidRPr="0019267D">
          <w:rPr>
            <w:rFonts w:ascii="Arial" w:hAnsi="Arial" w:cs="Arial"/>
            <w:color w:val="0000FF"/>
            <w:sz w:val="18"/>
            <w:szCs w:val="18"/>
          </w:rPr>
          <w:t xml:space="preserve"> 415 U.S. 361, 383, 94 S.Ct. 1160, 39 L.Ed.2d 389 (1974)</w:t>
        </w:r>
      </w:hyperlink>
      <w:r w:rsidR="00743F35" w:rsidRPr="0019267D">
        <w:rPr>
          <w:rFonts w:ascii="Arial" w:hAnsi="Arial" w:cs="Arial"/>
          <w:color w:val="000000"/>
          <w:sz w:val="18"/>
          <w:szCs w:val="18"/>
        </w:rPr>
        <w:t>. Based on this principle, the State argues that its extension of marriage benefits to opposite-sex couples promotes certain governmental interests such as responsible procreation and optimal child-rearing that would not be furthered if marriage benefits were extended to same-sex couples. But the State poses the wrong question. The court's focus is not on whether extending marriage benefits to heterosexual couples serves a legitimate governmental interest. No one disputes that marriage benefits serve not just legitimate, but compelling governmental interests, which is why the Constitution provides such protection to an individual's fundamental right to marry. Instead, courts are required to determine whether there is a rational connection between the challenged statute and a legitimate state interest. Here, the challenged statute does not grant marriage benefits to opposite-sex couples. The effect of Amendment 3 is only to disallow same-sex couples from gaining access to these benefits. The court must therefore analyze whether the State's interests in responsible procreation and optimal child-rearing are furthered by prohibiting same-sex couples from marrying.</w:t>
      </w:r>
    </w:p>
    <w:p w14:paraId="7247255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712FD6"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This focus on a rational connection between the State's legitimate interests and the State's exclusion of a group from benefits is well-supported in a number of Supreme Court decisions. For instance, the Court held in </w:t>
      </w:r>
      <w:hyperlink r:id="rId687" w:history="1">
        <w:r w:rsidRPr="0019267D">
          <w:rPr>
            <w:rFonts w:ascii="Arial" w:hAnsi="Arial" w:cs="Arial"/>
            <w:i/>
            <w:iCs/>
            <w:color w:val="0000FF"/>
            <w:sz w:val="18"/>
            <w:szCs w:val="18"/>
          </w:rPr>
          <w:t>Johnson v. Robison</w:t>
        </w:r>
      </w:hyperlink>
      <w:r w:rsidRPr="0019267D">
        <w:rPr>
          <w:rFonts w:ascii="Arial" w:hAnsi="Arial" w:cs="Arial"/>
          <w:color w:val="000000"/>
          <w:sz w:val="18"/>
          <w:szCs w:val="18"/>
        </w:rPr>
        <w:t xml:space="preserve"> that the rational basis test was satisfied by a congressional decision to exclude conscientious objectors from receiving veterans' tax benefits because their lives had not been disrupted to the same extent as the lives of active service veterans. </w:t>
      </w:r>
      <w:hyperlink r:id="rId688" w:history="1">
        <w:r w:rsidRPr="0019267D">
          <w:rPr>
            <w:rFonts w:ascii="Arial" w:hAnsi="Arial" w:cs="Arial"/>
            <w:color w:val="0000FF"/>
            <w:sz w:val="18"/>
            <w:szCs w:val="18"/>
          </w:rPr>
          <w:t>415 U.S. at 381–82, 94 S.Ct. 1160.</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689" w:history="1">
        <w:r w:rsidRPr="0019267D">
          <w:rPr>
            <w:rFonts w:ascii="Arial" w:hAnsi="Arial" w:cs="Arial"/>
            <w:i/>
            <w:iCs/>
            <w:color w:val="0000FF"/>
            <w:sz w:val="18"/>
            <w:szCs w:val="18"/>
          </w:rPr>
          <w:t>City of Cleburne v. Cleburne Living Ctr., Inc.,</w:t>
        </w:r>
      </w:hyperlink>
      <w:hyperlink r:id="rId690" w:history="1">
        <w:r w:rsidRPr="0019267D">
          <w:rPr>
            <w:rFonts w:ascii="Arial" w:hAnsi="Arial" w:cs="Arial"/>
            <w:color w:val="0000FF"/>
            <w:sz w:val="18"/>
            <w:szCs w:val="18"/>
          </w:rPr>
          <w:t xml:space="preserve"> 473 U.S. 432, 448–50, 105 S.Ct. 3249, 87 L.Ed.2d 313 (1985)</w:t>
        </w:r>
      </w:hyperlink>
      <w:r w:rsidRPr="0019267D">
        <w:rPr>
          <w:rFonts w:ascii="Arial" w:hAnsi="Arial" w:cs="Arial"/>
          <w:color w:val="000000"/>
          <w:sz w:val="18"/>
          <w:szCs w:val="18"/>
        </w:rPr>
        <w:t xml:space="preserve"> (examining the city's interest in denying housing for people with developmental disabilities, not in continuing to allow residence for others); </w:t>
      </w:r>
      <w:hyperlink r:id="rId691" w:history="1">
        <w:r w:rsidRPr="0019267D">
          <w:rPr>
            <w:rFonts w:ascii="Arial" w:hAnsi="Arial" w:cs="Arial"/>
            <w:i/>
            <w:iCs/>
            <w:color w:val="0000FF"/>
            <w:sz w:val="18"/>
            <w:szCs w:val="18"/>
          </w:rPr>
          <w:t>Moreno,</w:t>
        </w:r>
      </w:hyperlink>
      <w:hyperlink r:id="rId692" w:history="1">
        <w:r w:rsidRPr="0019267D">
          <w:rPr>
            <w:rFonts w:ascii="Arial" w:hAnsi="Arial" w:cs="Arial"/>
            <w:color w:val="0000FF"/>
            <w:sz w:val="18"/>
            <w:szCs w:val="18"/>
          </w:rPr>
          <w:t xml:space="preserve"> 413 U.S. at 535–38, 93 S.Ct. 2821</w:t>
        </w:r>
      </w:hyperlink>
      <w:r w:rsidRPr="0019267D">
        <w:rPr>
          <w:rFonts w:ascii="Arial" w:hAnsi="Arial" w:cs="Arial"/>
          <w:color w:val="000000"/>
          <w:sz w:val="18"/>
          <w:szCs w:val="18"/>
        </w:rPr>
        <w:t xml:space="preserve"> (testing the federal government's interest in excluding unrelated households </w:t>
      </w:r>
      <w:r w:rsidRPr="0019267D">
        <w:rPr>
          <w:rFonts w:ascii="Arial" w:hAnsi="Arial" w:cs="Arial"/>
          <w:color w:val="000000"/>
          <w:sz w:val="18"/>
          <w:szCs w:val="18"/>
        </w:rPr>
        <w:lastRenderedPageBreak/>
        <w:t xml:space="preserve">from food stamp benefits, not in maintaining food stamps for related households); </w:t>
      </w:r>
      <w:hyperlink r:id="rId693" w:history="1">
        <w:r w:rsidRPr="0019267D">
          <w:rPr>
            <w:rFonts w:ascii="Arial" w:hAnsi="Arial" w:cs="Arial"/>
            <w:i/>
            <w:iCs/>
            <w:color w:val="0000FF"/>
            <w:sz w:val="18"/>
            <w:szCs w:val="18"/>
          </w:rPr>
          <w:t>Eisenstadt v. Baird,</w:t>
        </w:r>
      </w:hyperlink>
      <w:hyperlink r:id="rId694" w:history="1">
        <w:r w:rsidRPr="0019267D">
          <w:rPr>
            <w:rFonts w:ascii="Arial" w:hAnsi="Arial" w:cs="Arial"/>
            <w:color w:val="0000FF"/>
            <w:sz w:val="18"/>
            <w:szCs w:val="18"/>
          </w:rPr>
          <w:t xml:space="preserve"> 405 U.S. 438, 448–53, 92 S.Ct. 1029, 31 L.Ed.2d 349 (1972)</w:t>
        </w:r>
      </w:hyperlink>
      <w:r w:rsidRPr="0019267D">
        <w:rPr>
          <w:rFonts w:ascii="Arial" w:hAnsi="Arial" w:cs="Arial"/>
          <w:color w:val="000000"/>
          <w:sz w:val="18"/>
          <w:szCs w:val="18"/>
        </w:rPr>
        <w:t xml:space="preserve"> (requiring a state interest in the exclusion of unmarried couples from lawful access to contraception, not merely an interest in continuing to allow married couples access); </w:t>
      </w:r>
      <w:hyperlink r:id="rId695" w:history="1">
        <w:r w:rsidRPr="0019267D">
          <w:rPr>
            <w:rFonts w:ascii="Arial" w:hAnsi="Arial" w:cs="Arial"/>
            <w:i/>
            <w:iCs/>
            <w:color w:val="0000FF"/>
            <w:sz w:val="18"/>
            <w:szCs w:val="18"/>
          </w:rPr>
          <w:t>Loving v. Virginia,</w:t>
        </w:r>
      </w:hyperlink>
      <w:hyperlink r:id="rId696" w:history="1">
        <w:r w:rsidRPr="0019267D">
          <w:rPr>
            <w:rFonts w:ascii="Arial" w:hAnsi="Arial" w:cs="Arial"/>
            <w:color w:val="0000FF"/>
            <w:sz w:val="18"/>
            <w:szCs w:val="18"/>
          </w:rPr>
          <w:t xml:space="preserve"> 388 U.S. 1, 9–12, 87 S.Ct. 1817, 18 L.Ed.2d 1010 (1967)</w:t>
        </w:r>
      </w:hyperlink>
      <w:r w:rsidRPr="0019267D">
        <w:rPr>
          <w:rFonts w:ascii="Arial" w:hAnsi="Arial" w:cs="Arial"/>
          <w:color w:val="000000"/>
          <w:sz w:val="18"/>
          <w:szCs w:val="18"/>
        </w:rPr>
        <w:t xml:space="preserve"> (examining whether Virginia's exclusion of interracial couples from marriage violated equal protection principles independent of Virginia's interest in providing marriage to same-race couples).</w:t>
      </w:r>
    </w:p>
    <w:p w14:paraId="4744F07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ACB041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 reasons stated below, the court finds that the legitimate government interests that Utah cites are not rationally related to Utah's prohibition of same-sex marriage.</w:t>
      </w:r>
    </w:p>
    <w:p w14:paraId="1969AD6C"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62EB66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1. </w:t>
      </w:r>
      <w:r w:rsidRPr="0019267D">
        <w:rPr>
          <w:rFonts w:ascii="Arial" w:hAnsi="Arial" w:cs="Arial"/>
          <w:i/>
          <w:iCs/>
          <w:color w:val="000000"/>
          <w:sz w:val="18"/>
          <w:szCs w:val="18"/>
        </w:rPr>
        <w:t>Responsible Procreation</w:t>
      </w:r>
    </w:p>
    <w:p w14:paraId="4917EFF9"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312032351566" w:history="1">
        <w:r w:rsidR="00743F35" w:rsidRPr="0019267D">
          <w:rPr>
            <w:rFonts w:ascii="Arial" w:hAnsi="Arial" w:cs="Arial"/>
            <w:color w:val="0000FF"/>
            <w:sz w:val="18"/>
            <w:szCs w:val="18"/>
          </w:rPr>
          <w:t>[31]</w:t>
        </w:r>
      </w:hyperlink>
      <w:bookmarkStart w:id="95" w:name="Document1zzB312032351566"/>
      <w:bookmarkEnd w:id="95"/>
      <w:r w:rsidR="00743F35" w:rsidRPr="0019267D">
        <w:rPr>
          <w:rFonts w:ascii="Arial" w:hAnsi="Arial" w:cs="Arial"/>
          <w:color w:val="000000"/>
          <w:sz w:val="18"/>
          <w:szCs w:val="18"/>
        </w:rPr>
        <w:t xml:space="preserve"> The State argues that the exclusion of same-sex couples from marriage is justified based on an interest in promoting responsible procreation within marriage. According to the State, “[t]raditional marriage with its accompanying governmental benefits provides an incentive for opposite-sex couples to commit together to form [ ] a stable family in which their planned, and especially unplanned, biological children may be raised.” (Defs.' Mot. Summ. J., at 28, Dkt. 33.) The Plaintiffs do not dispute the State's assertion, but question how disallowing same-sex marriage has any effect on the percentage of opposite-sex couples that have children within a marriage. The State has presented no evidence that the number of opposite-sex couples choosing to marry each other is likely to be affected in any way by the ability of same-sex couples to marry. Indeed, it defies reason to conclude that allowing same-sex couples to marry will diminish the example that married opposite-sex couples set for their unmarried counterparts. Both opposite-sex and same-sex couples model the formation of committed, exclusive relationships, and both establish families based on mutual love and support. If there is any connection between same-sex marriage and responsible procreation, the relationship is likely to be the opposite of what the State suggests. Because Amendment 3 does not currently permit same-sex couples to engage in sexual activity within a marriage, the State reinforces a norm that sexual activity may take place outside the marriage relationship.</w:t>
      </w:r>
    </w:p>
    <w:p w14:paraId="365DEE8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C94D7C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As a result, any relationship between Amendment 3 and the State's interest in responsible procreation “is so attenuated as to render the distinction arbitrary or irrational.” </w:t>
      </w:r>
      <w:hyperlink r:id="rId697" w:history="1">
        <w:r w:rsidRPr="0019267D">
          <w:rPr>
            <w:rFonts w:ascii="Arial" w:hAnsi="Arial" w:cs="Arial"/>
            <w:i/>
            <w:iCs/>
            <w:color w:val="0000FF"/>
            <w:sz w:val="18"/>
            <w:szCs w:val="18"/>
          </w:rPr>
          <w:t>City of Cleburne,</w:t>
        </w:r>
      </w:hyperlink>
      <w:hyperlink r:id="rId698" w:history="1">
        <w:r w:rsidRPr="0019267D">
          <w:rPr>
            <w:rFonts w:ascii="Arial" w:hAnsi="Arial" w:cs="Arial"/>
            <w:color w:val="0000FF"/>
            <w:sz w:val="18"/>
            <w:szCs w:val="18"/>
          </w:rPr>
          <w:t xml:space="preserve"> 473 U.S. at 446, 105 S.Ct. 3249;</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699" w:history="1">
        <w:r w:rsidRPr="0019267D">
          <w:rPr>
            <w:rFonts w:ascii="Arial" w:hAnsi="Arial" w:cs="Arial"/>
            <w:i/>
            <w:iCs/>
            <w:color w:val="0000FF"/>
            <w:sz w:val="18"/>
            <w:szCs w:val="18"/>
          </w:rPr>
          <w:t>Perry v. Schwarzenegger,</w:t>
        </w:r>
      </w:hyperlink>
      <w:hyperlink r:id="rId700" w:history="1">
        <w:r w:rsidRPr="0019267D">
          <w:rPr>
            <w:rFonts w:ascii="Arial" w:hAnsi="Arial" w:cs="Arial"/>
            <w:color w:val="0000FF"/>
            <w:sz w:val="18"/>
            <w:szCs w:val="18"/>
          </w:rPr>
          <w:t xml:space="preserve"> 704 F.Supp.2d 921, 972 (N.D.Cal.2010)</w:t>
        </w:r>
      </w:hyperlink>
      <w:r w:rsidRPr="0019267D">
        <w:rPr>
          <w:rFonts w:ascii="Arial" w:hAnsi="Arial" w:cs="Arial"/>
          <w:color w:val="000000"/>
          <w:sz w:val="18"/>
          <w:szCs w:val="18"/>
        </w:rPr>
        <w:t xml:space="preserve"> (“Permitting same-sex couples to marry will not affect the number of opposite-sex couples who marry, divorce, cohabit, have children outside of marriage or otherwise affect the stability of opposite-sex marriage.”). Accordingly, the court finds no rational connection between Amendment 3 and the state's interest in encouraging its citizens to engage in responsible procreation.</w:t>
      </w:r>
    </w:p>
    <w:p w14:paraId="05260D1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FD0D62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2. </w:t>
      </w:r>
      <w:r w:rsidRPr="0019267D">
        <w:rPr>
          <w:rFonts w:ascii="Arial" w:hAnsi="Arial" w:cs="Arial"/>
          <w:i/>
          <w:iCs/>
          <w:color w:val="000000"/>
          <w:sz w:val="18"/>
          <w:szCs w:val="18"/>
        </w:rPr>
        <w:t>Optimal Child–Rearing</w:t>
      </w:r>
    </w:p>
    <w:p w14:paraId="29B3F20E"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322032351566" w:history="1">
        <w:r w:rsidR="00743F35" w:rsidRPr="0019267D">
          <w:rPr>
            <w:rFonts w:ascii="Arial" w:hAnsi="Arial" w:cs="Arial"/>
            <w:color w:val="0000FF"/>
            <w:sz w:val="18"/>
            <w:szCs w:val="18"/>
          </w:rPr>
          <w:t>[32]</w:t>
        </w:r>
      </w:hyperlink>
      <w:bookmarkStart w:id="96" w:name="Document1zzB322032351566"/>
      <w:bookmarkEnd w:id="96"/>
      <w:r w:rsidR="00743F35" w:rsidRPr="0019267D">
        <w:rPr>
          <w:rFonts w:ascii="Arial" w:hAnsi="Arial" w:cs="Arial"/>
          <w:color w:val="000000"/>
          <w:sz w:val="18"/>
          <w:szCs w:val="18"/>
        </w:rPr>
        <w:t xml:space="preserve"> The State also asserts that prohibiting same-sex couples from marrying “promotes the ideal that children born within a state-sanctioned marriage will be raised by both a mother and father in a stable family unit.” (Defs.' Mot. Summ. J., at 33, Dkt. 33.) Utah contends that the “gold standard” for family life is an intact, biological, married family. (</w:t>
      </w:r>
      <w:r w:rsidR="00743F35" w:rsidRPr="0019267D">
        <w:rPr>
          <w:rFonts w:ascii="Arial" w:hAnsi="Arial" w:cs="Arial"/>
          <w:i/>
          <w:iCs/>
          <w:color w:val="000000"/>
          <w:sz w:val="18"/>
          <w:szCs w:val="18"/>
        </w:rPr>
        <w:t>Id.</w:t>
      </w:r>
      <w:r w:rsidR="00743F35" w:rsidRPr="0019267D">
        <w:rPr>
          <w:rFonts w:ascii="Arial" w:hAnsi="Arial" w:cs="Arial"/>
          <w:color w:val="000000"/>
          <w:sz w:val="18"/>
          <w:szCs w:val="18"/>
        </w:rPr>
        <w:t xml:space="preserve"> at 34.) By providing incentives for only opposite-sex marriage, Utah asserts that more children will be raised in this ideal setting. The Plaintiffs dispute the State's argument that children do better when raised by opposite-sex parents than by same-sex parents. The Plaintiffs claim that the State's position is demeaning not only to children of same-sex parents, but also to adopted children of opposite-sex parents, children of single parents, and other children living in families that do not meet the State's “gold standard.” Both parties have cited numerous authorities to support their positions. To the extent the parties have created a factual dispute about the optimal environment for children, the court cannot resolve this dispute on motions for summary judgment. But the court need not engage in this debate because the State's argument is unpersuasive for another reason. Once again, the State fails to demonstrate any rational link between its prohibition of same-sex marriage and its goal of having more children raised in the family structure the State wishes to promote.</w:t>
      </w:r>
    </w:p>
    <w:p w14:paraId="7759C7C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A52A63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There is no reason to believe that Amendment 3 has any effect on the choices of couples to have or raise children, whether they are opposite-sex couples or same-sex couples. The State has presented no evidence that Amendment 3 furthers or restricts the ability of gay men and lesbians to adopt children, to have children through surrogacy or artificial insemination, or to take care of children that are biologically their own whom they may have had with an opposite-sex partner. Similarly, the State has presented no evidence that opposite-sex couples will base their decisions about having children on the ability of same-sex couples to marry. To the extent the State wishes to see more children in opposite-sex families, its goals are tied to laws concerning adoption and surrogacy, not marriage.</w:t>
      </w:r>
    </w:p>
    <w:p w14:paraId="5FC056C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0CE5B0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If anything, the State's prohibition of same-sex marriage detracts from the State's goal of promoting optimal environments for children. The State does not contest the Plaintiffs' assertion that roughly 3,000 children are currently being raised by same-sex </w:t>
      </w:r>
      <w:r w:rsidRPr="0019267D">
        <w:rPr>
          <w:rFonts w:ascii="Arial" w:hAnsi="Arial" w:cs="Arial"/>
          <w:color w:val="000000"/>
          <w:sz w:val="18"/>
          <w:szCs w:val="18"/>
        </w:rPr>
        <w:lastRenderedPageBreak/>
        <w:t xml:space="preserve">couples in Utah. (Patterson Decl. ¶ 40, Dkt. 85.) These children are also worthy of the State's protection, yet Amendment 3 harms them for the same reasons that the Supreme Court found that DOMA harmed the children of same-sex couples. Amendment 3 “humiliates [ ] thousands of children now being raised by same-sex couples. The law in question makes it even more difficult for the children to understand the integrity and closeness of their own family and its concord with other families in their community and in their daily lives.” </w:t>
      </w:r>
      <w:hyperlink r:id="rId701" w:history="1">
        <w:r w:rsidRPr="0019267D">
          <w:rPr>
            <w:rFonts w:ascii="Arial" w:hAnsi="Arial" w:cs="Arial"/>
            <w:i/>
            <w:iCs/>
            <w:color w:val="0000FF"/>
            <w:sz w:val="18"/>
            <w:szCs w:val="18"/>
          </w:rPr>
          <w:t>Windsor,</w:t>
        </w:r>
      </w:hyperlink>
      <w:hyperlink r:id="rId702" w:history="1">
        <w:r w:rsidRPr="0019267D">
          <w:rPr>
            <w:rFonts w:ascii="Arial" w:hAnsi="Arial" w:cs="Arial"/>
            <w:color w:val="0000FF"/>
            <w:sz w:val="18"/>
            <w:szCs w:val="18"/>
          </w:rPr>
          <w:t xml:space="preserve"> 133 S.Ct. at 2694.</w:t>
        </w:r>
      </w:hyperlink>
      <w:r w:rsidRPr="0019267D">
        <w:rPr>
          <w:rFonts w:ascii="Arial" w:hAnsi="Arial" w:cs="Arial"/>
          <w:color w:val="000000"/>
          <w:sz w:val="18"/>
          <w:szCs w:val="18"/>
        </w:rPr>
        <w:t xml:space="preserve"> Amendment 3 “also brings financial harm to children of same-sex couples,” </w:t>
      </w:r>
      <w:hyperlink r:id="rId703" w:history="1">
        <w:r w:rsidRPr="0019267D">
          <w:rPr>
            <w:rFonts w:ascii="Arial" w:hAnsi="Arial" w:cs="Arial"/>
            <w:i/>
            <w:iCs/>
            <w:color w:val="0000FF"/>
            <w:sz w:val="18"/>
            <w:szCs w:val="18"/>
          </w:rPr>
          <w:t>id.</w:t>
        </w:r>
      </w:hyperlink>
      <w:hyperlink r:id="rId704" w:history="1">
        <w:r w:rsidRPr="0019267D">
          <w:rPr>
            <w:rFonts w:ascii="Arial" w:hAnsi="Arial" w:cs="Arial"/>
            <w:color w:val="0000FF"/>
            <w:sz w:val="18"/>
            <w:szCs w:val="18"/>
          </w:rPr>
          <w:t xml:space="preserve"> at 2695,</w:t>
        </w:r>
      </w:hyperlink>
      <w:r w:rsidRPr="0019267D">
        <w:rPr>
          <w:rFonts w:ascii="Arial" w:hAnsi="Arial" w:cs="Arial"/>
          <w:color w:val="000000"/>
          <w:sz w:val="18"/>
          <w:szCs w:val="18"/>
        </w:rPr>
        <w:t xml:space="preserve"> because it denies the families of these children a panoply of benefits that the State and the federal government offer to families who are legally wed. Finally, Utah's prohibition of same-sex marriage further injures the children of both opposite-sex and same-sex couples who themselves are gay or lesbian, and who will grow up with the knowledge that the State does not believe they are as capable of creating a family as their heterosexual friends.</w:t>
      </w:r>
    </w:p>
    <w:p w14:paraId="3787C92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F3BD4D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these reasons, Amendment 3 does not make it any more likely that children will be raised by opposite-sex parents. As a result, the court finds that there is no rational connection between Utah's prohibition of same-sex marriage and its goal of fostering an ideal family environment for a child.</w:t>
      </w:r>
    </w:p>
    <w:p w14:paraId="65625FB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09FE5D6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3. </w:t>
      </w:r>
      <w:r w:rsidRPr="0019267D">
        <w:rPr>
          <w:rFonts w:ascii="Arial" w:hAnsi="Arial" w:cs="Arial"/>
          <w:i/>
          <w:iCs/>
          <w:color w:val="000000"/>
          <w:sz w:val="18"/>
          <w:szCs w:val="18"/>
        </w:rPr>
        <w:t>Proceeding with Caution</w:t>
      </w:r>
    </w:p>
    <w:p w14:paraId="7E52DAB0"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332032351566" w:history="1">
        <w:r w:rsidR="00743F35" w:rsidRPr="0019267D">
          <w:rPr>
            <w:rFonts w:ascii="Arial" w:hAnsi="Arial" w:cs="Arial"/>
            <w:color w:val="0000FF"/>
            <w:sz w:val="18"/>
            <w:szCs w:val="18"/>
          </w:rPr>
          <w:t>[33]</w:t>
        </w:r>
      </w:hyperlink>
      <w:bookmarkStart w:id="97" w:name="Document1zzB332032351566"/>
      <w:bookmarkEnd w:id="97"/>
      <w:r w:rsidR="00743F35" w:rsidRPr="0019267D">
        <w:rPr>
          <w:rFonts w:ascii="Arial" w:hAnsi="Arial" w:cs="Arial"/>
          <w:color w:val="000000"/>
          <w:sz w:val="18"/>
          <w:szCs w:val="18"/>
        </w:rPr>
        <w:t xml:space="preserve"> The State contends that it has a legitimate interest in proceeding with caution when considering expanding marriage to encompass same-sex couples. But the State is not able to cite any evidence to justify its fears. The State's argument is analogous to the City of Cleburne's position in </w:t>
      </w:r>
      <w:hyperlink r:id="rId705" w:history="1">
        <w:r w:rsidR="00743F35" w:rsidRPr="0019267D">
          <w:rPr>
            <w:rFonts w:ascii="Arial" w:hAnsi="Arial" w:cs="Arial"/>
            <w:i/>
            <w:iCs/>
            <w:color w:val="0000FF"/>
            <w:sz w:val="18"/>
            <w:szCs w:val="18"/>
          </w:rPr>
          <w:t>City of Cleburne v. Cleburne Living Center, Inc.,</w:t>
        </w:r>
      </w:hyperlink>
      <w:hyperlink r:id="rId706" w:history="1">
        <w:r w:rsidR="00743F35" w:rsidRPr="0019267D">
          <w:rPr>
            <w:rFonts w:ascii="Arial" w:hAnsi="Arial" w:cs="Arial"/>
            <w:color w:val="0000FF"/>
            <w:sz w:val="18"/>
            <w:szCs w:val="18"/>
          </w:rPr>
          <w:t xml:space="preserve"> 473 U.S. 432, 105 S.Ct. 3249, 87 L.Ed.2d 313 (1985)</w:t>
        </w:r>
      </w:hyperlink>
      <w:r w:rsidR="00743F35" w:rsidRPr="0019267D">
        <w:rPr>
          <w:rFonts w:ascii="Arial" w:hAnsi="Arial" w:cs="Arial"/>
          <w:color w:val="000000"/>
          <w:sz w:val="18"/>
          <w:szCs w:val="18"/>
        </w:rPr>
        <w:t xml:space="preserve">. In that case, the City was concerned about issuing a permit for a home for the developmentally disadvantaged because of the fears of the property owners near the facility. </w:t>
      </w:r>
      <w:hyperlink r:id="rId707" w:history="1">
        <w:r w:rsidR="00743F35" w:rsidRPr="0019267D">
          <w:rPr>
            <w:rFonts w:ascii="Arial" w:hAnsi="Arial" w:cs="Arial"/>
            <w:i/>
            <w:iCs/>
            <w:color w:val="0000FF"/>
            <w:sz w:val="18"/>
            <w:szCs w:val="18"/>
          </w:rPr>
          <w:t>Id.</w:t>
        </w:r>
      </w:hyperlink>
      <w:hyperlink r:id="rId708" w:history="1">
        <w:r w:rsidR="00743F35" w:rsidRPr="0019267D">
          <w:rPr>
            <w:rFonts w:ascii="Arial" w:hAnsi="Arial" w:cs="Arial"/>
            <w:color w:val="0000FF"/>
            <w:sz w:val="18"/>
            <w:szCs w:val="18"/>
          </w:rPr>
          <w:t xml:space="preserve"> at 448, 105 S.Ct. 3249.</w:t>
        </w:r>
      </w:hyperlink>
      <w:r w:rsidR="00743F35" w:rsidRPr="0019267D">
        <w:rPr>
          <w:rFonts w:ascii="Arial" w:hAnsi="Arial" w:cs="Arial"/>
          <w:color w:val="000000"/>
          <w:sz w:val="18"/>
          <w:szCs w:val="18"/>
        </w:rPr>
        <w:t xml:space="preserve"> The Supreme Court held that “mere negative attitudes, or fear, ... are not permissible bases for treating a home for the mentally retarded differently from apartment houses, multiple dwellings, and the like.” </w:t>
      </w:r>
      <w:hyperlink r:id="rId709" w:history="1">
        <w:r w:rsidR="00743F35" w:rsidRPr="0019267D">
          <w:rPr>
            <w:rFonts w:ascii="Arial" w:hAnsi="Arial" w:cs="Arial"/>
            <w:i/>
            <w:iCs/>
            <w:color w:val="0000FF"/>
            <w:sz w:val="18"/>
            <w:szCs w:val="18"/>
          </w:rPr>
          <w:t>Id.</w:t>
        </w:r>
      </w:hyperlink>
      <w:r w:rsidR="00743F35" w:rsidRPr="0019267D">
        <w:rPr>
          <w:rFonts w:ascii="Arial" w:hAnsi="Arial" w:cs="Arial"/>
          <w:color w:val="000000"/>
          <w:sz w:val="18"/>
          <w:szCs w:val="18"/>
        </w:rPr>
        <w:t xml:space="preserve"> The State can plead an interest in proceeding with caution in almost any setting. If the court were to accept the State's argument here, it would turn the rational basis analysis into a toothless and perfunctory review.</w:t>
      </w:r>
    </w:p>
    <w:p w14:paraId="4B9C85B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EC2164B"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any event, the only evidence that either party submitted concerning the effect of same-sex marriage suggests that the State's fears are unfounded. In an amicus brief submitted to the Ninth Circuit Court of Appeals by the District of Columbia and fourteen states that currently permit same-sex marriage, the states assert that the implementation of same-sex unions in their jurisdictions has not resulted in any decrease in opposite-sex marriage rates, any increase in divorce rates, or any increase in the number of nonmarital births. (Brief of State Amici in </w:t>
      </w:r>
      <w:r w:rsidRPr="0019267D">
        <w:rPr>
          <w:rFonts w:ascii="Arial" w:hAnsi="Arial" w:cs="Arial"/>
          <w:i/>
          <w:iCs/>
          <w:color w:val="000000"/>
          <w:sz w:val="18"/>
          <w:szCs w:val="18"/>
        </w:rPr>
        <w:t>Sevcik v. Sandoval,</w:t>
      </w:r>
      <w:r w:rsidRPr="0019267D">
        <w:rPr>
          <w:rFonts w:ascii="Arial" w:hAnsi="Arial" w:cs="Arial"/>
          <w:color w:val="000000"/>
          <w:sz w:val="18"/>
          <w:szCs w:val="18"/>
        </w:rPr>
        <w:t xml:space="preserve"> at 24–28, Ex. 13 to Pls.' Mem. in Opp'n, Dkt. 85–14.) In addition, the process of allowing same-sex marriage is straightforward and requires no change to state tax, divorce, or inheritance laws.</w:t>
      </w:r>
    </w:p>
    <w:p w14:paraId="06DE152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10DE9E8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these reasons, the court finds that proceeding with caution is not a legitimate state interest sufficient to survive rational basis review.</w:t>
      </w:r>
    </w:p>
    <w:p w14:paraId="4774C30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56B253B"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4. </w:t>
      </w:r>
      <w:r w:rsidRPr="0019267D">
        <w:rPr>
          <w:rFonts w:ascii="Arial" w:hAnsi="Arial" w:cs="Arial"/>
          <w:i/>
          <w:iCs/>
          <w:color w:val="000000"/>
          <w:sz w:val="18"/>
          <w:szCs w:val="18"/>
        </w:rPr>
        <w:t>Preserving the Traditional Definition of Marriage</w:t>
      </w:r>
    </w:p>
    <w:p w14:paraId="5A803707"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342032351566" w:history="1">
        <w:r w:rsidR="00743F35" w:rsidRPr="0019267D">
          <w:rPr>
            <w:rFonts w:ascii="Arial" w:hAnsi="Arial" w:cs="Arial"/>
            <w:color w:val="0000FF"/>
            <w:sz w:val="18"/>
            <w:szCs w:val="18"/>
          </w:rPr>
          <w:t>[34]</w:t>
        </w:r>
      </w:hyperlink>
      <w:bookmarkStart w:id="98" w:name="Document1zzB342032351566"/>
      <w:bookmarkEnd w:id="98"/>
      <w:r w:rsidR="00743F35" w:rsidRPr="0019267D">
        <w:rPr>
          <w:rFonts w:ascii="Arial" w:hAnsi="Arial" w:cs="Arial"/>
          <w:color w:val="000000"/>
          <w:sz w:val="18"/>
          <w:szCs w:val="18"/>
        </w:rPr>
        <w:t xml:space="preserve"> As noted in the court's discussion of fundamental rights, the State argues that preserving the traditional definition of marriage is itself a legitimate state interest. But tradition alone cannot form a rational basis for a law. </w:t>
      </w:r>
      <w:hyperlink r:id="rId710" w:history="1">
        <w:r w:rsidR="00743F35" w:rsidRPr="0019267D">
          <w:rPr>
            <w:rFonts w:ascii="Arial" w:hAnsi="Arial" w:cs="Arial"/>
            <w:i/>
            <w:iCs/>
            <w:color w:val="0000FF"/>
            <w:sz w:val="18"/>
            <w:szCs w:val="18"/>
          </w:rPr>
          <w:t>Williams v. Illinois,</w:t>
        </w:r>
      </w:hyperlink>
      <w:hyperlink r:id="rId711" w:history="1">
        <w:r w:rsidR="00743F35" w:rsidRPr="0019267D">
          <w:rPr>
            <w:rFonts w:ascii="Arial" w:hAnsi="Arial" w:cs="Arial"/>
            <w:color w:val="0000FF"/>
            <w:sz w:val="18"/>
            <w:szCs w:val="18"/>
          </w:rPr>
          <w:t xml:space="preserve"> 399 U.S. 235, 239, 90 S.Ct. 2018, 26 L.Ed.2d 586 (1970)</w:t>
        </w:r>
      </w:hyperlink>
      <w:r w:rsidR="00743F35" w:rsidRPr="0019267D">
        <w:rPr>
          <w:rFonts w:ascii="Arial" w:hAnsi="Arial" w:cs="Arial"/>
          <w:color w:val="000000"/>
          <w:sz w:val="18"/>
          <w:szCs w:val="18"/>
        </w:rPr>
        <w:t xml:space="preserve"> (“[N]either the antiquity of a practice nor the fact of steadfast legislative and judicial adherence to it through the centuries insulates it from constitutional attack”); </w:t>
      </w:r>
      <w:r w:rsidR="00743F35" w:rsidRPr="0019267D">
        <w:rPr>
          <w:rFonts w:ascii="Arial" w:hAnsi="Arial" w:cs="Arial"/>
          <w:i/>
          <w:iCs/>
          <w:color w:val="000000"/>
          <w:sz w:val="18"/>
          <w:szCs w:val="18"/>
        </w:rPr>
        <w:t xml:space="preserve">see also </w:t>
      </w:r>
      <w:hyperlink r:id="rId712" w:history="1">
        <w:r w:rsidR="00743F35" w:rsidRPr="0019267D">
          <w:rPr>
            <w:rFonts w:ascii="Arial" w:hAnsi="Arial" w:cs="Arial"/>
            <w:i/>
            <w:iCs/>
            <w:color w:val="0000FF"/>
            <w:sz w:val="18"/>
            <w:szCs w:val="18"/>
          </w:rPr>
          <w:t>Heller v. Doe,</w:t>
        </w:r>
      </w:hyperlink>
      <w:hyperlink r:id="rId713" w:history="1">
        <w:r w:rsidR="00743F35" w:rsidRPr="0019267D">
          <w:rPr>
            <w:rFonts w:ascii="Arial" w:hAnsi="Arial" w:cs="Arial"/>
            <w:color w:val="0000FF"/>
            <w:sz w:val="18"/>
            <w:szCs w:val="18"/>
          </w:rPr>
          <w:t xml:space="preserve"> 509 U.S. 312, 326, 113 S.Ct. 2637, 125 L.Ed.2d 257 (1993)</w:t>
        </w:r>
      </w:hyperlink>
      <w:r w:rsidR="00743F35" w:rsidRPr="0019267D">
        <w:rPr>
          <w:rFonts w:ascii="Arial" w:hAnsi="Arial" w:cs="Arial"/>
          <w:color w:val="000000"/>
          <w:sz w:val="18"/>
          <w:szCs w:val="18"/>
        </w:rPr>
        <w:t xml:space="preserve"> (“Ancient lineage of a legal concept does not give it immunity from attack for lacking a rational basis.”).</w:t>
      </w:r>
    </w:p>
    <w:p w14:paraId="03CBE548"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027B78C" w14:textId="77777777" w:rsidR="00743F35" w:rsidRPr="0019267D" w:rsidRDefault="00CE5943" w:rsidP="00743F35">
      <w:pPr>
        <w:widowControl w:val="0"/>
        <w:autoSpaceDE w:val="0"/>
        <w:autoSpaceDN w:val="0"/>
        <w:adjustRightInd w:val="0"/>
        <w:ind w:firstLine="360"/>
        <w:jc w:val="both"/>
        <w:rPr>
          <w:rFonts w:ascii="Arial" w:hAnsi="Arial" w:cs="Arial"/>
          <w:color w:val="000000"/>
          <w:sz w:val="18"/>
          <w:szCs w:val="18"/>
        </w:rPr>
      </w:pPr>
      <w:hyperlink w:anchor="Document1zzF352032351566" w:history="1">
        <w:r w:rsidR="00743F35" w:rsidRPr="0019267D">
          <w:rPr>
            <w:rFonts w:ascii="Arial" w:hAnsi="Arial" w:cs="Arial"/>
            <w:color w:val="0000FF"/>
            <w:sz w:val="18"/>
            <w:szCs w:val="18"/>
          </w:rPr>
          <w:t>[35]</w:t>
        </w:r>
      </w:hyperlink>
      <w:bookmarkStart w:id="99" w:name="Document1zzB352032351566"/>
      <w:bookmarkEnd w:id="99"/>
      <w:r w:rsidR="00743F35" w:rsidRPr="0019267D">
        <w:rPr>
          <w:rFonts w:ascii="Arial" w:hAnsi="Arial" w:cs="Arial"/>
          <w:color w:val="000000"/>
          <w:sz w:val="18"/>
          <w:szCs w:val="18"/>
        </w:rPr>
        <w:t xml:space="preserve"> The traditional view of marriage has in the past included certain views about race and gender roles that were insufficient to uphold laws based on these views. </w:t>
      </w:r>
      <w:r w:rsidR="00743F35" w:rsidRPr="0019267D">
        <w:rPr>
          <w:rFonts w:ascii="Arial" w:hAnsi="Arial" w:cs="Arial"/>
          <w:i/>
          <w:iCs/>
          <w:color w:val="000000"/>
          <w:sz w:val="18"/>
          <w:szCs w:val="18"/>
        </w:rPr>
        <w:t xml:space="preserve">See </w:t>
      </w:r>
      <w:hyperlink r:id="rId714" w:history="1">
        <w:r w:rsidR="00743F35" w:rsidRPr="0019267D">
          <w:rPr>
            <w:rFonts w:ascii="Arial" w:hAnsi="Arial" w:cs="Arial"/>
            <w:i/>
            <w:iCs/>
            <w:color w:val="0000FF"/>
            <w:sz w:val="18"/>
            <w:szCs w:val="18"/>
          </w:rPr>
          <w:t>Lawrence v. Texas,</w:t>
        </w:r>
      </w:hyperlink>
      <w:hyperlink r:id="rId715" w:history="1">
        <w:r w:rsidR="00743F35" w:rsidRPr="0019267D">
          <w:rPr>
            <w:rFonts w:ascii="Arial" w:hAnsi="Arial" w:cs="Arial"/>
            <w:color w:val="0000FF"/>
            <w:sz w:val="18"/>
            <w:szCs w:val="18"/>
          </w:rPr>
          <w:t xml:space="preserve"> 539 U.S. 558, 577–78, 123 S.Ct. 2472, 156 L.Ed.2d 508 (2003)</w:t>
        </w:r>
      </w:hyperlink>
      <w:r w:rsidR="00743F35" w:rsidRPr="0019267D">
        <w:rPr>
          <w:rFonts w:ascii="Arial" w:hAnsi="Arial" w:cs="Arial"/>
          <w:color w:val="000000"/>
          <w:sz w:val="18"/>
          <w:szCs w:val="18"/>
        </w:rPr>
        <w:t xml:space="preserve"> (“[N]either history nor tradition could save a law prohibiting miscegenation from constitutional attack”) (citation omitted); </w:t>
      </w:r>
      <w:hyperlink r:id="rId716" w:history="1">
        <w:r w:rsidR="00743F35" w:rsidRPr="0019267D">
          <w:rPr>
            <w:rFonts w:ascii="Arial" w:hAnsi="Arial" w:cs="Arial"/>
            <w:i/>
            <w:iCs/>
            <w:color w:val="0000FF"/>
            <w:sz w:val="18"/>
            <w:szCs w:val="18"/>
          </w:rPr>
          <w:t>Nevada Dep't of Human Res. v. Hibbs,</w:t>
        </w:r>
      </w:hyperlink>
      <w:hyperlink r:id="rId717" w:history="1">
        <w:r w:rsidR="00743F35" w:rsidRPr="0019267D">
          <w:rPr>
            <w:rFonts w:ascii="Arial" w:hAnsi="Arial" w:cs="Arial"/>
            <w:color w:val="0000FF"/>
            <w:sz w:val="18"/>
            <w:szCs w:val="18"/>
          </w:rPr>
          <w:t xml:space="preserve"> 538 U.S. 721, 733–35, 123 S.Ct. 1972, 155 L.Ed.2d 953 (2003)</w:t>
        </w:r>
      </w:hyperlink>
      <w:r w:rsidR="00743F35" w:rsidRPr="0019267D">
        <w:rPr>
          <w:rFonts w:ascii="Arial" w:hAnsi="Arial" w:cs="Arial"/>
          <w:color w:val="000000"/>
          <w:sz w:val="18"/>
          <w:szCs w:val="18"/>
        </w:rPr>
        <w:t xml:space="preserve"> (finding that government action based on stereotypes about women's greater suitability or inclination to assume primary childcare responsibility was unconstitutional). And, as Justice Scalia has noted in dissent, “ ‘preserving the traditional institution of marriage’ is just a kinder way of describing the State's </w:t>
      </w:r>
      <w:r w:rsidR="00743F35" w:rsidRPr="0019267D">
        <w:rPr>
          <w:rFonts w:ascii="Arial" w:hAnsi="Arial" w:cs="Arial"/>
          <w:i/>
          <w:iCs/>
          <w:color w:val="000000"/>
          <w:sz w:val="18"/>
          <w:szCs w:val="18"/>
        </w:rPr>
        <w:t>moral disapproval</w:t>
      </w:r>
      <w:r w:rsidR="00743F35" w:rsidRPr="0019267D">
        <w:rPr>
          <w:rFonts w:ascii="Arial" w:hAnsi="Arial" w:cs="Arial"/>
          <w:color w:val="000000"/>
          <w:sz w:val="18"/>
          <w:szCs w:val="18"/>
        </w:rPr>
        <w:t xml:space="preserve"> of same-sex couples.” </w:t>
      </w:r>
      <w:hyperlink r:id="rId718" w:history="1">
        <w:r w:rsidR="00743F35" w:rsidRPr="0019267D">
          <w:rPr>
            <w:rFonts w:ascii="Arial" w:hAnsi="Arial" w:cs="Arial"/>
            <w:i/>
            <w:iCs/>
            <w:color w:val="0000FF"/>
            <w:sz w:val="18"/>
            <w:szCs w:val="18"/>
          </w:rPr>
          <w:t>Lawrence,</w:t>
        </w:r>
      </w:hyperlink>
      <w:hyperlink r:id="rId719" w:history="1">
        <w:r w:rsidR="00743F35" w:rsidRPr="0019267D">
          <w:rPr>
            <w:rFonts w:ascii="Arial" w:hAnsi="Arial" w:cs="Arial"/>
            <w:color w:val="0000FF"/>
            <w:sz w:val="18"/>
            <w:szCs w:val="18"/>
          </w:rPr>
          <w:t xml:space="preserve"> 539 U.S. at 601, 123 S.Ct. 2472</w:t>
        </w:r>
      </w:hyperlink>
      <w:r w:rsidR="00743F35" w:rsidRPr="0019267D">
        <w:rPr>
          <w:rFonts w:ascii="Arial" w:hAnsi="Arial" w:cs="Arial"/>
          <w:color w:val="000000"/>
          <w:sz w:val="18"/>
          <w:szCs w:val="18"/>
        </w:rPr>
        <w:t xml:space="preserve"> (Scalia, J., dissenting). While “[p]rivate biases may be outside the reach of the law, ... the law cannot, directly or indirectly, give them effect” at the expense of a disfavored group's constitutional rights. </w:t>
      </w:r>
      <w:hyperlink r:id="rId720" w:history="1">
        <w:r w:rsidR="00743F35" w:rsidRPr="0019267D">
          <w:rPr>
            <w:rFonts w:ascii="Arial" w:hAnsi="Arial" w:cs="Arial"/>
            <w:i/>
            <w:iCs/>
            <w:color w:val="0000FF"/>
            <w:sz w:val="18"/>
            <w:szCs w:val="18"/>
          </w:rPr>
          <w:t>Palmore v. Sidoti,</w:t>
        </w:r>
      </w:hyperlink>
      <w:hyperlink r:id="rId721" w:history="1">
        <w:r w:rsidR="00743F35" w:rsidRPr="0019267D">
          <w:rPr>
            <w:rFonts w:ascii="Arial" w:hAnsi="Arial" w:cs="Arial"/>
            <w:color w:val="0000FF"/>
            <w:sz w:val="18"/>
            <w:szCs w:val="18"/>
          </w:rPr>
          <w:t xml:space="preserve"> 466 U.S. 429, 433, 104 S.Ct. 1879, 80 L.Ed.2d 421 (1984)</w:t>
        </w:r>
      </w:hyperlink>
      <w:r w:rsidR="00743F35" w:rsidRPr="0019267D">
        <w:rPr>
          <w:rFonts w:ascii="Arial" w:hAnsi="Arial" w:cs="Arial"/>
          <w:color w:val="000000"/>
          <w:sz w:val="18"/>
          <w:szCs w:val="18"/>
        </w:rPr>
        <w:t>.</w:t>
      </w:r>
    </w:p>
    <w:p w14:paraId="4EB95F2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8837D0F"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Although the State did not directly present an argument based on religious freedom, the court notes that its decision does not </w:t>
      </w:r>
      <w:r w:rsidRPr="0019267D">
        <w:rPr>
          <w:rFonts w:ascii="Arial" w:hAnsi="Arial" w:cs="Arial"/>
          <w:color w:val="000000"/>
          <w:sz w:val="18"/>
          <w:szCs w:val="18"/>
        </w:rPr>
        <w:lastRenderedPageBreak/>
        <w:t xml:space="preserve">mandate any change for religious institutions, which may continue to express their own moral viewpoints and define their own traditions about marriage. If anything, the recognition of same-sex marriage expands religious freedom because some churches that have congregations in Utah desire to perform same-sex wedding ceremonies but are currently unable to do so. </w:t>
      </w:r>
      <w:r w:rsidRPr="0019267D">
        <w:rPr>
          <w:rFonts w:ascii="Arial" w:hAnsi="Arial" w:cs="Arial"/>
          <w:i/>
          <w:iCs/>
          <w:color w:val="000000"/>
          <w:sz w:val="18"/>
          <w:szCs w:val="18"/>
        </w:rPr>
        <w:t>See</w:t>
      </w:r>
      <w:r w:rsidRPr="0019267D">
        <w:rPr>
          <w:rFonts w:ascii="Arial" w:hAnsi="Arial" w:cs="Arial"/>
          <w:color w:val="000000"/>
          <w:sz w:val="18"/>
          <w:szCs w:val="18"/>
        </w:rPr>
        <w:t xml:space="preserve"> Brief of Amici Curiae Bishops et al., at 8–15, </w:t>
      </w:r>
      <w:hyperlink r:id="rId722" w:history="1">
        <w:r w:rsidRPr="0019267D">
          <w:rPr>
            <w:rFonts w:ascii="Arial" w:hAnsi="Arial" w:cs="Arial"/>
            <w:i/>
            <w:iCs/>
            <w:color w:val="0000FF"/>
            <w:sz w:val="18"/>
            <w:szCs w:val="18"/>
          </w:rPr>
          <w:t>United States v. Windsor,</w:t>
        </w:r>
      </w:hyperlink>
      <w:hyperlink r:id="rId723" w:history="1">
        <w:r w:rsidRPr="0019267D">
          <w:rPr>
            <w:rFonts w:ascii="Arial" w:hAnsi="Arial" w:cs="Arial"/>
            <w:color w:val="0000FF"/>
            <w:sz w:val="18"/>
            <w:szCs w:val="18"/>
          </w:rPr>
          <w:t xml:space="preserve"> ––– U.S. ––––, 133 S.Ct. 2675, 186 L.Ed.2d 808 (2013)</w:t>
        </w:r>
      </w:hyperlink>
      <w:r w:rsidRPr="0019267D">
        <w:rPr>
          <w:rFonts w:ascii="Arial" w:hAnsi="Arial" w:cs="Arial"/>
          <w:color w:val="000000"/>
          <w:sz w:val="18"/>
          <w:szCs w:val="18"/>
        </w:rPr>
        <w:t xml:space="preserve"> (No. 12–307) (arguing that the inherent dignity of lesbian and gay individuals informs the theology of numerous religious beliefs, including the Unitarian Universalist Church and the United Church of Christ). By recognizing the right to marry a partner of the same sex, the State allows these groups the freedom to practice their religious beliefs without mandating that other groups must adopt similar practices.</w:t>
      </w:r>
    </w:p>
    <w:p w14:paraId="27617CE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62012BDD"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For these reasons, the court finds that the State's interest in preserving its traditional definition of marriage is not sufficient to survive rational basis review.</w:t>
      </w:r>
    </w:p>
    <w:p w14:paraId="61FCB2D9"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6660872"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 xml:space="preserve">C. </w:t>
      </w:r>
      <w:r w:rsidRPr="0019267D">
        <w:rPr>
          <w:rFonts w:ascii="Arial" w:hAnsi="Arial" w:cs="Arial"/>
          <w:i/>
          <w:iCs/>
          <w:color w:val="000000"/>
          <w:sz w:val="18"/>
          <w:szCs w:val="18"/>
        </w:rPr>
        <w:t>Summary of Rational Basis Analysis</w:t>
      </w:r>
    </w:p>
    <w:p w14:paraId="035EE08C"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In its briefing and at oral argument, the State was unable to articulate a specific connection between its prohibition of same-sex marriage and any of its stated legitimate interests. At most, the State asserted: “We just simply don't know.” (Hr'g Tr., at 94, 97, Dec. 4, 2013, Dkt. 88.) This argument is not persuasive. The State's position appears to be based on an assumption that the availability of same-sex marriage will somehow cause opposite-sex couples to forego marriage. But the State has not presented any evidence that heterosexual individuals will be any less inclined to enter into an opposite-sex marriage simply because their gay and lesbian fellow citizens are able to enter into a same-sex union. Similarly, the State has not shown any effect of the availability of same-sex marriage on the number of children raised by either opposite-sex or same-sex partners.</w:t>
      </w:r>
    </w:p>
    <w:p w14:paraId="69D91A3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8D0D65A"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contrast to the State's speculative concerns, the harm experienced by same-sex couples in Utah as a result of their inability to marry is undisputed. To apply the Supreme Court's reasoning in </w:t>
      </w:r>
      <w:hyperlink r:id="rId724"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Amendment 3 “tells those couples, and all the world, that their otherwise valid [relationships] are unworthy of [state] recognition. This places same-sex couples in an unstable position of being in a second-tier [relationship]. The differentiation demeans the couple, whose moral and sexual choices the Constitution protects.” </w:t>
      </w:r>
      <w:hyperlink r:id="rId725" w:history="1">
        <w:r w:rsidRPr="0019267D">
          <w:rPr>
            <w:rFonts w:ascii="Arial" w:hAnsi="Arial" w:cs="Arial"/>
            <w:i/>
            <w:iCs/>
            <w:color w:val="0000FF"/>
            <w:sz w:val="18"/>
            <w:szCs w:val="18"/>
          </w:rPr>
          <w:t>Windsor,</w:t>
        </w:r>
      </w:hyperlink>
      <w:hyperlink r:id="rId726" w:history="1">
        <w:r w:rsidRPr="0019267D">
          <w:rPr>
            <w:rFonts w:ascii="Arial" w:hAnsi="Arial" w:cs="Arial"/>
            <w:color w:val="0000FF"/>
            <w:sz w:val="18"/>
            <w:szCs w:val="18"/>
          </w:rPr>
          <w:t xml:space="preserve"> 133 S.Ct. at 2694;</w:t>
        </w:r>
      </w:hyperlink>
      <w:r w:rsidRPr="0019267D">
        <w:rPr>
          <w:rFonts w:ascii="Arial" w:hAnsi="Arial" w:cs="Arial"/>
          <w:color w:val="000000"/>
          <w:sz w:val="18"/>
          <w:szCs w:val="18"/>
        </w:rPr>
        <w:t xml:space="preserve"> </w:t>
      </w:r>
      <w:r w:rsidRPr="0019267D">
        <w:rPr>
          <w:rFonts w:ascii="Arial" w:hAnsi="Arial" w:cs="Arial"/>
          <w:i/>
          <w:iCs/>
          <w:color w:val="000000"/>
          <w:sz w:val="18"/>
          <w:szCs w:val="18"/>
        </w:rPr>
        <w:t xml:space="preserve">see also </w:t>
      </w:r>
      <w:hyperlink r:id="rId727" w:history="1">
        <w:r w:rsidRPr="0019267D">
          <w:rPr>
            <w:rFonts w:ascii="Arial" w:hAnsi="Arial" w:cs="Arial"/>
            <w:i/>
            <w:iCs/>
            <w:color w:val="0000FF"/>
            <w:sz w:val="18"/>
            <w:szCs w:val="18"/>
          </w:rPr>
          <w:t>id.</w:t>
        </w:r>
      </w:hyperlink>
      <w:hyperlink r:id="rId728" w:history="1">
        <w:r w:rsidRPr="0019267D">
          <w:rPr>
            <w:rFonts w:ascii="Arial" w:hAnsi="Arial" w:cs="Arial"/>
            <w:color w:val="0000FF"/>
            <w:sz w:val="18"/>
            <w:szCs w:val="18"/>
          </w:rPr>
          <w:t xml:space="preserve"> at 2710</w:t>
        </w:r>
      </w:hyperlink>
      <w:r w:rsidRPr="0019267D">
        <w:rPr>
          <w:rFonts w:ascii="Arial" w:hAnsi="Arial" w:cs="Arial"/>
          <w:color w:val="000000"/>
          <w:sz w:val="18"/>
          <w:szCs w:val="18"/>
        </w:rPr>
        <w:t xml:space="preserve"> (Scalia, J., dissenting) (suggesting that the majority's reasoning could be applied to the state-law context in precisely this way). And while Amendment 3 does not offer any additional protection to children being raised by opposite-sex couples, it demeans the children of same-sex couples who are told that their families are less worthy of protection than other families.</w:t>
      </w:r>
    </w:p>
    <w:p w14:paraId="0EBC1104"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5FE58385"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Plaintiffs have presented a number of compelling arguments demonstrating that the court should be more skeptical of Amendment 3 than of typical legislation. The law differentiates on the basis of sex and closely resembles the type of law containing discrimination of an unusual character that the Supreme Court struck down in </w:t>
      </w:r>
      <w:hyperlink r:id="rId729" w:history="1">
        <w:r w:rsidRPr="0019267D">
          <w:rPr>
            <w:rFonts w:ascii="Arial" w:hAnsi="Arial" w:cs="Arial"/>
            <w:i/>
            <w:iCs/>
            <w:color w:val="0000FF"/>
            <w:sz w:val="18"/>
            <w:szCs w:val="18"/>
          </w:rPr>
          <w:t>Romer</w:t>
        </w:r>
      </w:hyperlink>
      <w:r w:rsidRPr="0019267D">
        <w:rPr>
          <w:rFonts w:ascii="Arial" w:hAnsi="Arial" w:cs="Arial"/>
          <w:color w:val="000000"/>
          <w:sz w:val="18"/>
          <w:szCs w:val="18"/>
        </w:rPr>
        <w:t xml:space="preserve"> and </w:t>
      </w:r>
      <w:hyperlink r:id="rId730" w:history="1">
        <w:r w:rsidRPr="0019267D">
          <w:rPr>
            <w:rFonts w:ascii="Arial" w:hAnsi="Arial" w:cs="Arial"/>
            <w:i/>
            <w:iCs/>
            <w:color w:val="0000FF"/>
            <w:sz w:val="18"/>
            <w:szCs w:val="18"/>
          </w:rPr>
          <w:t>Windsor.</w:t>
        </w:r>
      </w:hyperlink>
      <w:r w:rsidRPr="0019267D">
        <w:rPr>
          <w:rFonts w:ascii="Arial" w:hAnsi="Arial" w:cs="Arial"/>
          <w:color w:val="000000"/>
          <w:sz w:val="18"/>
          <w:szCs w:val="18"/>
        </w:rPr>
        <w:t xml:space="preserve"> But even without applying heightened scrutiny to Amendment 3, the court finds that the law discriminates on the basis of sexual identity without a rational reason to do so. Because Amendment 3 fails even rational basis review, the court finds that Utah's prohibition on same-sex marriage violates the Plaintiffs' right to equal protection under the law.</w:t>
      </w:r>
    </w:p>
    <w:p w14:paraId="02F3609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4DCCF0BF"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b/>
          <w:bCs/>
          <w:color w:val="000000"/>
          <w:sz w:val="18"/>
          <w:szCs w:val="18"/>
        </w:rPr>
        <w:t>VI. Utah's Duty to Recognize a Marriage Validly Performed in Another State</w:t>
      </w:r>
    </w:p>
    <w:p w14:paraId="4A3CA734"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Plaintiffs Karen Archer and Kate Call contend that their rights to due process and equal protection are further infringed by the State's refusal to recognize their marriage that was validly performed in Iowa. The court's disposition of the other issues in this lawsuit renders this question moot. Utah's current laws violate the rights of same-sex couples who were married elsewhere not because they discriminate against a subsection of same-sex couples in Utah who were validly married in another state, but because they discriminate against all same-sex couples in Utah.</w:t>
      </w:r>
    </w:p>
    <w:p w14:paraId="13E7623D"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EB08AAA"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CONCLUSION</w:t>
      </w:r>
    </w:p>
    <w:p w14:paraId="45C460B1"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In 1966, attorneys for the State of Virginia made the following arguments to the Supreme Court in support of Virginia's law prohibiting interracial marriage: (1) “The Virginia statutes here under attack reflects [sic] a policy which has obtained in this Commonwealth for over two centuries and which still obtains in seventeen states”; (2) “Inasmuch as we have already noted the higher rate of divorce among the intermarried, is it not proper to ask, ‘Shall we then add to the number of children who become the victims of their intermarried parents?’ ”; (3) “[I]ntermarriage constitutes a threat to society”; and (4) “[U]nder the Constitution the regulation and control of marital and family relationships are reserved to the States.” </w:t>
      </w:r>
      <w:hyperlink r:id="rId731" w:history="1">
        <w:r w:rsidRPr="0019267D">
          <w:rPr>
            <w:rFonts w:ascii="Arial" w:hAnsi="Arial" w:cs="Arial"/>
            <w:color w:val="0000FF"/>
            <w:sz w:val="18"/>
            <w:szCs w:val="18"/>
          </w:rPr>
          <w:t xml:space="preserve">Brief for Respondents at 47–52, </w:t>
        </w:r>
      </w:hyperlink>
      <w:hyperlink r:id="rId732" w:history="1">
        <w:r w:rsidRPr="0019267D">
          <w:rPr>
            <w:rFonts w:ascii="Arial" w:hAnsi="Arial" w:cs="Arial"/>
            <w:i/>
            <w:iCs/>
            <w:color w:val="0000FF"/>
            <w:sz w:val="18"/>
            <w:szCs w:val="18"/>
          </w:rPr>
          <w:t>Loving v. Virginia,</w:t>
        </w:r>
      </w:hyperlink>
      <w:hyperlink r:id="rId733" w:history="1">
        <w:r w:rsidRPr="0019267D">
          <w:rPr>
            <w:rFonts w:ascii="Arial" w:hAnsi="Arial" w:cs="Arial"/>
            <w:color w:val="0000FF"/>
            <w:sz w:val="18"/>
            <w:szCs w:val="18"/>
          </w:rPr>
          <w:t xml:space="preserve"> 388 U.S. 1 (1967), 1967 WL 113931</w:t>
        </w:r>
      </w:hyperlink>
      <w:r w:rsidRPr="0019267D">
        <w:rPr>
          <w:rFonts w:ascii="Arial" w:hAnsi="Arial" w:cs="Arial"/>
          <w:color w:val="000000"/>
          <w:sz w:val="18"/>
          <w:szCs w:val="18"/>
        </w:rPr>
        <w:t xml:space="preserve">. These contentions are almost identical to the assertions made by the State of Utah in support of Utah's laws prohibiting same-sex marriage. For the reasons discussed above, the court finds these arguments as unpersuasive as the Supreme Court found them fifty years ago. Anti-miscegenation laws in Virginia and elsewhere were designed to, and did, deprive a targeted minority of the full measure of human dignity and liberty by denying them the freedom to marry the </w:t>
      </w:r>
      <w:r w:rsidRPr="0019267D">
        <w:rPr>
          <w:rFonts w:ascii="Arial" w:hAnsi="Arial" w:cs="Arial"/>
          <w:color w:val="000000"/>
          <w:sz w:val="18"/>
          <w:szCs w:val="18"/>
        </w:rPr>
        <w:lastRenderedPageBreak/>
        <w:t>partner of their choice. Utah's Amendment 3 achieves the same result.</w:t>
      </w:r>
    </w:p>
    <w:p w14:paraId="19BE445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3506F82"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Rather than protecting or supporting the families of opposite-sex couples, Amendment 3 perpetuates inequality by holding that the families and relationships of same-sex couples are not now, nor ever will be, worthy of recognition. Amendment 3 does not thereby elevate the status of opposite-sex marriage; it merely demeans the dignity of same-sex couples. And while the State cites an interest in protecting traditional marriage, it protects that interest by denying one of the most traditional aspects of marriage to thousands of its citizens: the right to form a family that is strengthened by a partnership based on love, intimacy, and shared responsibilities. The Plaintiffs' desire to publicly declare their vows of commitment and support to each other is a testament to the strength of marriage in society, not a sign that, by opening its doors to all individuals, it is in danger of collapse.</w:t>
      </w:r>
    </w:p>
    <w:p w14:paraId="2FD2A705"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3F5E27A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The State of Utah has provided no evidence that opposite-sex marriage will be affected in any way by same-sex marriage. In the absence of such evidence, the State's unsupported fears and speculations are insufficient to justify the State's refusal to dignify the family relationships of its gay and lesbian citizens. Moreover, the Constitution protects the Plaintiffs' fundamental rights, which include the right to marry and the right to have that marriage recognized by their government. These rights would be meaningless if the Constitution did not also prevent the government from interfering with the intensely personal choices an individual makes when that person decides to make a solemn commitment to another human being. The Constitution therefore protects the choice of one's partner for all citizens, regardless of their sexual identity.</w:t>
      </w:r>
    </w:p>
    <w:p w14:paraId="1A2444C1"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7C6E6917"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r w:rsidRPr="0019267D">
        <w:rPr>
          <w:rFonts w:ascii="Arial" w:hAnsi="Arial" w:cs="Arial"/>
          <w:color w:val="000000"/>
          <w:sz w:val="18"/>
          <w:szCs w:val="18"/>
        </w:rPr>
        <w:t>ORDER</w:t>
      </w:r>
    </w:p>
    <w:p w14:paraId="32C29469" w14:textId="77777777" w:rsidR="00743F35" w:rsidRPr="0019267D" w:rsidRDefault="00743F35" w:rsidP="00743F35">
      <w:pPr>
        <w:widowControl w:val="0"/>
        <w:autoSpaceDE w:val="0"/>
        <w:autoSpaceDN w:val="0"/>
        <w:adjustRightInd w:val="0"/>
        <w:ind w:firstLine="360"/>
        <w:jc w:val="both"/>
        <w:rPr>
          <w:rFonts w:ascii="Arial" w:hAnsi="Arial" w:cs="Arial"/>
          <w:color w:val="000000"/>
          <w:sz w:val="18"/>
          <w:szCs w:val="18"/>
        </w:rPr>
      </w:pPr>
      <w:r w:rsidRPr="0019267D">
        <w:rPr>
          <w:rFonts w:ascii="Arial" w:hAnsi="Arial" w:cs="Arial"/>
          <w:color w:val="000000"/>
          <w:sz w:val="18"/>
          <w:szCs w:val="18"/>
        </w:rPr>
        <w:t xml:space="preserve">The court GRANTS the Plaintiffs' Motion for Summary Judgment (Dkt. 32) and DENIES the Defendants' Motion for Summary Judgment (Dkt. 33). The court hereby declares that Amendment 3 is unconstitutional because it denies the Plaintiffs their rights to due process and equal protection under the Fourteenth Amendment of the United States Constitution. The court hereby enjoins the State from enforcing </w:t>
      </w:r>
      <w:hyperlink r:id="rId734" w:history="1">
        <w:r w:rsidRPr="0019267D">
          <w:rPr>
            <w:rFonts w:ascii="Arial" w:hAnsi="Arial" w:cs="Arial"/>
            <w:color w:val="0000FF"/>
            <w:sz w:val="18"/>
            <w:szCs w:val="18"/>
          </w:rPr>
          <w:t>Sections 30–1–2</w:t>
        </w:r>
      </w:hyperlink>
      <w:r w:rsidRPr="0019267D">
        <w:rPr>
          <w:rFonts w:ascii="Arial" w:hAnsi="Arial" w:cs="Arial"/>
          <w:color w:val="000000"/>
          <w:sz w:val="18"/>
          <w:szCs w:val="18"/>
        </w:rPr>
        <w:t xml:space="preserve"> and </w:t>
      </w:r>
      <w:hyperlink r:id="rId735" w:history="1">
        <w:r w:rsidRPr="0019267D">
          <w:rPr>
            <w:rFonts w:ascii="Arial" w:hAnsi="Arial" w:cs="Arial"/>
            <w:color w:val="0000FF"/>
            <w:sz w:val="18"/>
            <w:szCs w:val="18"/>
          </w:rPr>
          <w:t>30–1–4.1 of the Utah Code</w:t>
        </w:r>
      </w:hyperlink>
      <w:r w:rsidRPr="0019267D">
        <w:rPr>
          <w:rFonts w:ascii="Arial" w:hAnsi="Arial" w:cs="Arial"/>
          <w:color w:val="000000"/>
          <w:sz w:val="18"/>
          <w:szCs w:val="18"/>
        </w:rPr>
        <w:t xml:space="preserve"> and </w:t>
      </w:r>
      <w:hyperlink r:id="rId736" w:history="1">
        <w:r w:rsidRPr="0019267D">
          <w:rPr>
            <w:rFonts w:ascii="Arial" w:hAnsi="Arial" w:cs="Arial"/>
            <w:color w:val="0000FF"/>
            <w:sz w:val="18"/>
            <w:szCs w:val="18"/>
          </w:rPr>
          <w:t>Article I, § 29</w:t>
        </w:r>
      </w:hyperlink>
      <w:r w:rsidRPr="0019267D">
        <w:rPr>
          <w:rFonts w:ascii="Arial" w:hAnsi="Arial" w:cs="Arial"/>
          <w:color w:val="000000"/>
          <w:sz w:val="18"/>
          <w:szCs w:val="18"/>
        </w:rPr>
        <w:t xml:space="preserve"> of the Utah Constitution to the extent these laws prohibit a person from marrying another person of the same sex.</w:t>
      </w:r>
    </w:p>
    <w:p w14:paraId="6DC46020" w14:textId="77777777" w:rsidR="00743F35" w:rsidRPr="0019267D" w:rsidRDefault="00743F35" w:rsidP="00743F35">
      <w:pPr>
        <w:widowControl w:val="0"/>
        <w:autoSpaceDE w:val="0"/>
        <w:autoSpaceDN w:val="0"/>
        <w:adjustRightInd w:val="0"/>
        <w:jc w:val="both"/>
        <w:rPr>
          <w:rFonts w:ascii="Arial" w:hAnsi="Arial" w:cs="Arial"/>
          <w:color w:val="000000"/>
          <w:sz w:val="18"/>
          <w:szCs w:val="18"/>
        </w:rPr>
      </w:pPr>
    </w:p>
    <w:p w14:paraId="21A89F9E" w14:textId="77777777" w:rsidR="00743F35" w:rsidRPr="0019267D" w:rsidRDefault="00743F35" w:rsidP="00743F35">
      <w:pPr>
        <w:widowControl w:val="0"/>
        <w:autoSpaceDE w:val="0"/>
        <w:autoSpaceDN w:val="0"/>
        <w:adjustRightInd w:val="0"/>
        <w:jc w:val="both"/>
        <w:rPr>
          <w:rFonts w:ascii="Arial" w:hAnsi="Arial" w:cs="Arial"/>
          <w:sz w:val="18"/>
          <w:szCs w:val="18"/>
        </w:rPr>
      </w:pPr>
    </w:p>
    <w:p w14:paraId="2C18A3E5" w14:textId="77777777" w:rsidR="00EE0D1B" w:rsidRPr="0019267D" w:rsidRDefault="00EE0D1B" w:rsidP="00EE0D1B">
      <w:pPr>
        <w:widowControl w:val="0"/>
        <w:autoSpaceDE w:val="0"/>
        <w:autoSpaceDN w:val="0"/>
        <w:adjustRightInd w:val="0"/>
        <w:jc w:val="both"/>
        <w:rPr>
          <w:rFonts w:ascii="Arial" w:hAnsi="Arial"/>
          <w:sz w:val="20"/>
        </w:rPr>
      </w:pPr>
    </w:p>
    <w:p w14:paraId="6DF741A0" w14:textId="77777777" w:rsidR="00697668" w:rsidRPr="0019267D" w:rsidRDefault="00697668" w:rsidP="00DB2F17">
      <w:pPr>
        <w:widowControl w:val="0"/>
        <w:autoSpaceDE w:val="0"/>
        <w:autoSpaceDN w:val="0"/>
        <w:adjustRightInd w:val="0"/>
        <w:jc w:val="both"/>
        <w:rPr>
          <w:rFonts w:ascii="Arial" w:hAnsi="Arial"/>
          <w:sz w:val="18"/>
          <w:lang w:bidi="en-US"/>
        </w:rPr>
      </w:pPr>
    </w:p>
    <w:p w14:paraId="1987192D" w14:textId="77777777" w:rsidR="00DB2F17" w:rsidRPr="0019267D" w:rsidRDefault="00DB2F17">
      <w:pPr>
        <w:jc w:val="both"/>
        <w:rPr>
          <w:rFonts w:ascii="Arial" w:hAnsi="Arial"/>
          <w:sz w:val="18"/>
        </w:rPr>
      </w:pPr>
    </w:p>
    <w:p w14:paraId="6EDD8A44" w14:textId="77777777" w:rsidR="00DB2F17" w:rsidRPr="0019267D" w:rsidRDefault="00DB2F17">
      <w:pPr>
        <w:widowControl w:val="0"/>
        <w:autoSpaceDE w:val="0"/>
        <w:autoSpaceDN w:val="0"/>
        <w:adjustRightInd w:val="0"/>
        <w:rPr>
          <w:rFonts w:ascii="Arial" w:hAnsi="Arial"/>
          <w:sz w:val="18"/>
        </w:rPr>
      </w:pPr>
    </w:p>
    <w:sectPr w:rsidR="00DB2F17" w:rsidRPr="0019267D" w:rsidSect="001D1199">
      <w:headerReference w:type="default" r:id="rId737"/>
      <w:footerReference w:type="even" r:id="rId738"/>
      <w:footerReference w:type="default" r:id="rId739"/>
      <w:footerReference w:type="first" r:id="rId740"/>
      <w:pgSz w:w="12240" w:h="15840"/>
      <w:pgMar w:top="2088" w:right="907" w:bottom="2088" w:left="907" w:header="1440" w:footer="144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47FC8" w14:textId="77777777" w:rsidR="001B5BEF" w:rsidRDefault="001B5BEF">
      <w:r>
        <w:separator/>
      </w:r>
    </w:p>
  </w:endnote>
  <w:endnote w:type="continuationSeparator" w:id="0">
    <w:p w14:paraId="06A1180D" w14:textId="77777777" w:rsidR="001B5BEF" w:rsidRDefault="001B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08620" w14:textId="77777777" w:rsidR="001B5BEF" w:rsidRDefault="001B5BEF" w:rsidP="00EA7013">
    <w:pPr>
      <w:pStyle w:val="Footer"/>
      <w:rPr>
        <w:rFonts w:ascii="B New Century Schlbk Bold" w:hAnsi="B New Century Schlbk Bold"/>
        <w:bCs/>
        <w:color w:val="0000FF"/>
        <w:sz w:val="16"/>
      </w:rPr>
    </w:pPr>
  </w:p>
  <w:p w14:paraId="727D059B" w14:textId="12F4C5B0" w:rsidR="001B5BEF" w:rsidRPr="00072070" w:rsidRDefault="001B5BEF"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2938CAC" w14:textId="77777777" w:rsidR="001B5BEF" w:rsidRDefault="001B5B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25421" w14:textId="77777777" w:rsidR="001B5BEF" w:rsidRDefault="001B5BEF">
    <w:pPr>
      <w:pStyle w:val="Footer"/>
    </w:pPr>
  </w:p>
  <w:p w14:paraId="14F89AD9" w14:textId="1222359C" w:rsidR="001B5BEF" w:rsidRPr="009651D2" w:rsidRDefault="001B5BEF" w:rsidP="00EA7013">
    <w:pPr>
      <w:pStyle w:val="Footer"/>
      <w:rPr>
        <w:rFonts w:ascii="Arial" w:hAnsi="Arial"/>
        <w:b/>
        <w:sz w:val="16"/>
      </w:rPr>
    </w:pPr>
    <w:r w:rsidRPr="009651D2">
      <w:rPr>
        <w:rFonts w:ascii="Arial" w:hAnsi="Arial"/>
        <w:b/>
        <w:bCs/>
        <w:color w:val="0000FF"/>
        <w:sz w:val="16"/>
      </w:rPr>
      <w:t xml:space="preserve">© </w:t>
    </w:r>
    <w:r w:rsidR="001D1199" w:rsidRPr="009651D2">
      <w:rPr>
        <w:rFonts w:ascii="Arial" w:hAnsi="Arial"/>
        <w:b/>
        <w:bCs/>
        <w:color w:val="0000FF"/>
        <w:sz w:val="16"/>
      </w:rPr>
      <w:t>2017</w:t>
    </w:r>
    <w:r w:rsidRPr="009651D2">
      <w:rPr>
        <w:rFonts w:ascii="Arial" w:hAnsi="Arial"/>
        <w:b/>
        <w:bCs/>
        <w:color w:val="0000FF"/>
        <w:sz w:val="16"/>
      </w:rPr>
      <w:t xml:space="preserve"> Cengage Learning. All Rights Reserved. May not be scanned, copied or duplicated, or posted to a publicly accessible website, in whole or in part.</w:t>
    </w:r>
  </w:p>
  <w:p w14:paraId="2D2F91C9" w14:textId="77777777" w:rsidR="001B5BEF" w:rsidRDefault="001B5BE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45B4F" w14:textId="77777777" w:rsidR="001B5BEF" w:rsidRDefault="001B5BEF">
    <w:pPr>
      <w:pStyle w:val="Footer"/>
      <w:jc w:val="center"/>
      <w:rPr>
        <w:rStyle w:val="PageNumber"/>
        <w:rFonts w:ascii="Helvetica" w:hAnsi="Helvetica"/>
      </w:rPr>
    </w:pPr>
  </w:p>
  <w:p w14:paraId="322F4908" w14:textId="4465573A" w:rsidR="001B5BEF" w:rsidRPr="00072070" w:rsidRDefault="001B5BEF" w:rsidP="009172B9">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0E2A70C" w14:textId="77777777" w:rsidR="001B5BEF" w:rsidRPr="009172B9" w:rsidRDefault="001B5BEF">
    <w:pPr>
      <w:pStyle w:val="Footer"/>
      <w:jc w:val="center"/>
      <w:rPr>
        <w:rStyle w:val="PageNumber"/>
        <w:rFonts w:ascii="Helvetica" w:hAnsi="Helvetica"/>
      </w:rPr>
    </w:pPr>
  </w:p>
  <w:p w14:paraId="60BF0D2A" w14:textId="77777777" w:rsidR="001B5BEF" w:rsidRDefault="001B5BEF">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5860" w14:textId="77777777" w:rsidR="001B5BEF" w:rsidRDefault="001B5BEF">
      <w:r>
        <w:separator/>
      </w:r>
    </w:p>
  </w:footnote>
  <w:footnote w:type="continuationSeparator" w:id="0">
    <w:p w14:paraId="2D751F0D" w14:textId="77777777" w:rsidR="001B5BEF" w:rsidRDefault="001B5B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CD69E" w14:textId="485CCBA5" w:rsidR="001B5BEF" w:rsidRDefault="001B5BEF">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46"/>
    <w:rsid w:val="00002EE5"/>
    <w:rsid w:val="00006DC4"/>
    <w:rsid w:val="000C78B5"/>
    <w:rsid w:val="0019267D"/>
    <w:rsid w:val="001B5BEF"/>
    <w:rsid w:val="001D1199"/>
    <w:rsid w:val="001E6DF6"/>
    <w:rsid w:val="003677D9"/>
    <w:rsid w:val="00407FB9"/>
    <w:rsid w:val="00416619"/>
    <w:rsid w:val="00441A80"/>
    <w:rsid w:val="00481655"/>
    <w:rsid w:val="004B228A"/>
    <w:rsid w:val="004C35E3"/>
    <w:rsid w:val="00566B49"/>
    <w:rsid w:val="005724DA"/>
    <w:rsid w:val="00697668"/>
    <w:rsid w:val="00743F35"/>
    <w:rsid w:val="00841A46"/>
    <w:rsid w:val="009172B9"/>
    <w:rsid w:val="009651D2"/>
    <w:rsid w:val="00A62E3B"/>
    <w:rsid w:val="00CE5943"/>
    <w:rsid w:val="00D96C5B"/>
    <w:rsid w:val="00DA0441"/>
    <w:rsid w:val="00DB2F17"/>
    <w:rsid w:val="00EA7013"/>
    <w:rsid w:val="00EE0D1B"/>
    <w:rsid w:val="00FC0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B558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A62E3B"/>
    <w:rPr>
      <w:rFonts w:ascii="New Century Schlbk" w:hAnsi="New Century Schlbk"/>
      <w:sz w:val="24"/>
    </w:rPr>
  </w:style>
  <w:style w:type="paragraph" w:styleId="BalloonText">
    <w:name w:val="Balloon Text"/>
    <w:basedOn w:val="Normal"/>
    <w:link w:val="BalloonTextChar"/>
    <w:uiPriority w:val="99"/>
    <w:semiHidden/>
    <w:unhideWhenUsed/>
    <w:rsid w:val="00A62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2E3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A62E3B"/>
    <w:rPr>
      <w:rFonts w:ascii="New Century Schlbk" w:hAnsi="New Century Schlbk"/>
      <w:sz w:val="24"/>
    </w:rPr>
  </w:style>
  <w:style w:type="paragraph" w:styleId="BalloonText">
    <w:name w:val="Balloon Text"/>
    <w:basedOn w:val="Normal"/>
    <w:link w:val="BalloonTextChar"/>
    <w:uiPriority w:val="99"/>
    <w:semiHidden/>
    <w:unhideWhenUsed/>
    <w:rsid w:val="00A62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2E3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83" Type="http://schemas.openxmlformats.org/officeDocument/2006/relationships/hyperlink" Target="http://www.westlaw.com/Find/Default.wl?rs=dfa1.0&amp;vr=2.0&amp;FindType=Y&amp;SerialNum=2003269919" TargetMode="External"/><Relationship Id="rId284" Type="http://schemas.openxmlformats.org/officeDocument/2006/relationships/hyperlink" Target="http://www.westlaw.com/Find/Default.wl?rs=dfa1.0&amp;vr=2.0&amp;FindType=Y&amp;SerialNum=2028479157" TargetMode="External"/><Relationship Id="rId285" Type="http://schemas.openxmlformats.org/officeDocument/2006/relationships/hyperlink" Target="http://www.westlaw.com/Find/Default.wl?rs=dfa1.0&amp;vr=2.0&amp;FindType=Y&amp;SerialNum=2028479157" TargetMode="External"/><Relationship Id="rId286" Type="http://schemas.openxmlformats.org/officeDocument/2006/relationships/hyperlink" Target="http://www.westlaw.com/Find/Default.wl?rs=dfa1.0&amp;vr=2.0&amp;FindType=Y&amp;SerialNum=2028479157" TargetMode="External"/><Relationship Id="rId287" Type="http://schemas.openxmlformats.org/officeDocument/2006/relationships/hyperlink" Target="http://www.westlaw.com/Find/Default.wl?rs=dfa1.0&amp;vr=2.0&amp;FindType=Y&amp;SerialNum=2028479157" TargetMode="External"/><Relationship Id="rId288" Type="http://schemas.openxmlformats.org/officeDocument/2006/relationships/hyperlink" Target="http://www.westlaw.com/Find/Default.wl?rs=dfa1.0&amp;vr=2.0&amp;FindType=Y&amp;SerialNum=2027239106" TargetMode="External"/><Relationship Id="rId289" Type="http://schemas.openxmlformats.org/officeDocument/2006/relationships/hyperlink" Target="http://www.westlaw.com/Find/Default.wl?rs=dfa1.0&amp;vr=2.0&amp;FindType=Y&amp;SerialNum=2028479157" TargetMode="External"/><Relationship Id="rId170" Type="http://schemas.openxmlformats.org/officeDocument/2006/relationships/hyperlink" Target="http://www.westlaw.com/Find/Default.wl?rs=dfa1.0&amp;vr=2.0&amp;DB=708&amp;FindType=Y&amp;SerialNum=1969141744" TargetMode="External"/><Relationship Id="rId171" Type="http://schemas.openxmlformats.org/officeDocument/2006/relationships/hyperlink" Target="http://www.westlaw.com/Find/Default.wl?rs=dfa1.0&amp;vr=2.0&amp;DB=708&amp;FindType=Y&amp;SerialNum=1969141744" TargetMode="External"/><Relationship Id="rId172" Type="http://schemas.openxmlformats.org/officeDocument/2006/relationships/hyperlink" Target="http://www.westlaw.com/Find/Default.wl?rs=dfa1.0&amp;vr=2.0&amp;DB=708&amp;FindType=Y&amp;SerialNum=1969141744" TargetMode="External"/><Relationship Id="rId173" Type="http://schemas.openxmlformats.org/officeDocument/2006/relationships/hyperlink" Target="http://www.westlaw.com/Find/Default.wl?rs=dfa1.0&amp;vr=2.0&amp;DB=708&amp;FindType=Y&amp;SerialNum=1969141744" TargetMode="External"/><Relationship Id="rId174" Type="http://schemas.openxmlformats.org/officeDocument/2006/relationships/hyperlink" Target="http://www.westlaw.com/Find/Default.wl?rs=dfa1.0&amp;vr=2.0&amp;FindType=Y&amp;SerialNum=2003269919" TargetMode="External"/><Relationship Id="rId175" Type="http://schemas.openxmlformats.org/officeDocument/2006/relationships/hyperlink" Target="http://www.westlaw.com/Find/Default.wl?rs=dfa1.0&amp;vr=2.0&amp;DB=708&amp;FindType=Y&amp;SerialNum=1992111890" TargetMode="External"/><Relationship Id="rId176" Type="http://schemas.openxmlformats.org/officeDocument/2006/relationships/hyperlink" Target="http://www.westlaw.com/Find/Default.wl?rs=dfa1.0&amp;vr=2.0&amp;DB=708&amp;FindType=Y&amp;SerialNum=1992111890" TargetMode="External"/><Relationship Id="rId177" Type="http://schemas.openxmlformats.org/officeDocument/2006/relationships/hyperlink" Target="http://www.westlaw.com/Find/Default.wl?rs=dfa1.0&amp;vr=2.0&amp;FindType=Y&amp;SerialNum=2003269919" TargetMode="External"/><Relationship Id="rId178" Type="http://schemas.openxmlformats.org/officeDocument/2006/relationships/hyperlink" Target="http://www.westlaw.com/Find/Default.wl?rs=dfa1.0&amp;vr=2.0&amp;DB=708&amp;FindType=Y&amp;SerialNum=2003269919" TargetMode="External"/><Relationship Id="rId179" Type="http://schemas.openxmlformats.org/officeDocument/2006/relationships/hyperlink" Target="http://www.westlaw.com/Find/Default.wl?rs=dfa1.0&amp;vr=2.0&amp;DB=708&amp;FindType=Y&amp;SerialNum=2003269919" TargetMode="External"/><Relationship Id="rId290" Type="http://schemas.openxmlformats.org/officeDocument/2006/relationships/hyperlink" Target="http://www.westlaw.com/Find/Default.wl?rs=dfa1.0&amp;vr=2.0&amp;FindType=Y&amp;SerialNum=2028479157" TargetMode="External"/><Relationship Id="rId291" Type="http://schemas.openxmlformats.org/officeDocument/2006/relationships/hyperlink" Target="http://www.westlaw.com/Find/Default.wl?rs=dfa1.0&amp;vr=2.0&amp;FindType=Y&amp;SerialNum=2028479157" TargetMode="External"/><Relationship Id="rId292" Type="http://schemas.openxmlformats.org/officeDocument/2006/relationships/hyperlink" Target="http://www.westlaw.com/Find/Default.wl?rs=dfa1.0&amp;vr=2.0&amp;FindType=Y&amp;SerialNum=2003269919" TargetMode="External"/><Relationship Id="rId293" Type="http://schemas.openxmlformats.org/officeDocument/2006/relationships/hyperlink" Target="http://www.westlaw.com/Find/Default.wl?rs=dfa1.0&amp;vr=2.0&amp;DB=506&amp;FindType=Y&amp;ReferencePositionType=S&amp;SerialNum=2006658012&amp;ReferencePosition=631" TargetMode="External"/><Relationship Id="rId294" Type="http://schemas.openxmlformats.org/officeDocument/2006/relationships/hyperlink" Target="http://www.westlaw.com/Find/Default.wl?rs=dfa1.0&amp;vr=2.0&amp;DB=506&amp;FindType=Y&amp;ReferencePositionType=S&amp;SerialNum=2006658012&amp;ReferencePosition=631" TargetMode="External"/><Relationship Id="rId295" Type="http://schemas.openxmlformats.org/officeDocument/2006/relationships/hyperlink" Target="http://www.westlaw.com/Find/Default.wl?rs=dfa1.0&amp;vr=2.0&amp;FindType=Y&amp;SerialNum=2006658012" TargetMode="External"/><Relationship Id="rId296" Type="http://schemas.openxmlformats.org/officeDocument/2006/relationships/hyperlink" Target="http://www.westlaw.com/Find/Default.wl?rs=dfa1.0&amp;vr=2.0&amp;FindType=Y&amp;SerialNum=2006658012" TargetMode="External"/><Relationship Id="rId297" Type="http://schemas.openxmlformats.org/officeDocument/2006/relationships/hyperlink" Target="http://www.westlaw.com/Find/Default.wl?rs=dfa1.0&amp;vr=2.0&amp;FindType=Y&amp;SerialNum=2006658012" TargetMode="External"/><Relationship Id="rId298" Type="http://schemas.openxmlformats.org/officeDocument/2006/relationships/hyperlink" Target="http://www.westlaw.com/Find/Default.wl?rs=dfa1.0&amp;vr=2.0&amp;FindType=Y&amp;SerialNum=2006658012" TargetMode="External"/><Relationship Id="rId299" Type="http://schemas.openxmlformats.org/officeDocument/2006/relationships/hyperlink" Target="http://www.westlaw.com/Find/Default.wl?rs=dfa1.0&amp;vr=2.0&amp;FindType=Y&amp;SerialNum=2025707854" TargetMode="External"/><Relationship Id="rId180" Type="http://schemas.openxmlformats.org/officeDocument/2006/relationships/hyperlink" Target="http://www.westlaw.com/Find/Default.wl?rs=dfa1.0&amp;vr=2.0&amp;DB=708&amp;FindType=Y&amp;SerialNum=2003269919" TargetMode="External"/><Relationship Id="rId181" Type="http://schemas.openxmlformats.org/officeDocument/2006/relationships/hyperlink" Target="http://www.westlaw.com/Find/Default.wl?rs=dfa1.0&amp;vr=2.0&amp;DB=708&amp;FindType=Y&amp;SerialNum=2003269919" TargetMode="External"/><Relationship Id="rId182" Type="http://schemas.openxmlformats.org/officeDocument/2006/relationships/hyperlink" Target="http://www.westlaw.com/Find/Default.wl?rs=dfa1.0&amp;vr=2.0&amp;DB=708&amp;FindType=Y&amp;SerialNum=2003269919" TargetMode="External"/><Relationship Id="rId183" Type="http://schemas.openxmlformats.org/officeDocument/2006/relationships/hyperlink" Target="http://www.westlaw.com/Find/Default.wl?rs=dfa1.0&amp;vr=2.0&amp;DB=708&amp;FindType=Y&amp;SerialNum=2003269919" TargetMode="External"/><Relationship Id="rId184" Type="http://schemas.openxmlformats.org/officeDocument/2006/relationships/hyperlink" Target="http://www.westlaw.com/Find/Default.wl?rs=dfa1.0&amp;vr=2.0&amp;DB=708&amp;FindType=Y&amp;SerialNum=2003269919" TargetMode="External"/><Relationship Id="rId185" Type="http://schemas.openxmlformats.org/officeDocument/2006/relationships/hyperlink" Target="http://www.westlaw.com/Find/Default.wl?rs=dfa1.0&amp;vr=2.0&amp;DB=708&amp;FindType=Y&amp;SerialNum=1969141744" TargetMode="External"/><Relationship Id="rId186" Type="http://schemas.openxmlformats.org/officeDocument/2006/relationships/hyperlink" Target="http://www.westlaw.com/Find/Default.wl?rs=dfa1.0&amp;vr=2.0&amp;DB=708&amp;FindType=Y&amp;SerialNum=1969141744" TargetMode="External"/><Relationship Id="rId187" Type="http://schemas.openxmlformats.org/officeDocument/2006/relationships/hyperlink" Target="http://www.westlaw.com/Find/Default.wl?rs=dfa1.0&amp;vr=2.0&amp;DB=708&amp;FindType=Y&amp;SerialNum=1992111890" TargetMode="External"/><Relationship Id="rId188" Type="http://schemas.openxmlformats.org/officeDocument/2006/relationships/hyperlink" Target="http://www.westlaw.com/Find/Default.wl?rs=dfa1.0&amp;vr=2.0&amp;DB=708&amp;FindType=Y&amp;SerialNum=1992111890" TargetMode="External"/><Relationship Id="rId189" Type="http://schemas.openxmlformats.org/officeDocument/2006/relationships/hyperlink" Target="http://www.westlaw.com/Find/Default.wl?rs=dfa1.0&amp;vr=2.0&amp;FindType=Y&amp;SerialNum=1992111890" TargetMode="External"/><Relationship Id="rId700" Type="http://schemas.openxmlformats.org/officeDocument/2006/relationships/hyperlink" Target="http://www.westlaw.com/Find/Default.wl?rs=dfa1.0&amp;vr=2.0&amp;DB=4637&amp;FindType=Y&amp;ReferencePositionType=S&amp;SerialNum=2022683934&amp;ReferencePosition=972" TargetMode="External"/><Relationship Id="rId701" Type="http://schemas.openxmlformats.org/officeDocument/2006/relationships/hyperlink" Target="http://www.westlaw.com/Find/Default.wl?rs=dfa1.0&amp;vr=2.0&amp;DB=708&amp;FindType=Y&amp;ReferencePositionType=S&amp;SerialNum=2030868161&amp;ReferencePosition=2694" TargetMode="External"/><Relationship Id="rId702" Type="http://schemas.openxmlformats.org/officeDocument/2006/relationships/hyperlink" Target="http://www.westlaw.com/Find/Default.wl?rs=dfa1.0&amp;vr=2.0&amp;DB=708&amp;FindType=Y&amp;ReferencePositionType=S&amp;SerialNum=2030868161&amp;ReferencePosition=2694" TargetMode="External"/><Relationship Id="rId703" Type="http://schemas.openxmlformats.org/officeDocument/2006/relationships/hyperlink" Target="http://www.westlaw.com/Find/Default.wl?rs=dfa1.0&amp;vr=2.0&amp;FindType=Y&amp;SerialNum=2030868161" TargetMode="External"/><Relationship Id="rId704" Type="http://schemas.openxmlformats.org/officeDocument/2006/relationships/hyperlink" Target="http://www.westlaw.com/Find/Default.wl?rs=dfa1.0&amp;vr=2.0&amp;FindType=Y&amp;SerialNum=2030868161" TargetMode="External"/><Relationship Id="rId10" Type="http://schemas.openxmlformats.org/officeDocument/2006/relationships/hyperlink" Target="http://www.westlaw.com/Find/Default.wl?rs=dfa1.0&amp;vr=2.0&amp;DB=1000546&amp;DocName=42USCAS2000BB&amp;FindType=L" TargetMode="External"/><Relationship Id="rId11" Type="http://schemas.openxmlformats.org/officeDocument/2006/relationships/hyperlink" Target="http://www.westlaw.com/Find/Default.wl?rs=dfa1.0&amp;vr=2.0&amp;DB=1000546&amp;DocName=42USCAS2000BB&amp;FindType=L" TargetMode="External"/><Relationship Id="rId12" Type="http://schemas.openxmlformats.org/officeDocument/2006/relationships/hyperlink" Target="http://www.westlaw.com/Find/Default.wl?rs=dfa1.0&amp;vr=2.0&amp;DB=0000708&amp;FindType=Y&amp;ReferencePositionType=S&amp;SerialNum=2033730953&amp;ReferencePosition=2760" TargetMode="External"/><Relationship Id="rId190" Type="http://schemas.openxmlformats.org/officeDocument/2006/relationships/hyperlink" Target="http://www.westlaw.com/Find/Default.wl?rs=dfa1.0&amp;vr=2.0&amp;DB=708&amp;FindType=Y&amp;SerialNum=2003269919" TargetMode="External"/><Relationship Id="rId191" Type="http://schemas.openxmlformats.org/officeDocument/2006/relationships/hyperlink" Target="http://www.westlaw.com/Find/Default.wl?rs=dfa1.0&amp;vr=2.0&amp;DB=708&amp;FindType=Y&amp;SerialNum=2003269919" TargetMode="External"/><Relationship Id="rId192" Type="http://schemas.openxmlformats.org/officeDocument/2006/relationships/hyperlink" Target="http://www.westlaw.com/Find/Default.wl?rs=dfa1.0&amp;vr=2.0&amp;DB=708&amp;FindType=Y&amp;SerialNum=2003269919" TargetMode="External"/><Relationship Id="rId193" Type="http://schemas.openxmlformats.org/officeDocument/2006/relationships/hyperlink" Target="http://www.westlaw.com/Find/Default.wl?rs=dfa1.0&amp;vr=2.0&amp;DB=708&amp;FindType=Y&amp;SerialNum=2003269919" TargetMode="External"/><Relationship Id="rId194" Type="http://schemas.openxmlformats.org/officeDocument/2006/relationships/hyperlink" Target="http://www.westlaw.com/Find/Default.wl?rs=dfa1.0&amp;vr=2.0&amp;DB=708&amp;FindType=Y&amp;SerialNum=2003269919" TargetMode="External"/><Relationship Id="rId195" Type="http://schemas.openxmlformats.org/officeDocument/2006/relationships/hyperlink" Target="http://www.westlaw.com/Find/Default.wl?rs=dfa1.0&amp;vr=2.0&amp;DB=708&amp;FindType=Y&amp;SerialNum=2003269919" TargetMode="External"/><Relationship Id="rId196" Type="http://schemas.openxmlformats.org/officeDocument/2006/relationships/hyperlink" Target="http://www.westlaw.com/Find/Default.wl?rs=dfa1.0&amp;vr=2.0&amp;DB=506&amp;FindType=Y&amp;ReferencePositionType=S&amp;SerialNum=1997178126&amp;ReferencePosition=20" TargetMode="External"/><Relationship Id="rId197" Type="http://schemas.openxmlformats.org/officeDocument/2006/relationships/hyperlink" Target="http://www.westlaw.com/Find/Default.wl?rs=dfa1.0&amp;vr=2.0&amp;DB=506&amp;FindType=Y&amp;ReferencePositionType=S&amp;SerialNum=1997178126&amp;ReferencePosition=20" TargetMode="External"/><Relationship Id="rId198" Type="http://schemas.openxmlformats.org/officeDocument/2006/relationships/hyperlink" Target="http://www.westlaw.com/Find/Default.wl?rs=dfa1.0&amp;vr=2.0&amp;DB=506&amp;FindType=Y&amp;ReferencePositionType=S&amp;SerialNum=1999028484&amp;ReferencePosition=122" TargetMode="External"/><Relationship Id="rId199" Type="http://schemas.openxmlformats.org/officeDocument/2006/relationships/hyperlink" Target="http://www.westlaw.com/Find/Default.wl?rs=dfa1.0&amp;vr=2.0&amp;DB=506&amp;FindType=Y&amp;ReferencePositionType=S&amp;SerialNum=1999028484&amp;ReferencePosition=122" TargetMode="External"/><Relationship Id="rId13" Type="http://schemas.openxmlformats.org/officeDocument/2006/relationships/hyperlink" Target="http://www.westlaw.com/Find/Default.wl?rs=dfa1.0&amp;vr=2.0&amp;DB=0000708&amp;FindType=Y&amp;ReferencePositionType=S&amp;SerialNum=2033730953&amp;ReferencePosition=2760" TargetMode="External"/><Relationship Id="rId14" Type="http://schemas.openxmlformats.org/officeDocument/2006/relationships/hyperlink" Target="http://www.westlaw.com/Find/Default.wl?rs=dfa1.0&amp;vr=2.0&amp;DB=0000708&amp;FindType=Y&amp;SerialNum=1990064132" TargetMode="External"/><Relationship Id="rId15" Type="http://schemas.openxmlformats.org/officeDocument/2006/relationships/hyperlink" Target="http://www.westlaw.com/Find/Default.wl?rs=dfa1.0&amp;vr=2.0&amp;DB=0000708&amp;FindType=Y&amp;SerialNum=1990064132" TargetMode="External"/><Relationship Id="rId16" Type="http://schemas.openxmlformats.org/officeDocument/2006/relationships/hyperlink" Target="http://www.westlaw.com/Find/Default.wl?rs=dfa1.0&amp;vr=2.0&amp;DB=0000708&amp;FindType=Y&amp;SerialNum=1990064132" TargetMode="External"/><Relationship Id="rId17" Type="http://schemas.openxmlformats.org/officeDocument/2006/relationships/hyperlink" Target="http://www.westlaw.com/Find/Default.wl?rs=dfa1.0&amp;vr=2.0&amp;DB=0000708&amp;FindType=Y&amp;SerialNum=1990064132" TargetMode="External"/><Relationship Id="rId18" Type="http://schemas.openxmlformats.org/officeDocument/2006/relationships/hyperlink" Target="http://www.westlaw.com/Find/Default.wl?rs=dfa1.0&amp;vr=2.0&amp;DB=0000708&amp;FindType=Y&amp;SerialNum=1972127114" TargetMode="External"/><Relationship Id="rId19" Type="http://schemas.openxmlformats.org/officeDocument/2006/relationships/hyperlink" Target="http://www.westlaw.com/Find/Default.wl?rs=dfa1.0&amp;vr=2.0&amp;DB=0000708&amp;FindType=Y&amp;SerialNum=1972127114" TargetMode="External"/><Relationship Id="rId705" Type="http://schemas.openxmlformats.org/officeDocument/2006/relationships/hyperlink" Target="http://www.westlaw.com/Find/Default.wl?rs=dfa1.0&amp;vr=2.0&amp;DB=708&amp;FindType=Y&amp;SerialNum=1985133474" TargetMode="External"/><Relationship Id="rId706" Type="http://schemas.openxmlformats.org/officeDocument/2006/relationships/hyperlink" Target="http://www.westlaw.com/Find/Default.wl?rs=dfa1.0&amp;vr=2.0&amp;DB=708&amp;FindType=Y&amp;SerialNum=1985133474" TargetMode="External"/><Relationship Id="rId707" Type="http://schemas.openxmlformats.org/officeDocument/2006/relationships/hyperlink" Target="http://www.westlaw.com/Find/Default.wl?rs=dfa1.0&amp;vr=2.0&amp;DB=708&amp;FindType=Y&amp;SerialNum=1985133474" TargetMode="External"/><Relationship Id="rId708" Type="http://schemas.openxmlformats.org/officeDocument/2006/relationships/hyperlink" Target="http://www.westlaw.com/Find/Default.wl?rs=dfa1.0&amp;vr=2.0&amp;DB=708&amp;FindType=Y&amp;SerialNum=1985133474" TargetMode="External"/><Relationship Id="rId709" Type="http://schemas.openxmlformats.org/officeDocument/2006/relationships/hyperlink" Target="http://www.westlaw.com/Find/Default.wl?rs=dfa1.0&amp;vr=2.0&amp;FindType=Y&amp;SerialNum=1985133474" TargetMode="External"/><Relationship Id="rId710" Type="http://schemas.openxmlformats.org/officeDocument/2006/relationships/hyperlink" Target="http://www.westlaw.com/Find/Default.wl?rs=dfa1.0&amp;vr=2.0&amp;DB=708&amp;FindType=Y&amp;SerialNum=1970134258" TargetMode="External"/><Relationship Id="rId711" Type="http://schemas.openxmlformats.org/officeDocument/2006/relationships/hyperlink" Target="http://www.westlaw.com/Find/Default.wl?rs=dfa1.0&amp;vr=2.0&amp;DB=708&amp;FindType=Y&amp;SerialNum=1970134258" TargetMode="External"/><Relationship Id="rId712" Type="http://schemas.openxmlformats.org/officeDocument/2006/relationships/hyperlink" Target="http://www.westlaw.com/Find/Default.wl?rs=dfa1.0&amp;vr=2.0&amp;DB=708&amp;FindType=Y&amp;SerialNum=1993129064" TargetMode="External"/><Relationship Id="rId713" Type="http://schemas.openxmlformats.org/officeDocument/2006/relationships/hyperlink" Target="http://www.westlaw.com/Find/Default.wl?rs=dfa1.0&amp;vr=2.0&amp;DB=708&amp;FindType=Y&amp;SerialNum=1993129064" TargetMode="External"/><Relationship Id="rId714" Type="http://schemas.openxmlformats.org/officeDocument/2006/relationships/hyperlink" Target="http://www.westlaw.com/Find/Default.wl?rs=dfa1.0&amp;vr=2.0&amp;DB=708&amp;FindType=Y&amp;SerialNum=2003452259" TargetMode="External"/><Relationship Id="rId20" Type="http://schemas.openxmlformats.org/officeDocument/2006/relationships/hyperlink" Target="http://www.westlaw.com/Find/Default.wl?rs=dfa1.0&amp;vr=2.0&amp;DB=0000708&amp;FindType=Y&amp;SerialNum=1963125396" TargetMode="External"/><Relationship Id="rId21" Type="http://schemas.openxmlformats.org/officeDocument/2006/relationships/hyperlink" Target="http://www.westlaw.com/Find/Default.wl?rs=dfa1.0&amp;vr=2.0&amp;DB=0000708&amp;FindType=Y&amp;SerialNum=1963125396" TargetMode="External"/><Relationship Id="rId22" Type="http://schemas.openxmlformats.org/officeDocument/2006/relationships/hyperlink" Target="http://www.westlaw.com/Find/Default.wl?rs=dfa1.0&amp;vr=2.0&amp;DB=0000708&amp;FindType=Y&amp;SerialNum=1972127114" TargetMode="External"/><Relationship Id="rId23" Type="http://schemas.openxmlformats.org/officeDocument/2006/relationships/hyperlink" Target="http://www.westlaw.com/Find/Default.wl?rs=dfa1.0&amp;vr=2.0&amp;DB=0000708&amp;FindType=Y&amp;SerialNum=1972127114" TargetMode="External"/><Relationship Id="rId24" Type="http://schemas.openxmlformats.org/officeDocument/2006/relationships/hyperlink" Target="http://www.westlaw.com/Find/Default.wl?rs=dfa1.0&amp;vr=2.0&amp;DB=0000708&amp;FindType=Y&amp;SerialNum=1972127114" TargetMode="External"/><Relationship Id="rId25" Type="http://schemas.openxmlformats.org/officeDocument/2006/relationships/hyperlink" Target="http://www.westlaw.com/Find/Default.wl?rs=dfa1.0&amp;vr=2.0&amp;DB=0000708&amp;FindType=Y&amp;SerialNum=1972127114" TargetMode="External"/><Relationship Id="rId26" Type="http://schemas.openxmlformats.org/officeDocument/2006/relationships/hyperlink" Target="http://www.westlaw.com/Find/Default.wl?rs=dfa1.0&amp;vr=2.0&amp;DB=0000708&amp;FindType=Y&amp;SerialNum=1963125396" TargetMode="External"/><Relationship Id="rId27" Type="http://schemas.openxmlformats.org/officeDocument/2006/relationships/hyperlink" Target="http://www.westlaw.com/Find/Default.wl?rs=dfa1.0&amp;vr=2.0&amp;DB=0000708&amp;FindType=Y&amp;SerialNum=1963125396" TargetMode="External"/><Relationship Id="rId28" Type="http://schemas.openxmlformats.org/officeDocument/2006/relationships/hyperlink" Target="http://www.westlaw.com/Find/Default.wl?rs=dfa1.0&amp;vr=2.0&amp;DB=0000708&amp;FindType=Y&amp;ReferencePositionType=S&amp;SerialNum=2033730953&amp;ReferencePosition=2760" TargetMode="External"/><Relationship Id="rId29" Type="http://schemas.openxmlformats.org/officeDocument/2006/relationships/hyperlink" Target="http://www.westlaw.com/Find/Default.wl?rs=dfa1.0&amp;vr=2.0&amp;DB=0000708&amp;FindType=Y&amp;ReferencePositionType=S&amp;SerialNum=2033730953&amp;ReferencePosition=2760" TargetMode="External"/><Relationship Id="rId715" Type="http://schemas.openxmlformats.org/officeDocument/2006/relationships/hyperlink" Target="http://www.westlaw.com/Find/Default.wl?rs=dfa1.0&amp;vr=2.0&amp;DB=708&amp;FindType=Y&amp;SerialNum=2003452259" TargetMode="External"/><Relationship Id="rId716" Type="http://schemas.openxmlformats.org/officeDocument/2006/relationships/hyperlink" Target="http://www.westlaw.com/Find/Default.wl?rs=dfa1.0&amp;vr=2.0&amp;DB=708&amp;FindType=Y&amp;SerialNum=2003378344" TargetMode="External"/><Relationship Id="rId717" Type="http://schemas.openxmlformats.org/officeDocument/2006/relationships/hyperlink" Target="http://www.westlaw.com/Find/Default.wl?rs=dfa1.0&amp;vr=2.0&amp;DB=708&amp;FindType=Y&amp;SerialNum=2003378344" TargetMode="External"/><Relationship Id="rId718" Type="http://schemas.openxmlformats.org/officeDocument/2006/relationships/hyperlink" Target="http://www.westlaw.com/Find/Default.wl?rs=dfa1.0&amp;vr=2.0&amp;DB=708&amp;FindType=Y&amp;SerialNum=2003452259" TargetMode="External"/><Relationship Id="rId719" Type="http://schemas.openxmlformats.org/officeDocument/2006/relationships/hyperlink" Target="http://www.westlaw.com/Find/Default.wl?rs=dfa1.0&amp;vr=2.0&amp;DB=708&amp;FindType=Y&amp;SerialNum=2003452259" TargetMode="External"/><Relationship Id="rId600" Type="http://schemas.openxmlformats.org/officeDocument/2006/relationships/hyperlink" Target="http://www.westlaw.com/Find/Default.wl?rs=dfa1.0&amp;vr=2.0&amp;DB=708&amp;FindType=Y&amp;SerialNum=1988073370" TargetMode="External"/><Relationship Id="rId601" Type="http://schemas.openxmlformats.org/officeDocument/2006/relationships/hyperlink" Target="http://www.westlaw.com/Find/Default.wl?rs=dfa1.0&amp;vr=2.0&amp;FindType=Y&amp;SerialNum=1988073370" TargetMode="External"/><Relationship Id="rId602" Type="http://schemas.openxmlformats.org/officeDocument/2006/relationships/hyperlink" Target="http://www.westlaw.com/Find/Default.wl?rs=dfa1.0&amp;vr=2.0&amp;DB=708&amp;FindType=Y&amp;SerialNum=1996141696" TargetMode="External"/><Relationship Id="rId603" Type="http://schemas.openxmlformats.org/officeDocument/2006/relationships/hyperlink" Target="http://www.westlaw.com/Find/Default.wl?rs=dfa1.0&amp;vr=2.0&amp;DB=708&amp;FindType=Y&amp;SerialNum=1996141696" TargetMode="External"/><Relationship Id="rId604" Type="http://schemas.openxmlformats.org/officeDocument/2006/relationships/hyperlink" Target="http://www.westlaw.com/Find/Default.wl?rs=dfa1.0&amp;vr=2.0&amp;DB=506&amp;FindType=Y&amp;ReferencePositionType=S&amp;SerialNum=1994191960&amp;ReferencePosition=1519" TargetMode="External"/><Relationship Id="rId605" Type="http://schemas.openxmlformats.org/officeDocument/2006/relationships/hyperlink" Target="http://www.westlaw.com/Find/Default.wl?rs=dfa1.0&amp;vr=2.0&amp;DB=506&amp;FindType=Y&amp;ReferencePositionType=S&amp;SerialNum=1994191960&amp;ReferencePosition=1519" TargetMode="External"/><Relationship Id="rId606" Type="http://schemas.openxmlformats.org/officeDocument/2006/relationships/hyperlink" Target="http://www.westlaw.com/Find/Default.wl?rs=dfa1.0&amp;vr=2.0&amp;DB=708&amp;FindType=Y&amp;SerialNum=1967129542" TargetMode="External"/><Relationship Id="rId607" Type="http://schemas.openxmlformats.org/officeDocument/2006/relationships/hyperlink" Target="http://www.westlaw.com/Find/Default.wl?rs=dfa1.0&amp;vr=2.0&amp;DB=708&amp;FindType=Y&amp;SerialNum=1967129542" TargetMode="External"/><Relationship Id="rId608" Type="http://schemas.openxmlformats.org/officeDocument/2006/relationships/hyperlink" Target="http://www.westlaw.com/Find/Default.wl?rs=dfa1.0&amp;vr=2.0&amp;FindType=Y&amp;SerialNum=1967129542" TargetMode="External"/><Relationship Id="rId609" Type="http://schemas.openxmlformats.org/officeDocument/2006/relationships/hyperlink" Target="http://www.westlaw.com/Find/Default.wl?rs=dfa1.0&amp;vr=2.0&amp;DB=708&amp;FindType=Y&amp;SerialNum=1967129542" TargetMode="External"/><Relationship Id="rId720" Type="http://schemas.openxmlformats.org/officeDocument/2006/relationships/hyperlink" Target="http://www.westlaw.com/Find/Default.wl?rs=dfa1.0&amp;vr=2.0&amp;DB=708&amp;FindType=Y&amp;SerialNum=1984120053" TargetMode="External"/><Relationship Id="rId721" Type="http://schemas.openxmlformats.org/officeDocument/2006/relationships/hyperlink" Target="http://www.westlaw.com/Find/Default.wl?rs=dfa1.0&amp;vr=2.0&amp;DB=708&amp;FindType=Y&amp;SerialNum=1984120053" TargetMode="External"/><Relationship Id="rId722" Type="http://schemas.openxmlformats.org/officeDocument/2006/relationships/hyperlink" Target="http://www.westlaw.com/Find/Default.wl?rs=dfa1.0&amp;vr=2.0&amp;DB=708&amp;FindType=Y&amp;SerialNum=2030868161" TargetMode="External"/><Relationship Id="rId723" Type="http://schemas.openxmlformats.org/officeDocument/2006/relationships/hyperlink" Target="http://www.westlaw.com/Find/Default.wl?rs=dfa1.0&amp;vr=2.0&amp;DB=708&amp;FindType=Y&amp;SerialNum=2030868161" TargetMode="External"/><Relationship Id="rId724" Type="http://schemas.openxmlformats.org/officeDocument/2006/relationships/hyperlink" Target="http://www.westlaw.com/Find/Default.wl?rs=dfa1.0&amp;vr=2.0&amp;FindType=Y&amp;SerialNum=2030868161" TargetMode="External"/><Relationship Id="rId30" Type="http://schemas.openxmlformats.org/officeDocument/2006/relationships/hyperlink" Target="http://www.westlaw.com/Find/Default.wl?rs=dfa1.0&amp;vr=2.0&amp;DB=1000546&amp;DocName=42USCAS2000BB-1&amp;FindType=L&amp;ReferencePositionType=T&amp;ReferencePosition=SP_8b3b0000958a4" TargetMode="External"/><Relationship Id="rId31" Type="http://schemas.openxmlformats.org/officeDocument/2006/relationships/hyperlink" Target="http://www.westlaw.com/Find/Default.wl?rs=dfa1.0&amp;vr=2.0&amp;DB=1000546&amp;DocName=42USCAS2000BB-1&amp;FindType=L&amp;ReferencePositionType=T&amp;ReferencePosition=SP_a83b000018c76" TargetMode="External"/><Relationship Id="rId32" Type="http://schemas.openxmlformats.org/officeDocument/2006/relationships/hyperlink" Target="http://www.westlaw.com/Find/Default.wl?rs=dfa1.0&amp;vr=2.0&amp;DB=0000708&amp;FindType=Y&amp;SerialNum=1997134084" TargetMode="External"/><Relationship Id="rId33" Type="http://schemas.openxmlformats.org/officeDocument/2006/relationships/hyperlink" Target="http://www.westlaw.com/Find/Default.wl?rs=dfa1.0&amp;vr=2.0&amp;DB=0000708&amp;FindType=Y&amp;SerialNum=1997134084" TargetMode="External"/><Relationship Id="rId34" Type="http://schemas.openxmlformats.org/officeDocument/2006/relationships/hyperlink" Target="http://www.westlaw.com/Find/Default.wl?rs=dfa1.0&amp;vr=2.0&amp;DB=0000708&amp;FindType=Y&amp;SerialNum=1997134084" TargetMode="External"/><Relationship Id="rId35" Type="http://schemas.openxmlformats.org/officeDocument/2006/relationships/hyperlink" Target="http://www.westlaw.com/Find/Default.wl?rs=dfa1.0&amp;vr=2.0&amp;DB=0000708&amp;FindType=Y&amp;SerialNum=1997134084" TargetMode="External"/><Relationship Id="rId36" Type="http://schemas.openxmlformats.org/officeDocument/2006/relationships/hyperlink" Target="http://www.westlaw.com/Find/Default.wl?rs=dfa1.0&amp;vr=2.0&amp;DB=1000546&amp;DocName=42USCAS2000CC-1&amp;FindType=L&amp;ReferencePositionType=T&amp;ReferencePosition=SP_a83b000018c76" TargetMode="External"/><Relationship Id="rId37" Type="http://schemas.openxmlformats.org/officeDocument/2006/relationships/hyperlink" Target="http://www.westlaw.com/Find/Default.wl?rs=dfa1.0&amp;vr=2.0&amp;DB=1000546&amp;DocName=42USCAS2000CC&amp;FindType=L" TargetMode="External"/><Relationship Id="rId38" Type="http://schemas.openxmlformats.org/officeDocument/2006/relationships/hyperlink" Target="http://www.westlaw.com/Find/Default.wl?rs=dfa1.0&amp;vr=2.0&amp;DB=1000546&amp;DocName=42USCAS2000CC-1&amp;FindType=L" TargetMode="External"/><Relationship Id="rId39" Type="http://schemas.openxmlformats.org/officeDocument/2006/relationships/hyperlink" Target="http://www.westlaw.com/Find/Default.wl?rs=dfa1.0&amp;vr=2.0&amp;DB=1000546&amp;DocName=42USCAS2000CC-1&amp;FindType=L&amp;ReferencePositionType=T&amp;ReferencePosition=SP_8b3b0000958a4" TargetMode="External"/><Relationship Id="rId725" Type="http://schemas.openxmlformats.org/officeDocument/2006/relationships/hyperlink" Target="http://www.westlaw.com/Find/Default.wl?rs=dfa1.0&amp;vr=2.0&amp;DB=708&amp;FindType=Y&amp;ReferencePositionType=S&amp;SerialNum=2030868161&amp;ReferencePosition=2694" TargetMode="External"/><Relationship Id="rId726" Type="http://schemas.openxmlformats.org/officeDocument/2006/relationships/hyperlink" Target="http://www.westlaw.com/Find/Default.wl?rs=dfa1.0&amp;vr=2.0&amp;DB=708&amp;FindType=Y&amp;ReferencePositionType=S&amp;SerialNum=2030868161&amp;ReferencePosition=2694" TargetMode="External"/><Relationship Id="rId727" Type="http://schemas.openxmlformats.org/officeDocument/2006/relationships/hyperlink" Target="http://www.westlaw.com/Find/Default.wl?rs=dfa1.0&amp;vr=2.0&amp;FindType=Y&amp;SerialNum=2030868161" TargetMode="External"/><Relationship Id="rId728" Type="http://schemas.openxmlformats.org/officeDocument/2006/relationships/hyperlink" Target="http://www.westlaw.com/Find/Default.wl?rs=dfa1.0&amp;vr=2.0&amp;FindType=Y&amp;SerialNum=2030868161" TargetMode="External"/><Relationship Id="rId729" Type="http://schemas.openxmlformats.org/officeDocument/2006/relationships/hyperlink" Target="http://www.westlaw.com/Find/Default.wl?rs=dfa1.0&amp;vr=2.0&amp;FindType=Y&amp;SerialNum=1996118409" TargetMode="External"/><Relationship Id="rId610" Type="http://schemas.openxmlformats.org/officeDocument/2006/relationships/hyperlink" Target="http://www.westlaw.com/Find/Default.wl?rs=dfa1.0&amp;vr=2.0&amp;DB=708&amp;FindType=Y&amp;SerialNum=1967129542" TargetMode="External"/><Relationship Id="rId611" Type="http://schemas.openxmlformats.org/officeDocument/2006/relationships/hyperlink" Target="http://www.westlaw.com/Find/Default.wl?rs=dfa1.0&amp;vr=2.0&amp;DB=708&amp;FindType=Y&amp;SerialNum=1967129542" TargetMode="External"/><Relationship Id="rId612" Type="http://schemas.openxmlformats.org/officeDocument/2006/relationships/hyperlink" Target="http://www.westlaw.com/Find/Default.wl?rs=dfa1.0&amp;vr=2.0&amp;DB=708&amp;FindType=Y&amp;SerialNum=1967129542" TargetMode="External"/><Relationship Id="rId613" Type="http://schemas.openxmlformats.org/officeDocument/2006/relationships/hyperlink" Target="http://www.westlaw.com/Find/Default.wl?rs=dfa1.0&amp;vr=2.0&amp;DB=708&amp;FindType=Y&amp;SerialNum=1996141696" TargetMode="External"/><Relationship Id="rId614" Type="http://schemas.openxmlformats.org/officeDocument/2006/relationships/hyperlink" Target="http://www.westlaw.com/Find/Default.wl?rs=dfa1.0&amp;vr=2.0&amp;DB=708&amp;FindType=Y&amp;SerialNum=1996141696" TargetMode="External"/><Relationship Id="rId615" Type="http://schemas.openxmlformats.org/officeDocument/2006/relationships/hyperlink" Target="http://www.westlaw.com/Find/Default.wl?rs=dfa1.0&amp;vr=2.0&amp;DB=708&amp;FindType=Y&amp;SerialNum=1973126364" TargetMode="External"/><Relationship Id="rId616" Type="http://schemas.openxmlformats.org/officeDocument/2006/relationships/hyperlink" Target="http://www.westlaw.com/Find/Default.wl?rs=dfa1.0&amp;vr=2.0&amp;DB=708&amp;FindType=Y&amp;SerialNum=1973126364" TargetMode="External"/><Relationship Id="rId617" Type="http://schemas.openxmlformats.org/officeDocument/2006/relationships/hyperlink" Target="http://www.westlaw.com/Find/Default.wl?rs=dfa1.0&amp;vr=2.0&amp;FindType=Y&amp;SerialNum=2015941399" TargetMode="External"/><Relationship Id="rId618" Type="http://schemas.openxmlformats.org/officeDocument/2006/relationships/hyperlink" Target="http://www.westlaw.com/Find/Default.wl?rs=dfa1.0&amp;vr=2.0&amp;DB=506&amp;FindType=Y&amp;ReferencePositionType=S&amp;SerialNum=2015941399&amp;ReferencePosition=1105" TargetMode="External"/><Relationship Id="rId619" Type="http://schemas.openxmlformats.org/officeDocument/2006/relationships/hyperlink" Target="http://www.westlaw.com/Find/Default.wl?rs=dfa1.0&amp;vr=2.0&amp;FindType=Y&amp;SerialNum=2015941399" TargetMode="External"/><Relationship Id="rId500" Type="http://schemas.openxmlformats.org/officeDocument/2006/relationships/hyperlink" Target="http://www.westlaw.com/Find/Default.wl?rs=dfa1.0&amp;vr=2.0&amp;DB=708&amp;FindType=Y&amp;SerialNum=1942122820" TargetMode="External"/><Relationship Id="rId501" Type="http://schemas.openxmlformats.org/officeDocument/2006/relationships/hyperlink" Target="http://www.westlaw.com/Find/Default.wl?rs=dfa1.0&amp;vr=2.0&amp;FindType=Y&amp;SerialNum=1965125098" TargetMode="External"/><Relationship Id="rId502" Type="http://schemas.openxmlformats.org/officeDocument/2006/relationships/hyperlink" Target="http://www.westlaw.com/Find/Default.wl?rs=dfa1.0&amp;vr=2.0&amp;DB=708&amp;FindType=Y&amp;SerialNum=1965125098" TargetMode="External"/><Relationship Id="rId503" Type="http://schemas.openxmlformats.org/officeDocument/2006/relationships/hyperlink" Target="http://www.westlaw.com/Find/Default.wl?rs=dfa1.0&amp;vr=2.0&amp;FindType=Y&amp;SerialNum=1996273913" TargetMode="External"/><Relationship Id="rId504" Type="http://schemas.openxmlformats.org/officeDocument/2006/relationships/hyperlink" Target="http://www.westlaw.com/Find/Default.wl?rs=dfa1.0&amp;vr=2.0&amp;DB=708&amp;FindType=Y&amp;SerialNum=1996273913" TargetMode="External"/><Relationship Id="rId505" Type="http://schemas.openxmlformats.org/officeDocument/2006/relationships/hyperlink" Target="http://www.westlaw.com/Find/Default.wl?rs=dfa1.0&amp;vr=2.0&amp;DB=708&amp;FindType=Y&amp;SerialNum=1974127118" TargetMode="External"/><Relationship Id="rId506" Type="http://schemas.openxmlformats.org/officeDocument/2006/relationships/hyperlink" Target="http://www.westlaw.com/Find/Default.wl?rs=dfa1.0&amp;vr=2.0&amp;DB=708&amp;FindType=Y&amp;SerialNum=1974127118" TargetMode="External"/><Relationship Id="rId507" Type="http://schemas.openxmlformats.org/officeDocument/2006/relationships/hyperlink" Target="http://www.westlaw.com/Find/Default.wl?rs=dfa1.0&amp;vr=2.0&amp;DB=708&amp;FindType=Y&amp;SerialNum=1977118797" TargetMode="External"/><Relationship Id="rId508" Type="http://schemas.openxmlformats.org/officeDocument/2006/relationships/hyperlink" Target="http://www.westlaw.com/Find/Default.wl?rs=dfa1.0&amp;vr=2.0&amp;DB=708&amp;FindType=Y&amp;SerialNum=1977118797" TargetMode="External"/><Relationship Id="rId509" Type="http://schemas.openxmlformats.org/officeDocument/2006/relationships/hyperlink" Target="http://www.westlaw.com/Find/Default.wl?rs=dfa1.0&amp;vr=2.0&amp;DB=708&amp;FindType=Y&amp;SerialNum=1990096944" TargetMode="External"/><Relationship Id="rId730" Type="http://schemas.openxmlformats.org/officeDocument/2006/relationships/hyperlink" Target="http://www.westlaw.com/Find/Default.wl?rs=dfa1.0&amp;vr=2.0&amp;FindType=Y&amp;SerialNum=2030868161" TargetMode="External"/><Relationship Id="rId731" Type="http://schemas.openxmlformats.org/officeDocument/2006/relationships/hyperlink" Target="http://www.westlaw.com/Find/Default.wl?rs=dfa1.0&amp;vr=2.0&amp;DB=780&amp;FindType=Y&amp;SerialNum=1967104250" TargetMode="External"/><Relationship Id="rId732" Type="http://schemas.openxmlformats.org/officeDocument/2006/relationships/hyperlink" Target="http://www.westlaw.com/Find/Default.wl?rs=dfa1.0&amp;vr=2.0&amp;DB=780&amp;FindType=Y&amp;SerialNum=1967104250" TargetMode="External"/><Relationship Id="rId733" Type="http://schemas.openxmlformats.org/officeDocument/2006/relationships/hyperlink" Target="http://www.westlaw.com/Find/Default.wl?rs=dfa1.0&amp;vr=2.0&amp;DB=780&amp;FindType=Y&amp;SerialNum=1967104250" TargetMode="External"/><Relationship Id="rId734" Type="http://schemas.openxmlformats.org/officeDocument/2006/relationships/hyperlink" Target="http://www.westlaw.com/Find/Default.wl?rs=dfa1.0&amp;vr=2.0&amp;DB=1000511&amp;DocName=UTSTS30-1-2&amp;FindType=L" TargetMode="External"/><Relationship Id="rId40" Type="http://schemas.openxmlformats.org/officeDocument/2006/relationships/hyperlink" Target="http://www.westlaw.com/Find/Default.wl?rs=dfa1.0&amp;vr=2.0&amp;DB=0000708&amp;FindType=Y&amp;SerialNum=2008492137" TargetMode="External"/><Relationship Id="rId41" Type="http://schemas.openxmlformats.org/officeDocument/2006/relationships/hyperlink" Target="http://www.westlaw.com/Find/Default.wl?rs=dfa1.0&amp;vr=2.0&amp;DB=0000708&amp;FindType=Y&amp;SerialNum=2008492137" TargetMode="External"/><Relationship Id="rId42" Type="http://schemas.openxmlformats.org/officeDocument/2006/relationships/hyperlink" Target="http://www.westlaw.com/Find/Default.wl?rs=dfa1.0&amp;vr=2.0&amp;DB=1000546&amp;DocName=42USCAS2000CC-5&amp;FindType=L&amp;ReferencePositionType=T&amp;ReferencePosition=SP_997a0000c4422" TargetMode="External"/><Relationship Id="rId43" Type="http://schemas.openxmlformats.org/officeDocument/2006/relationships/hyperlink" Target="http://www.westlaw.com/Find/Default.wl?rs=dfa1.0&amp;vr=2.0&amp;DB=0000708&amp;FindType=Y&amp;ReferencePositionType=S&amp;SerialNum=2033730953&amp;ReferencePosition=2761" TargetMode="External"/><Relationship Id="rId44" Type="http://schemas.openxmlformats.org/officeDocument/2006/relationships/hyperlink" Target="http://www.westlaw.com/Find/Default.wl?rs=dfa1.0&amp;vr=2.0&amp;DB=0000708&amp;FindType=Y&amp;ReferencePositionType=S&amp;SerialNum=2033730953&amp;ReferencePosition=2761" TargetMode="External"/><Relationship Id="rId45" Type="http://schemas.openxmlformats.org/officeDocument/2006/relationships/hyperlink" Target="http://www.westlaw.com/Find/Default.wl?rs=dfa1.0&amp;vr=2.0&amp;DB=0006538&amp;FindType=Y&amp;SerialNum=2030714192" TargetMode="External"/><Relationship Id="rId46" Type="http://schemas.openxmlformats.org/officeDocument/2006/relationships/hyperlink" Target="http://www.westlaw.com/Find/Default.wl?rs=dfa1.0&amp;vr=2.0&amp;DB=0006538&amp;FindType=Y&amp;ReferencePositionType=S&amp;SerialNum=2030714192&amp;ReferencePosition=562" TargetMode="External"/><Relationship Id="rId47" Type="http://schemas.openxmlformats.org/officeDocument/2006/relationships/hyperlink" Target="http://www.westlaw.com/Find/Default.wl?rs=dfa1.0&amp;vr=2.0&amp;DB=0006538&amp;FindType=Y&amp;ReferencePositionType=S&amp;SerialNum=2030714192&amp;ReferencePosition=562" TargetMode="External"/><Relationship Id="rId48" Type="http://schemas.openxmlformats.org/officeDocument/2006/relationships/hyperlink" Target="http://www.westlaw.com/Find/Default.wl?rs=dfa1.0&amp;vr=2.0&amp;DB=0000708&amp;DocName=134SCT635&amp;FindType=Y" TargetMode="External"/><Relationship Id="rId49" Type="http://schemas.openxmlformats.org/officeDocument/2006/relationships/hyperlink" Target="http://www.westlaw.com/Find/Default.wl?rs=dfa1.0&amp;vr=2.0&amp;DB=0000708&amp;FindType=Y&amp;SerialNum=2031760496" TargetMode="External"/><Relationship Id="rId735" Type="http://schemas.openxmlformats.org/officeDocument/2006/relationships/hyperlink" Target="http://www.westlaw.com/Find/Default.wl?rs=dfa1.0&amp;vr=2.0&amp;DB=1000511&amp;DocName=UTSTS30-1-4.1&amp;FindType=L" TargetMode="External"/><Relationship Id="rId736" Type="http://schemas.openxmlformats.org/officeDocument/2006/relationships/hyperlink" Target="http://www.westlaw.com/Find/Default.wl?rs=dfa1.0&amp;vr=2.0&amp;DB=1000511&amp;DocName=UTCNART1S29&amp;FindType=L" TargetMode="External"/><Relationship Id="rId737" Type="http://schemas.openxmlformats.org/officeDocument/2006/relationships/header" Target="header1.xml"/><Relationship Id="rId738" Type="http://schemas.openxmlformats.org/officeDocument/2006/relationships/footer" Target="footer1.xml"/><Relationship Id="rId739" Type="http://schemas.openxmlformats.org/officeDocument/2006/relationships/footer" Target="footer2.xml"/><Relationship Id="rId620" Type="http://schemas.openxmlformats.org/officeDocument/2006/relationships/hyperlink" Target="http://www.westlaw.com/Find/Default.wl?rs=dfa1.0&amp;vr=2.0&amp;FindType=Y&amp;SerialNum=2015941399" TargetMode="External"/><Relationship Id="rId621" Type="http://schemas.openxmlformats.org/officeDocument/2006/relationships/hyperlink" Target="http://www.westlaw.com/Find/Default.wl?rs=dfa1.0&amp;vr=2.0&amp;FindType=Y&amp;SerialNum=2015941399" TargetMode="External"/><Relationship Id="rId622" Type="http://schemas.openxmlformats.org/officeDocument/2006/relationships/hyperlink" Target="http://www.westlaw.com/Find/Default.wl?rs=dfa1.0&amp;vr=2.0&amp;FindType=Y&amp;SerialNum=2015941399" TargetMode="External"/><Relationship Id="rId623" Type="http://schemas.openxmlformats.org/officeDocument/2006/relationships/hyperlink" Target="http://www.westlaw.com/Find/Default.wl?rs=dfa1.0&amp;vr=2.0&amp;FindType=Y&amp;SerialNum=2015941399" TargetMode="External"/><Relationship Id="rId624" Type="http://schemas.openxmlformats.org/officeDocument/2006/relationships/hyperlink" Target="http://www.westlaw.com/Find/Default.wl?rs=dfa1.0&amp;vr=2.0&amp;FindType=Y&amp;SerialNum=2015941399" TargetMode="External"/><Relationship Id="rId625" Type="http://schemas.openxmlformats.org/officeDocument/2006/relationships/hyperlink" Target="http://www.westlaw.com/Find/Default.wl?rs=dfa1.0&amp;vr=2.0&amp;FindType=Y&amp;SerialNum=2015941399" TargetMode="External"/><Relationship Id="rId626" Type="http://schemas.openxmlformats.org/officeDocument/2006/relationships/hyperlink" Target="http://www.westlaw.com/Find/Default.wl?rs=dfa1.0&amp;vr=2.0&amp;FindType=Y&amp;SerialNum=2015941399" TargetMode="External"/><Relationship Id="rId627" Type="http://schemas.openxmlformats.org/officeDocument/2006/relationships/hyperlink" Target="http://www.westlaw.com/Find/Default.wl?rs=dfa1.0&amp;vr=2.0&amp;DB=708&amp;FindType=Y&amp;SerialNum=1996118409" TargetMode="External"/><Relationship Id="rId628" Type="http://schemas.openxmlformats.org/officeDocument/2006/relationships/hyperlink" Target="http://www.westlaw.com/Find/Default.wl?rs=dfa1.0&amp;vr=2.0&amp;DB=708&amp;FindType=Y&amp;SerialNum=1996118409" TargetMode="External"/><Relationship Id="rId629" Type="http://schemas.openxmlformats.org/officeDocument/2006/relationships/hyperlink" Target="http://www.westlaw.com/Find/Default.wl?rs=dfa1.0&amp;vr=2.0&amp;DB=708&amp;FindType=Y&amp;SerialNum=2030868161" TargetMode="External"/><Relationship Id="rId510" Type="http://schemas.openxmlformats.org/officeDocument/2006/relationships/hyperlink" Target="http://www.westlaw.com/Find/Default.wl?rs=dfa1.0&amp;vr=2.0&amp;DB=708&amp;FindType=Y&amp;SerialNum=1990096944" TargetMode="External"/><Relationship Id="rId511" Type="http://schemas.openxmlformats.org/officeDocument/2006/relationships/hyperlink" Target="http://www.westlaw.com/Find/Default.wl?rs=dfa1.0&amp;vr=2.0&amp;FindType=Y&amp;SerialNum=1992116314" TargetMode="External"/><Relationship Id="rId512" Type="http://schemas.openxmlformats.org/officeDocument/2006/relationships/hyperlink" Target="http://www.westlaw.com/Find/Default.wl?rs=dfa1.0&amp;vr=2.0&amp;DB=708&amp;FindType=Y&amp;SerialNum=1992116314" TargetMode="External"/><Relationship Id="rId513" Type="http://schemas.openxmlformats.org/officeDocument/2006/relationships/hyperlink" Target="http://www.westlaw.com/Find/Default.wl?rs=dfa1.0&amp;vr=2.0&amp;DB=708&amp;FindType=Y&amp;SerialNum=1992116314" TargetMode="External"/><Relationship Id="rId514" Type="http://schemas.openxmlformats.org/officeDocument/2006/relationships/hyperlink" Target="http://www.westlaw.com/Find/Default.wl?rs=dfa1.0&amp;vr=2.0&amp;DB=708&amp;FindType=Y&amp;SerialNum=1967129542" TargetMode="External"/><Relationship Id="rId515" Type="http://schemas.openxmlformats.org/officeDocument/2006/relationships/hyperlink" Target="http://www.westlaw.com/Find/Default.wl?rs=dfa1.0&amp;vr=2.0&amp;DB=708&amp;FindType=Y&amp;SerialNum=1967129542" TargetMode="External"/><Relationship Id="rId516" Type="http://schemas.openxmlformats.org/officeDocument/2006/relationships/hyperlink" Target="http://www.westlaw.com/Find/Default.wl?rs=dfa1.0&amp;vr=2.0&amp;FindType=Y&amp;SerialNum=1967129542" TargetMode="External"/><Relationship Id="rId517" Type="http://schemas.openxmlformats.org/officeDocument/2006/relationships/hyperlink" Target="http://www.westlaw.com/Find/Default.wl?rs=dfa1.0&amp;vr=2.0&amp;FindType=Y&amp;SerialNum=1967129542" TargetMode="External"/><Relationship Id="rId518" Type="http://schemas.openxmlformats.org/officeDocument/2006/relationships/hyperlink" Target="http://www.westlaw.com/Find/Default.wl?rs=dfa1.0&amp;vr=2.0&amp;FindType=Y&amp;SerialNum=1967129542" TargetMode="External"/><Relationship Id="rId519" Type="http://schemas.openxmlformats.org/officeDocument/2006/relationships/hyperlink" Target="http://www.westlaw.com/Find/Default.wl?rs=dfa1.0&amp;vr=2.0&amp;DB=708&amp;FindType=Y&amp;SerialNum=1992116314" TargetMode="External"/><Relationship Id="rId740" Type="http://schemas.openxmlformats.org/officeDocument/2006/relationships/footer" Target="footer3.xml"/><Relationship Id="rId741" Type="http://schemas.openxmlformats.org/officeDocument/2006/relationships/fontTable" Target="fontTable.xml"/><Relationship Id="rId742" Type="http://schemas.openxmlformats.org/officeDocument/2006/relationships/theme" Target="theme/theme1.xml"/><Relationship Id="rId50" Type="http://schemas.openxmlformats.org/officeDocument/2006/relationships/hyperlink" Target="http://www.westlaw.com/Find/Default.wl?rs=dfa1.0&amp;vr=2.0&amp;DB=1000546&amp;DocName=42USCAS2000CC-5&amp;FindType=L&amp;ReferencePositionType=T&amp;ReferencePosition=SP_997a0000c4422" TargetMode="External"/><Relationship Id="rId51" Type="http://schemas.openxmlformats.org/officeDocument/2006/relationships/hyperlink" Target="http://www.westlaw.com/Find/Default.wl?rs=dfa1.0&amp;vr=2.0&amp;DB=0000708&amp;FindType=Y&amp;ReferencePositionType=S&amp;SerialNum=2033730953&amp;ReferencePosition=2774" TargetMode="External"/><Relationship Id="rId52" Type="http://schemas.openxmlformats.org/officeDocument/2006/relationships/hyperlink" Target="http://www.westlaw.com/Find/Default.wl?rs=dfa1.0&amp;vr=2.0&amp;DB=0000708&amp;FindType=Y&amp;ReferencePositionType=S&amp;SerialNum=2033730953&amp;ReferencePosition=2774" TargetMode="External"/><Relationship Id="rId53" Type="http://schemas.openxmlformats.org/officeDocument/2006/relationships/hyperlink" Target="http://www.westlaw.com/Find/Default.wl?rs=dfa1.0&amp;vr=2.0&amp;DB=0000708&amp;FindType=Y&amp;ReferencePositionType=S&amp;SerialNum=2033730953&amp;ReferencePosition=2775" TargetMode="External"/><Relationship Id="rId54" Type="http://schemas.openxmlformats.org/officeDocument/2006/relationships/hyperlink" Target="http://www.westlaw.com/Find/Default.wl?rs=dfa1.0&amp;vr=2.0&amp;DB=0000708&amp;FindType=Y&amp;ReferencePositionType=S&amp;SerialNum=2033730953&amp;ReferencePosition=2775" TargetMode="External"/><Relationship Id="rId55" Type="http://schemas.openxmlformats.org/officeDocument/2006/relationships/hyperlink" Target="http://www.westlaw.com/Find/Default.wl?rs=dfa1.0&amp;vr=2.0&amp;DB=0000708&amp;FindType=Y&amp;SerialNum=1987071661" TargetMode="External"/><Relationship Id="rId56" Type="http://schemas.openxmlformats.org/officeDocument/2006/relationships/hyperlink" Target="http://www.westlaw.com/Find/Default.wl?rs=dfa1.0&amp;vr=2.0&amp;DB=0000708&amp;FindType=Y&amp;SerialNum=1987071661" TargetMode="External"/><Relationship Id="rId57" Type="http://schemas.openxmlformats.org/officeDocument/2006/relationships/hyperlink" Target="http://www.westlaw.com/Find/Default.wl?rs=dfa1.0&amp;vr=2.0&amp;DB=0000708&amp;FindType=Y&amp;SerialNum=1987067369" TargetMode="External"/><Relationship Id="rId58" Type="http://schemas.openxmlformats.org/officeDocument/2006/relationships/hyperlink" Target="http://www.westlaw.com/Find/Default.wl?rs=dfa1.0&amp;vr=2.0&amp;DB=0000708&amp;FindType=Y&amp;SerialNum=1987067369" TargetMode="External"/><Relationship Id="rId59" Type="http://schemas.openxmlformats.org/officeDocument/2006/relationships/hyperlink" Target="http://www.westlaw.com/Find/Default.wl?rs=dfa1.0&amp;vr=2.0&amp;DB=1000546&amp;DocName=42USCAS2000CC-5&amp;FindType=L&amp;ReferencePositionType=T&amp;ReferencePosition=SP_997a0000c4422" TargetMode="External"/><Relationship Id="rId400" Type="http://schemas.openxmlformats.org/officeDocument/2006/relationships/hyperlink" Target="http://www.westlaw.com/Find/Default.wl?rs=dfa1.0&amp;vr=2.0&amp;FindType=Y&amp;SerialNum=2030868160" TargetMode="External"/><Relationship Id="rId401" Type="http://schemas.openxmlformats.org/officeDocument/2006/relationships/hyperlink" Target="http://www.westlaw.com/Find/Default.wl?rs=dfa1.0&amp;vr=2.0&amp;DB=1004365&amp;DocName=USFRCPR56&amp;FindType=L" TargetMode="External"/><Relationship Id="rId402" Type="http://schemas.openxmlformats.org/officeDocument/2006/relationships/hyperlink" Target="http://www.westlaw.com/Find/Default.wl?rs=dfa1.0&amp;vr=2.0&amp;DB=506&amp;FindType=Y&amp;ReferencePositionType=S&amp;SerialNum=2016123132&amp;ReferencePosition=629" TargetMode="External"/><Relationship Id="rId403" Type="http://schemas.openxmlformats.org/officeDocument/2006/relationships/hyperlink" Target="http://www.westlaw.com/Find/Default.wl?rs=dfa1.0&amp;vr=2.0&amp;DB=506&amp;FindType=Y&amp;ReferencePositionType=S&amp;SerialNum=2016123132&amp;ReferencePosition=629" TargetMode="External"/><Relationship Id="rId404" Type="http://schemas.openxmlformats.org/officeDocument/2006/relationships/hyperlink" Target="http://www.westlaw.com/Find/Default.wl?rs=dfa1.0&amp;vr=2.0&amp;DB=708&amp;FindType=Y&amp;SerialNum=2030868161" TargetMode="External"/><Relationship Id="rId405" Type="http://schemas.openxmlformats.org/officeDocument/2006/relationships/hyperlink" Target="http://www.westlaw.com/Find/Default.wl?rs=dfa1.0&amp;vr=2.0&amp;DB=708&amp;FindType=Y&amp;SerialNum=2030868161" TargetMode="External"/><Relationship Id="rId406" Type="http://schemas.openxmlformats.org/officeDocument/2006/relationships/hyperlink" Target="http://www.westlaw.com/Find/Default.wl?rs=dfa1.0&amp;vr=2.0&amp;FindType=Y&amp;SerialNum=2030868161" TargetMode="External"/><Relationship Id="rId407" Type="http://schemas.openxmlformats.org/officeDocument/2006/relationships/hyperlink" Target="http://www.westlaw.com/Find/Default.wl?rs=dfa1.0&amp;vr=2.0&amp;DB=1000546&amp;DocName=1USCAS7&amp;FindType=L" TargetMode="External"/><Relationship Id="rId408" Type="http://schemas.openxmlformats.org/officeDocument/2006/relationships/hyperlink" Target="http://www.westlaw.com/Find/Default.wl?rs=dfa1.0&amp;vr=2.0&amp;DB=708&amp;FindType=Y&amp;ReferencePositionType=S&amp;SerialNum=2030868161&amp;ReferencePosition=2696" TargetMode="External"/><Relationship Id="rId409" Type="http://schemas.openxmlformats.org/officeDocument/2006/relationships/hyperlink" Target="http://www.westlaw.com/Find/Default.wl?rs=dfa1.0&amp;vr=2.0&amp;DB=708&amp;FindType=Y&amp;ReferencePositionType=S&amp;SerialNum=2030868161&amp;ReferencePosition=2696" TargetMode="External"/><Relationship Id="rId630" Type="http://schemas.openxmlformats.org/officeDocument/2006/relationships/hyperlink" Target="http://www.westlaw.com/Find/Default.wl?rs=dfa1.0&amp;vr=2.0&amp;DB=708&amp;FindType=Y&amp;SerialNum=2030868161" TargetMode="External"/><Relationship Id="rId631" Type="http://schemas.openxmlformats.org/officeDocument/2006/relationships/hyperlink" Target="http://www.westlaw.com/Find/Default.wl?rs=dfa1.0&amp;vr=2.0&amp;FindType=Y&amp;SerialNum=1996118409" TargetMode="External"/><Relationship Id="rId632" Type="http://schemas.openxmlformats.org/officeDocument/2006/relationships/hyperlink" Target="http://www.westlaw.com/Find/Default.wl?rs=dfa1.0&amp;vr=2.0&amp;DB=708&amp;FindType=Y&amp;SerialNum=1996118409" TargetMode="External"/><Relationship Id="rId633" Type="http://schemas.openxmlformats.org/officeDocument/2006/relationships/hyperlink" Target="http://www.westlaw.com/Find/Default.wl?rs=dfa1.0&amp;vr=2.0&amp;DB=708&amp;FindType=Y&amp;SerialNum=1996118409" TargetMode="External"/><Relationship Id="rId634" Type="http://schemas.openxmlformats.org/officeDocument/2006/relationships/hyperlink" Target="http://www.westlaw.com/Find/Default.wl?rs=dfa1.0&amp;vr=2.0&amp;DB=708&amp;FindType=Y&amp;SerialNum=1996118409" TargetMode="External"/><Relationship Id="rId635" Type="http://schemas.openxmlformats.org/officeDocument/2006/relationships/hyperlink" Target="http://www.westlaw.com/Find/Default.wl?rs=dfa1.0&amp;vr=2.0&amp;DB=708&amp;FindType=Y&amp;SerialNum=1996118409" TargetMode="External"/><Relationship Id="rId636" Type="http://schemas.openxmlformats.org/officeDocument/2006/relationships/hyperlink" Target="http://www.westlaw.com/Find/Default.wl?rs=dfa1.0&amp;vr=2.0&amp;DB=708&amp;FindType=Y&amp;SerialNum=1996118409" TargetMode="External"/><Relationship Id="rId637" Type="http://schemas.openxmlformats.org/officeDocument/2006/relationships/hyperlink" Target="http://www.westlaw.com/Find/Default.wl?rs=dfa1.0&amp;vr=2.0&amp;DB=708&amp;FindType=Y&amp;SerialNum=1996118409" TargetMode="External"/><Relationship Id="rId638" Type="http://schemas.openxmlformats.org/officeDocument/2006/relationships/hyperlink" Target="http://www.westlaw.com/Find/Default.wl?rs=dfa1.0&amp;vr=2.0&amp;DB=708&amp;FindType=Y&amp;SerialNum=1996118409" TargetMode="External"/><Relationship Id="rId639" Type="http://schemas.openxmlformats.org/officeDocument/2006/relationships/hyperlink" Target="http://www.westlaw.com/Find/Default.wl?rs=dfa1.0&amp;vr=2.0&amp;FindType=Y&amp;SerialNum=1996118409" TargetMode="External"/><Relationship Id="rId520" Type="http://schemas.openxmlformats.org/officeDocument/2006/relationships/hyperlink" Target="http://www.westlaw.com/Find/Default.wl?rs=dfa1.0&amp;vr=2.0&amp;DB=708&amp;FindType=Y&amp;SerialNum=1992116314" TargetMode="External"/><Relationship Id="rId521" Type="http://schemas.openxmlformats.org/officeDocument/2006/relationships/hyperlink" Target="http://www.westlaw.com/Find/Default.wl?rs=dfa1.0&amp;vr=2.0&amp;DB=4637&amp;FindType=Y&amp;ReferencePositionType=S&amp;SerialNum=2022683934&amp;ReferencePosition=992" TargetMode="External"/><Relationship Id="rId522" Type="http://schemas.openxmlformats.org/officeDocument/2006/relationships/hyperlink" Target="http://www.westlaw.com/Find/Default.wl?rs=dfa1.0&amp;vr=2.0&amp;DB=4637&amp;FindType=Y&amp;ReferencePositionType=S&amp;SerialNum=2022683934&amp;ReferencePosition=992" TargetMode="External"/><Relationship Id="rId523" Type="http://schemas.openxmlformats.org/officeDocument/2006/relationships/hyperlink" Target="http://www.westlaw.com/Find/Default.wl?rs=dfa1.0&amp;vr=2.0&amp;DB=661&amp;FindType=Y&amp;SerialNum=1948114185" TargetMode="External"/><Relationship Id="rId524" Type="http://schemas.openxmlformats.org/officeDocument/2006/relationships/hyperlink" Target="http://www.westlaw.com/Find/Default.wl?rs=dfa1.0&amp;vr=2.0&amp;DB=661&amp;FindType=Y&amp;SerialNum=1948114185" TargetMode="External"/><Relationship Id="rId525" Type="http://schemas.openxmlformats.org/officeDocument/2006/relationships/hyperlink" Target="http://www.westlaw.com/Find/Default.wl?rs=dfa1.0&amp;vr=2.0&amp;DB=708&amp;FindType=Y&amp;SerialNum=1967129542" TargetMode="External"/><Relationship Id="rId526" Type="http://schemas.openxmlformats.org/officeDocument/2006/relationships/hyperlink" Target="http://www.westlaw.com/Find/Default.wl?rs=dfa1.0&amp;vr=2.0&amp;DB=708&amp;FindType=Y&amp;SerialNum=1967129542" TargetMode="External"/><Relationship Id="rId527" Type="http://schemas.openxmlformats.org/officeDocument/2006/relationships/hyperlink" Target="http://www.westlaw.com/Find/Default.wl?rs=dfa1.0&amp;vr=2.0&amp;FindType=Y&amp;SerialNum=1967129542" TargetMode="External"/><Relationship Id="rId528" Type="http://schemas.openxmlformats.org/officeDocument/2006/relationships/hyperlink" Target="http://www.westlaw.com/Find/Default.wl?rs=dfa1.0&amp;vr=2.0&amp;FindType=Y&amp;SerialNum=1978114179" TargetMode="External"/><Relationship Id="rId529" Type="http://schemas.openxmlformats.org/officeDocument/2006/relationships/hyperlink" Target="http://www.westlaw.com/Find/Default.wl?rs=dfa1.0&amp;vr=2.0&amp;DB=708&amp;FindType=Y&amp;SerialNum=1978114179" TargetMode="External"/><Relationship Id="rId60" Type="http://schemas.openxmlformats.org/officeDocument/2006/relationships/hyperlink" Target="http://www.westlaw.com/Find/Default.wl?rs=dfa1.0&amp;vr=2.0&amp;DB=0000708&amp;FindType=Y&amp;SerialNum=1981114889" TargetMode="External"/><Relationship Id="rId61" Type="http://schemas.openxmlformats.org/officeDocument/2006/relationships/hyperlink" Target="http://www.westlaw.com/Find/Default.wl?rs=dfa1.0&amp;vr=2.0&amp;DB=0000708&amp;FindType=Y&amp;SerialNum=1981114889" TargetMode="External"/><Relationship Id="rId62" Type="http://schemas.openxmlformats.org/officeDocument/2006/relationships/hyperlink" Target="http://www.westlaw.com/Find/Default.wl?rs=dfa1.0&amp;vr=2.0&amp;DB=1000546&amp;DocName=42USCAS2000CC-1&amp;FindType=L&amp;ReferencePositionType=T&amp;ReferencePosition=SP_8b3b0000958a4" TargetMode="External"/><Relationship Id="rId63" Type="http://schemas.openxmlformats.org/officeDocument/2006/relationships/hyperlink" Target="http://www.westlaw.com/Find/Default.wl?rs=dfa1.0&amp;vr=2.0&amp;DB=0000708&amp;FindType=Y&amp;ReferencePositionType=S&amp;SerialNum=2033730953&amp;ReferencePosition=2779" TargetMode="External"/><Relationship Id="rId64" Type="http://schemas.openxmlformats.org/officeDocument/2006/relationships/hyperlink" Target="http://www.westlaw.com/Find/Default.wl?rs=dfa1.0&amp;vr=2.0&amp;DB=0000708&amp;FindType=Y&amp;ReferencePositionType=S&amp;SerialNum=2033730953&amp;ReferencePosition=2779" TargetMode="External"/><Relationship Id="rId65" Type="http://schemas.openxmlformats.org/officeDocument/2006/relationships/hyperlink" Target="http://www.westlaw.com/Find/Default.wl?rs=dfa1.0&amp;vr=2.0&amp;DB=0000708&amp;FindType=Y&amp;SerialNum=2008492137" TargetMode="External"/><Relationship Id="rId66" Type="http://schemas.openxmlformats.org/officeDocument/2006/relationships/hyperlink" Target="http://www.westlaw.com/Find/Default.wl?rs=dfa1.0&amp;vr=2.0&amp;DB=0000708&amp;FindType=Y&amp;SerialNum=2008492137" TargetMode="External"/><Relationship Id="rId67" Type="http://schemas.openxmlformats.org/officeDocument/2006/relationships/hyperlink" Target="http://www.westlaw.com/Find/Default.wl?rs=dfa1.0&amp;vr=2.0&amp;DB=0000708&amp;FindType=Y&amp;ReferencePositionType=S&amp;SerialNum=2033730953&amp;ReferencePosition=2779" TargetMode="External"/><Relationship Id="rId68" Type="http://schemas.openxmlformats.org/officeDocument/2006/relationships/hyperlink" Target="http://www.westlaw.com/Find/Default.wl?rs=dfa1.0&amp;vr=2.0&amp;DB=0000708&amp;FindType=Y&amp;ReferencePositionType=S&amp;SerialNum=2033730953&amp;ReferencePosition=2779" TargetMode="External"/><Relationship Id="rId69" Type="http://schemas.openxmlformats.org/officeDocument/2006/relationships/hyperlink" Target="http://www.westlaw.com/Find/Default.wl?rs=dfa1.0&amp;vr=2.0&amp;DB=0000708&amp;FindType=Y&amp;SerialNum=2008492137" TargetMode="External"/><Relationship Id="rId410" Type="http://schemas.openxmlformats.org/officeDocument/2006/relationships/hyperlink" Target="http://www.westlaw.com/Find/Default.wl?rs=dfa1.0&amp;vr=2.0&amp;FindType=Y&amp;SerialNum=2030868161" TargetMode="External"/><Relationship Id="rId411" Type="http://schemas.openxmlformats.org/officeDocument/2006/relationships/hyperlink" Target="http://www.westlaw.com/Find/Default.wl?rs=dfa1.0&amp;vr=2.0&amp;FindType=Y&amp;SerialNum=2030868161" TargetMode="External"/><Relationship Id="rId412" Type="http://schemas.openxmlformats.org/officeDocument/2006/relationships/hyperlink" Target="http://www.westlaw.com/Find/Default.wl?rs=dfa1.0&amp;vr=2.0&amp;FindType=Y&amp;SerialNum=2030868161" TargetMode="External"/><Relationship Id="rId413" Type="http://schemas.openxmlformats.org/officeDocument/2006/relationships/hyperlink" Target="http://www.westlaw.com/Find/Default.wl?rs=dfa1.0&amp;vr=2.0&amp;FindType=Y&amp;SerialNum=2030868161" TargetMode="External"/><Relationship Id="rId414" Type="http://schemas.openxmlformats.org/officeDocument/2006/relationships/hyperlink" Target="http://www.westlaw.com/Find/Default.wl?rs=dfa1.0&amp;vr=2.0&amp;FindType=Y&amp;SerialNum=2030868161" TargetMode="External"/><Relationship Id="rId415" Type="http://schemas.openxmlformats.org/officeDocument/2006/relationships/hyperlink" Target="http://www.westlaw.com/Find/Default.wl?rs=dfa1.0&amp;vr=2.0&amp;FindType=Y&amp;SerialNum=2030868161" TargetMode="External"/><Relationship Id="rId416" Type="http://schemas.openxmlformats.org/officeDocument/2006/relationships/hyperlink" Target="http://www.westlaw.com/Find/Default.wl?rs=dfa1.0&amp;vr=2.0&amp;DB=708&amp;FindType=Y&amp;SerialNum=1975129713" TargetMode="External"/><Relationship Id="rId417" Type="http://schemas.openxmlformats.org/officeDocument/2006/relationships/hyperlink" Target="http://www.westlaw.com/Find/Default.wl?rs=dfa1.0&amp;vr=2.0&amp;DB=708&amp;FindType=Y&amp;SerialNum=1975129713" TargetMode="External"/><Relationship Id="rId418" Type="http://schemas.openxmlformats.org/officeDocument/2006/relationships/hyperlink" Target="http://www.westlaw.com/Find/Default.wl?rs=dfa1.0&amp;vr=2.0&amp;FindType=Y&amp;SerialNum=2030868161" TargetMode="External"/><Relationship Id="rId419" Type="http://schemas.openxmlformats.org/officeDocument/2006/relationships/hyperlink" Target="http://www.westlaw.com/Find/Default.wl?rs=dfa1.0&amp;vr=2.0&amp;FindType=Y&amp;SerialNum=2030868161" TargetMode="External"/><Relationship Id="rId640" Type="http://schemas.openxmlformats.org/officeDocument/2006/relationships/hyperlink" Target="http://www.westlaw.com/Find/Default.wl?rs=dfa1.0&amp;vr=2.0&amp;DB=708&amp;FindType=Y&amp;SerialNum=1996118409" TargetMode="External"/><Relationship Id="rId641" Type="http://schemas.openxmlformats.org/officeDocument/2006/relationships/hyperlink" Target="http://www.westlaw.com/Find/Default.wl?rs=dfa1.0&amp;vr=2.0&amp;DB=708&amp;FindType=Y&amp;SerialNum=1996118409" TargetMode="External"/><Relationship Id="rId642" Type="http://schemas.openxmlformats.org/officeDocument/2006/relationships/hyperlink" Target="http://www.westlaw.com/Find/Default.wl?rs=dfa1.0&amp;vr=2.0&amp;FindType=Y&amp;SerialNum=2030868161" TargetMode="External"/><Relationship Id="rId643" Type="http://schemas.openxmlformats.org/officeDocument/2006/relationships/hyperlink" Target="http://www.westlaw.com/Find/Default.wl?rs=dfa1.0&amp;vr=2.0&amp;DB=708&amp;FindType=Y&amp;ReferencePositionType=S&amp;SerialNum=2030868161&amp;ReferencePosition=2707" TargetMode="External"/><Relationship Id="rId644" Type="http://schemas.openxmlformats.org/officeDocument/2006/relationships/hyperlink" Target="http://www.westlaw.com/Find/Default.wl?rs=dfa1.0&amp;vr=2.0&amp;DB=708&amp;FindType=Y&amp;ReferencePositionType=S&amp;SerialNum=2030868161&amp;ReferencePosition=2707" TargetMode="External"/><Relationship Id="rId645" Type="http://schemas.openxmlformats.org/officeDocument/2006/relationships/hyperlink" Target="http://www.westlaw.com/Find/Default.wl?rs=dfa1.0&amp;vr=2.0&amp;FindType=Y&amp;SerialNum=2030868161" TargetMode="External"/><Relationship Id="rId646" Type="http://schemas.openxmlformats.org/officeDocument/2006/relationships/hyperlink" Target="http://www.westlaw.com/Find/Default.wl?rs=dfa1.0&amp;vr=2.0&amp;FindType=Y&amp;SerialNum=2030868161" TargetMode="External"/><Relationship Id="rId300" Type="http://schemas.openxmlformats.org/officeDocument/2006/relationships/hyperlink" Target="http://www.westlaw.com/Find/Default.wl?rs=dfa1.0&amp;vr=2.0&amp;FindType=Y&amp;SerialNum=2003269919" TargetMode="External"/><Relationship Id="rId301" Type="http://schemas.openxmlformats.org/officeDocument/2006/relationships/hyperlink" Target="http://www.westlaw.com/Find/Default.wl?rs=dfa1.0&amp;vr=2.0&amp;DB=506&amp;FindType=Y&amp;ReferencePositionType=S&amp;SerialNum=2025707854&amp;ReferencePosition=1122" TargetMode="External"/><Relationship Id="rId302" Type="http://schemas.openxmlformats.org/officeDocument/2006/relationships/hyperlink" Target="http://www.westlaw.com/Find/Default.wl?rs=dfa1.0&amp;vr=2.0&amp;FindType=Y&amp;SerialNum=2003269919" TargetMode="External"/><Relationship Id="rId303" Type="http://schemas.openxmlformats.org/officeDocument/2006/relationships/hyperlink" Target="http://www.westlaw.com/Find/Default.wl?rs=dfa1.0&amp;vr=2.0&amp;FindType=Y&amp;SerialNum=2003269919" TargetMode="External"/><Relationship Id="rId304" Type="http://schemas.openxmlformats.org/officeDocument/2006/relationships/hyperlink" Target="http://www.westlaw.com/Find/Default.wl?rs=dfa1.0&amp;vr=2.0&amp;DB=1000546&amp;DocName=18USCAS875&amp;FindType=L&amp;ReferencePositionType=T&amp;ReferencePosition=SP_4b24000003ba5" TargetMode="External"/><Relationship Id="rId305" Type="http://schemas.openxmlformats.org/officeDocument/2006/relationships/hyperlink" Target="http://www.westlaw.com/Find/Default.wl?rs=dfa1.0&amp;vr=2.0&amp;FindType=Y&amp;SerialNum=2003269919" TargetMode="External"/><Relationship Id="rId306" Type="http://schemas.openxmlformats.org/officeDocument/2006/relationships/hyperlink" Target="http://www.westlaw.com/Find/Default.wl?rs=dfa1.0&amp;vr=2.0&amp;DB=1000546&amp;DocName=18USCAS875&amp;FindType=L&amp;ReferencePositionType=T&amp;ReferencePosition=SP_4b24000003ba5" TargetMode="External"/><Relationship Id="rId307" Type="http://schemas.openxmlformats.org/officeDocument/2006/relationships/hyperlink" Target="http://www.westlaw.com/Find/Default.wl?rs=dfa1.0&amp;vr=2.0&amp;DB=350&amp;FindType=Y&amp;ReferencePositionType=S&amp;SerialNum=1991202292&amp;ReferencePosition=557" TargetMode="External"/><Relationship Id="rId308" Type="http://schemas.openxmlformats.org/officeDocument/2006/relationships/hyperlink" Target="http://www.westlaw.com/Find/Default.wl?rs=dfa1.0&amp;vr=2.0&amp;DB=350&amp;FindType=Y&amp;ReferencePositionType=S&amp;SerialNum=1991202292&amp;ReferencePosition=557" TargetMode="External"/><Relationship Id="rId309" Type="http://schemas.openxmlformats.org/officeDocument/2006/relationships/hyperlink" Target="http://www.westlaw.com/Find/Default.wl?rs=dfa1.0&amp;vr=2.0&amp;FindType=Y&amp;SerialNum=1991202292" TargetMode="External"/><Relationship Id="rId647" Type="http://schemas.openxmlformats.org/officeDocument/2006/relationships/hyperlink" Target="http://www.westlaw.com/Find/Default.wl?rs=dfa1.0&amp;vr=2.0&amp;FindType=Y&amp;SerialNum=2030868161" TargetMode="External"/><Relationship Id="rId648" Type="http://schemas.openxmlformats.org/officeDocument/2006/relationships/hyperlink" Target="http://www.westlaw.com/Find/Default.wl?rs=dfa1.0&amp;vr=2.0&amp;FindType=Y&amp;SerialNum=2030868161" TargetMode="External"/><Relationship Id="rId649" Type="http://schemas.openxmlformats.org/officeDocument/2006/relationships/hyperlink" Target="http://www.westlaw.com/Find/Default.wl?rs=dfa1.0&amp;vr=2.0&amp;FindType=Y&amp;SerialNum=2030868161" TargetMode="External"/><Relationship Id="rId530" Type="http://schemas.openxmlformats.org/officeDocument/2006/relationships/hyperlink" Target="http://www.westlaw.com/Find/Default.wl?rs=dfa1.0&amp;vr=2.0&amp;FindType=Y&amp;SerialNum=1978114179" TargetMode="External"/><Relationship Id="rId531" Type="http://schemas.openxmlformats.org/officeDocument/2006/relationships/hyperlink" Target="http://www.westlaw.com/Find/Default.wl?rs=dfa1.0&amp;vr=2.0&amp;DB=1000260&amp;DocName=WIST245.10&amp;FindType=L" TargetMode="External"/><Relationship Id="rId532" Type="http://schemas.openxmlformats.org/officeDocument/2006/relationships/hyperlink" Target="http://www.westlaw.com/Find/Default.wl?rs=dfa1.0&amp;vr=2.0&amp;DB=708&amp;FindType=Y&amp;SerialNum=1978114179" TargetMode="External"/><Relationship Id="rId533" Type="http://schemas.openxmlformats.org/officeDocument/2006/relationships/hyperlink" Target="http://www.westlaw.com/Find/Default.wl?rs=dfa1.0&amp;vr=2.0&amp;DB=708&amp;FindType=Y&amp;SerialNum=1978114179" TargetMode="External"/><Relationship Id="rId534" Type="http://schemas.openxmlformats.org/officeDocument/2006/relationships/hyperlink" Target="http://www.westlaw.com/Find/Default.wl?rs=dfa1.0&amp;vr=2.0&amp;DB=708&amp;FindType=Y&amp;SerialNum=1978114179" TargetMode="External"/><Relationship Id="rId535" Type="http://schemas.openxmlformats.org/officeDocument/2006/relationships/hyperlink" Target="http://www.westlaw.com/Find/Default.wl?rs=dfa1.0&amp;vr=2.0&amp;DB=708&amp;FindType=Y&amp;SerialNum=1978114179" TargetMode="External"/><Relationship Id="rId536" Type="http://schemas.openxmlformats.org/officeDocument/2006/relationships/hyperlink" Target="http://www.westlaw.com/Find/Default.wl?rs=dfa1.0&amp;vr=2.0&amp;DB=708&amp;FindType=Y&amp;SerialNum=1978114179" TargetMode="External"/><Relationship Id="rId537" Type="http://schemas.openxmlformats.org/officeDocument/2006/relationships/hyperlink" Target="http://www.westlaw.com/Find/Default.wl?rs=dfa1.0&amp;vr=2.0&amp;DB=708&amp;FindType=Y&amp;SerialNum=1978114179" TargetMode="External"/><Relationship Id="rId538" Type="http://schemas.openxmlformats.org/officeDocument/2006/relationships/hyperlink" Target="http://www.westlaw.com/Find/Default.wl?rs=dfa1.0&amp;vr=2.0&amp;FindType=Y&amp;SerialNum=1987067369" TargetMode="External"/><Relationship Id="rId539" Type="http://schemas.openxmlformats.org/officeDocument/2006/relationships/hyperlink" Target="http://www.westlaw.com/Find/Default.wl?rs=dfa1.0&amp;vr=2.0&amp;DB=708&amp;FindType=Y&amp;SerialNum=1987067369" TargetMode="External"/><Relationship Id="rId70" Type="http://schemas.openxmlformats.org/officeDocument/2006/relationships/hyperlink" Target="http://www.westlaw.com/Find/Default.wl?rs=dfa1.0&amp;vr=2.0&amp;DB=0000708&amp;FindType=Y&amp;SerialNum=2008492137" TargetMode="External"/><Relationship Id="rId71" Type="http://schemas.openxmlformats.org/officeDocument/2006/relationships/hyperlink" Target="http://www.westlaw.com/Find/Default.wl?rs=dfa1.0&amp;vr=2.0&amp;DB=1000546&amp;DocName=42USCAS2000BB-1&amp;FindType=L&amp;ReferencePositionType=T&amp;ReferencePosition=SP_a83b000018c76" TargetMode="External"/><Relationship Id="rId72" Type="http://schemas.openxmlformats.org/officeDocument/2006/relationships/hyperlink" Target="http://www.westlaw.com/Find/Default.wl?rs=dfa1.0&amp;vr=2.0&amp;DB=0000708&amp;FindType=Y&amp;ReferencePositionType=S&amp;SerialNum=2033730953&amp;ReferencePosition=2779" TargetMode="External"/><Relationship Id="rId73" Type="http://schemas.openxmlformats.org/officeDocument/2006/relationships/hyperlink" Target="http://www.westlaw.com/Find/Default.wl?rs=dfa1.0&amp;vr=2.0&amp;DB=0000708&amp;FindType=Y&amp;ReferencePositionType=S&amp;SerialNum=2033730953&amp;ReferencePosition=2779" TargetMode="External"/><Relationship Id="rId74" Type="http://schemas.openxmlformats.org/officeDocument/2006/relationships/hyperlink" Target="http://www.westlaw.com/Find/Default.wl?rs=dfa1.0&amp;vr=2.0&amp;DB=0000708&amp;FindType=Y&amp;ReferencePositionType=S&amp;SerialNum=2033730953&amp;ReferencePosition=2779" TargetMode="External"/><Relationship Id="rId75" Type="http://schemas.openxmlformats.org/officeDocument/2006/relationships/hyperlink" Target="http://www.westlaw.com/Find/Default.wl?rs=dfa1.0&amp;vr=2.0&amp;DB=0000708&amp;FindType=Y&amp;ReferencePositionType=S&amp;SerialNum=2033730953&amp;ReferencePosition=2779" TargetMode="External"/><Relationship Id="rId76" Type="http://schemas.openxmlformats.org/officeDocument/2006/relationships/hyperlink" Target="http://www.westlaw.com/Find/Default.wl?rs=dfa1.0&amp;vr=2.0&amp;DB=0000708&amp;FindType=Y&amp;SerialNum=2008492137" TargetMode="External"/><Relationship Id="rId77" Type="http://schemas.openxmlformats.org/officeDocument/2006/relationships/hyperlink" Target="http://www.westlaw.com/Find/Default.wl?rs=dfa1.0&amp;vr=2.0&amp;DB=0000708&amp;FindType=Y&amp;SerialNum=2008492137" TargetMode="External"/><Relationship Id="rId78" Type="http://schemas.openxmlformats.org/officeDocument/2006/relationships/hyperlink" Target="http://www.westlaw.com/Find/Default.wl?rs=dfa1.0&amp;vr=2.0&amp;DB=0000708&amp;FindType=Y&amp;SerialNum=2008492137" TargetMode="External"/><Relationship Id="rId79" Type="http://schemas.openxmlformats.org/officeDocument/2006/relationships/hyperlink" Target="http://www.westlaw.com/Find/Default.wl?rs=dfa1.0&amp;vr=2.0&amp;DB=0000708&amp;FindType=Y&amp;SerialNum=2008492137" TargetMode="External"/><Relationship Id="rId420" Type="http://schemas.openxmlformats.org/officeDocument/2006/relationships/hyperlink" Target="http://www.westlaw.com/Find/Default.wl?rs=dfa1.0&amp;vr=2.0&amp;FindType=Y&amp;SerialNum=2030868161" TargetMode="External"/><Relationship Id="rId421" Type="http://schemas.openxmlformats.org/officeDocument/2006/relationships/hyperlink" Target="http://www.westlaw.com/Find/Default.wl?rs=dfa1.0&amp;vr=2.0&amp;FindType=Y&amp;SerialNum=2030868161" TargetMode="External"/><Relationship Id="rId422" Type="http://schemas.openxmlformats.org/officeDocument/2006/relationships/hyperlink" Target="http://www.westlaw.com/Find/Default.wl?rs=dfa1.0&amp;vr=2.0&amp;FindType=Y&amp;SerialNum=2030868161" TargetMode="External"/><Relationship Id="rId423" Type="http://schemas.openxmlformats.org/officeDocument/2006/relationships/hyperlink" Target="http://www.westlaw.com/Find/Default.wl?rs=dfa1.0&amp;vr=2.0&amp;FindType=Y&amp;SerialNum=2030868161" TargetMode="External"/><Relationship Id="rId424" Type="http://schemas.openxmlformats.org/officeDocument/2006/relationships/hyperlink" Target="http://www.westlaw.com/Find/Default.wl?rs=dfa1.0&amp;vr=2.0&amp;FindType=Y&amp;SerialNum=2030868161" TargetMode="External"/><Relationship Id="rId425" Type="http://schemas.openxmlformats.org/officeDocument/2006/relationships/hyperlink" Target="http://www.westlaw.com/Find/Default.wl?rs=dfa1.0&amp;vr=2.0&amp;FindType=Y&amp;SerialNum=2030868161" TargetMode="External"/><Relationship Id="rId426" Type="http://schemas.openxmlformats.org/officeDocument/2006/relationships/hyperlink" Target="http://www.westlaw.com/Find/Default.wl?rs=dfa1.0&amp;vr=2.0&amp;FindType=Y&amp;SerialNum=2030868161" TargetMode="External"/><Relationship Id="rId427" Type="http://schemas.openxmlformats.org/officeDocument/2006/relationships/hyperlink" Target="http://www.westlaw.com/Find/Default.wl?rs=dfa1.0&amp;vr=2.0&amp;FindType=Y&amp;SerialNum=2030868161" TargetMode="External"/><Relationship Id="rId428" Type="http://schemas.openxmlformats.org/officeDocument/2006/relationships/hyperlink" Target="http://www.westlaw.com/Find/Default.wl?rs=dfa1.0&amp;vr=2.0&amp;DB=1000546&amp;DocName=USCOAMENDX&amp;FindType=L" TargetMode="External"/><Relationship Id="rId429" Type="http://schemas.openxmlformats.org/officeDocument/2006/relationships/hyperlink" Target="http://www.westlaw.com/Find/Default.wl?rs=dfa1.0&amp;vr=2.0&amp;FindType=Y&amp;SerialNum=2030868161" TargetMode="External"/><Relationship Id="rId650" Type="http://schemas.openxmlformats.org/officeDocument/2006/relationships/hyperlink" Target="http://www.westlaw.com/Find/Default.wl?rs=dfa1.0&amp;vr=2.0&amp;FindType=Y&amp;SerialNum=2030868161" TargetMode="External"/><Relationship Id="rId651" Type="http://schemas.openxmlformats.org/officeDocument/2006/relationships/hyperlink" Target="http://www.westlaw.com/Find/Default.wl?rs=dfa1.0&amp;vr=2.0&amp;FindType=Y&amp;SerialNum=2030868161" TargetMode="External"/><Relationship Id="rId652" Type="http://schemas.openxmlformats.org/officeDocument/2006/relationships/hyperlink" Target="http://www.westlaw.com/Find/Default.wl?rs=dfa1.0&amp;vr=2.0&amp;FindType=Y&amp;SerialNum=2030868161" TargetMode="External"/><Relationship Id="rId653" Type="http://schemas.openxmlformats.org/officeDocument/2006/relationships/hyperlink" Target="http://www.westlaw.com/Find/Default.wl?rs=dfa1.0&amp;vr=2.0&amp;FindType=Y&amp;SerialNum=1996118409" TargetMode="External"/><Relationship Id="rId654" Type="http://schemas.openxmlformats.org/officeDocument/2006/relationships/hyperlink" Target="http://www.westlaw.com/Find/Default.wl?rs=dfa1.0&amp;vr=2.0&amp;FindType=Y&amp;SerialNum=2030868161" TargetMode="External"/><Relationship Id="rId655" Type="http://schemas.openxmlformats.org/officeDocument/2006/relationships/hyperlink" Target="http://www.westlaw.com/Find/Default.wl?rs=dfa1.0&amp;vr=2.0&amp;FindType=Y&amp;SerialNum=1928126284" TargetMode="External"/><Relationship Id="rId656" Type="http://schemas.openxmlformats.org/officeDocument/2006/relationships/hyperlink" Target="http://www.westlaw.com/Find/Default.wl?rs=dfa1.0&amp;vr=2.0&amp;DB=708&amp;FindType=Y&amp;SerialNum=1928126284" TargetMode="External"/><Relationship Id="rId310" Type="http://schemas.openxmlformats.org/officeDocument/2006/relationships/hyperlink" Target="http://www.westlaw.com/Find/Default.wl?rs=dfa1.0&amp;vr=2.0&amp;FindType=Y&amp;SerialNum=1991202292" TargetMode="External"/><Relationship Id="rId311" Type="http://schemas.openxmlformats.org/officeDocument/2006/relationships/hyperlink" Target="http://www.westlaw.com/Find/Default.wl?rs=dfa1.0&amp;vr=2.0&amp;DB=1004365&amp;DocName=USFRCRPR7&amp;FindType=L" TargetMode="External"/><Relationship Id="rId312" Type="http://schemas.openxmlformats.org/officeDocument/2006/relationships/hyperlink" Target="http://www.westlaw.com/Find/Default.wl?rs=dfa1.0&amp;vr=2.0&amp;DB=506&amp;FindType=Y&amp;ReferencePositionType=S&amp;SerialNum=2012538998&amp;ReferencePosition=321" TargetMode="External"/><Relationship Id="rId313" Type="http://schemas.openxmlformats.org/officeDocument/2006/relationships/hyperlink" Target="http://www.westlaw.com/Find/Default.wl?rs=dfa1.0&amp;vr=2.0&amp;DB=506&amp;FindType=Y&amp;ReferencePositionType=S&amp;SerialNum=2012538998&amp;ReferencePosition=321" TargetMode="External"/><Relationship Id="rId314" Type="http://schemas.openxmlformats.org/officeDocument/2006/relationships/hyperlink" Target="http://www.westlaw.com/Find/Default.wl?rs=dfa1.0&amp;vr=2.0&amp;DB=506&amp;FindType=Y&amp;ReferencePositionType=S&amp;SerialNum=2026811263&amp;ReferencePosition=595" TargetMode="External"/><Relationship Id="rId315" Type="http://schemas.openxmlformats.org/officeDocument/2006/relationships/hyperlink" Target="http://www.westlaw.com/Find/Default.wl?rs=dfa1.0&amp;vr=2.0&amp;DB=506&amp;FindType=Y&amp;ReferencePositionType=S&amp;SerialNum=2026811263&amp;ReferencePosition=595" TargetMode="External"/><Relationship Id="rId316" Type="http://schemas.openxmlformats.org/officeDocument/2006/relationships/hyperlink" Target="http://www.westlaw.com/Find/Default.wl?rs=dfa1.0&amp;vr=2.0&amp;DB=708&amp;FindType=Y&amp;SerialNum=2027702661" TargetMode="External"/><Relationship Id="rId317" Type="http://schemas.openxmlformats.org/officeDocument/2006/relationships/hyperlink" Target="http://www.westlaw.com/Find/Default.wl?rs=dfa1.0&amp;vr=2.0&amp;FindType=Y&amp;SerialNum=2026811263" TargetMode="External"/><Relationship Id="rId318" Type="http://schemas.openxmlformats.org/officeDocument/2006/relationships/hyperlink" Target="http://www.westlaw.com/Find/Default.wl?rs=dfa1.0&amp;vr=2.0&amp;FindType=Y&amp;SerialNum=2026811263" TargetMode="External"/><Relationship Id="rId319" Type="http://schemas.openxmlformats.org/officeDocument/2006/relationships/hyperlink" Target="http://www.westlaw.com/Find/Default.wl?rs=dfa1.0&amp;vr=2.0&amp;FindType=Y&amp;SerialNum=2026811263" TargetMode="External"/><Relationship Id="rId657" Type="http://schemas.openxmlformats.org/officeDocument/2006/relationships/hyperlink" Target="http://www.westlaw.com/Find/Default.wl?rs=dfa1.0&amp;vr=2.0&amp;DB=708&amp;FindType=Y&amp;SerialNum=1996118409" TargetMode="External"/><Relationship Id="rId658" Type="http://schemas.openxmlformats.org/officeDocument/2006/relationships/hyperlink" Target="http://www.westlaw.com/Find/Default.wl?rs=dfa1.0&amp;vr=2.0&amp;DB=708&amp;FindType=Y&amp;SerialNum=1996118409" TargetMode="External"/><Relationship Id="rId659" Type="http://schemas.openxmlformats.org/officeDocument/2006/relationships/hyperlink" Target="http://www.westlaw.com/Find/Default.wl?rs=dfa1.0&amp;vr=2.0&amp;FindType=Y&amp;SerialNum=2030868161" TargetMode="External"/><Relationship Id="rId540" Type="http://schemas.openxmlformats.org/officeDocument/2006/relationships/hyperlink" Target="http://www.westlaw.com/Find/Default.wl?rs=dfa1.0&amp;vr=2.0&amp;DB=708&amp;FindType=Y&amp;SerialNum=1987067369" TargetMode="External"/><Relationship Id="rId541" Type="http://schemas.openxmlformats.org/officeDocument/2006/relationships/hyperlink" Target="http://www.westlaw.com/Find/Default.wl?rs=dfa1.0&amp;vr=2.0&amp;DB=708&amp;FindType=Y&amp;SerialNum=1987067369" TargetMode="External"/><Relationship Id="rId542" Type="http://schemas.openxmlformats.org/officeDocument/2006/relationships/hyperlink" Target="http://www.westlaw.com/Find/Default.wl?rs=dfa1.0&amp;vr=2.0&amp;DB=708&amp;FindType=Y&amp;SerialNum=1987067369" TargetMode="External"/><Relationship Id="rId543" Type="http://schemas.openxmlformats.org/officeDocument/2006/relationships/hyperlink" Target="http://www.westlaw.com/Find/Default.wl?rs=dfa1.0&amp;vr=2.0&amp;DB=708&amp;FindType=Y&amp;SerialNum=1987067369" TargetMode="External"/><Relationship Id="rId544" Type="http://schemas.openxmlformats.org/officeDocument/2006/relationships/hyperlink" Target="http://www.westlaw.com/Find/Default.wl?rs=dfa1.0&amp;vr=2.0&amp;DB=708&amp;FindType=Y&amp;SerialNum=1978114179" TargetMode="External"/><Relationship Id="rId545" Type="http://schemas.openxmlformats.org/officeDocument/2006/relationships/hyperlink" Target="http://www.westlaw.com/Find/Default.wl?rs=dfa1.0&amp;vr=2.0&amp;DB=708&amp;FindType=Y&amp;SerialNum=1978114179" TargetMode="External"/><Relationship Id="rId546" Type="http://schemas.openxmlformats.org/officeDocument/2006/relationships/hyperlink" Target="http://www.westlaw.com/Find/Default.wl?rs=dfa1.0&amp;vr=2.0&amp;FindType=Y&amp;SerialNum=1967129542" TargetMode="External"/><Relationship Id="rId547" Type="http://schemas.openxmlformats.org/officeDocument/2006/relationships/hyperlink" Target="http://www.westlaw.com/Find/Default.wl?rs=dfa1.0&amp;vr=2.0&amp;DB=708&amp;FindType=Y&amp;SerialNum=1992116314" TargetMode="External"/><Relationship Id="rId548" Type="http://schemas.openxmlformats.org/officeDocument/2006/relationships/hyperlink" Target="http://www.westlaw.com/Find/Default.wl?rs=dfa1.0&amp;vr=2.0&amp;DB=708&amp;FindType=Y&amp;SerialNum=1992116314" TargetMode="External"/><Relationship Id="rId549" Type="http://schemas.openxmlformats.org/officeDocument/2006/relationships/hyperlink" Target="http://www.westlaw.com/Find/Default.wl?rs=dfa1.0&amp;vr=2.0&amp;DB=4637&amp;FindType=Y&amp;ReferencePositionType=S&amp;SerialNum=2022683934&amp;ReferencePosition=961" TargetMode="External"/><Relationship Id="rId200" Type="http://schemas.openxmlformats.org/officeDocument/2006/relationships/hyperlink" Target="http://www.westlaw.com/Find/Default.wl?rs=dfa1.0&amp;vr=2.0&amp;DB=506&amp;FindType=Y&amp;ReferencePositionType=S&amp;SerialNum=1994210330&amp;ReferencePosition=1066" TargetMode="External"/><Relationship Id="rId201" Type="http://schemas.openxmlformats.org/officeDocument/2006/relationships/hyperlink" Target="http://www.westlaw.com/Find/Default.wl?rs=dfa1.0&amp;vr=2.0&amp;DB=506&amp;FindType=Y&amp;ReferencePositionType=S&amp;SerialNum=1994210330&amp;ReferencePosition=1066" TargetMode="External"/><Relationship Id="rId202" Type="http://schemas.openxmlformats.org/officeDocument/2006/relationships/hyperlink" Target="http://www.westlaw.com/Find/Default.wl?rs=dfa1.0&amp;vr=2.0&amp;DB=506&amp;FindType=Y&amp;ReferencePositionType=S&amp;SerialNum=1997032065&amp;ReferencePosition=80" TargetMode="External"/><Relationship Id="rId203" Type="http://schemas.openxmlformats.org/officeDocument/2006/relationships/hyperlink" Target="http://www.westlaw.com/Find/Default.wl?rs=dfa1.0&amp;vr=2.0&amp;DB=506&amp;FindType=Y&amp;ReferencePositionType=S&amp;SerialNum=1997032065&amp;ReferencePosition=80" TargetMode="External"/><Relationship Id="rId204" Type="http://schemas.openxmlformats.org/officeDocument/2006/relationships/hyperlink" Target="http://www.westlaw.com/Find/Default.wl?rs=dfa1.0&amp;vr=2.0&amp;DB=350&amp;FindType=Y&amp;ReferencePositionType=S&amp;SerialNum=1992050414&amp;ReferencePosition=148" TargetMode="External"/><Relationship Id="rId205" Type="http://schemas.openxmlformats.org/officeDocument/2006/relationships/hyperlink" Target="http://www.westlaw.com/Find/Default.wl?rs=dfa1.0&amp;vr=2.0&amp;DB=350&amp;FindType=Y&amp;ReferencePositionType=S&amp;SerialNum=1992050414&amp;ReferencePosition=148" TargetMode="External"/><Relationship Id="rId206" Type="http://schemas.openxmlformats.org/officeDocument/2006/relationships/hyperlink" Target="http://www.westlaw.com/Find/Default.wl?rs=dfa1.0&amp;vr=2.0&amp;DB=350&amp;FindType=Y&amp;ReferencePositionType=S&amp;SerialNum=1990124963&amp;ReferencePosition=1570" TargetMode="External"/><Relationship Id="rId207" Type="http://schemas.openxmlformats.org/officeDocument/2006/relationships/hyperlink" Target="http://www.westlaw.com/Find/Default.wl?rs=dfa1.0&amp;vr=2.0&amp;DB=350&amp;FindType=Y&amp;ReferencePositionType=S&amp;SerialNum=1990124963&amp;ReferencePosition=1570" TargetMode="External"/><Relationship Id="rId208" Type="http://schemas.openxmlformats.org/officeDocument/2006/relationships/hyperlink" Target="http://www.westlaw.com/Find/Default.wl?rs=dfa1.0&amp;vr=2.0&amp;DB=350&amp;FindType=Y&amp;ReferencePositionType=S&amp;SerialNum=1991019485&amp;ReferencePosition=86" TargetMode="External"/><Relationship Id="rId209" Type="http://schemas.openxmlformats.org/officeDocument/2006/relationships/hyperlink" Target="http://www.westlaw.com/Find/Default.wl?rs=dfa1.0&amp;vr=2.0&amp;DB=350&amp;FindType=Y&amp;ReferencePositionType=S&amp;SerialNum=1991019485&amp;ReferencePosition=86" TargetMode="External"/><Relationship Id="rId80" Type="http://schemas.openxmlformats.org/officeDocument/2006/relationships/hyperlink" Target="http://www.westlaw.com/Find/Default.wl?rs=dfa1.0&amp;vr=2.0&amp;DB=0000708&amp;FindType=Y&amp;SerialNum=2008492137" TargetMode="External"/><Relationship Id="rId81" Type="http://schemas.openxmlformats.org/officeDocument/2006/relationships/hyperlink" Target="http://www.westlaw.com/Find/Default.wl?rs=dfa1.0&amp;vr=2.0&amp;DB=0000708&amp;FindType=Y&amp;SerialNum=2008492137" TargetMode="External"/><Relationship Id="rId82" Type="http://schemas.openxmlformats.org/officeDocument/2006/relationships/hyperlink" Target="http://www.westlaw.com/Find/Default.wl?rs=dfa1.0&amp;vr=2.0&amp;DB=0000708&amp;FindType=Y&amp;ReferencePositionType=S&amp;SerialNum=2033730953&amp;ReferencePosition=2780" TargetMode="External"/><Relationship Id="rId83" Type="http://schemas.openxmlformats.org/officeDocument/2006/relationships/hyperlink" Target="http://www.westlaw.com/Find/Default.wl?rs=dfa1.0&amp;vr=2.0&amp;DB=0000708&amp;FindType=Y&amp;ReferencePositionType=S&amp;SerialNum=2033730953&amp;ReferencePosition=2780" TargetMode="External"/><Relationship Id="rId84" Type="http://schemas.openxmlformats.org/officeDocument/2006/relationships/hyperlink" Target="http://www.westlaw.com/Find/Default.wl?rs=dfa1.0&amp;vr=2.0&amp;DB=0000708&amp;FindType=Y&amp;SerialNum=2000358279" TargetMode="External"/><Relationship Id="rId85" Type="http://schemas.openxmlformats.org/officeDocument/2006/relationships/hyperlink" Target="http://www.westlaw.com/Find/Default.wl?rs=dfa1.0&amp;vr=2.0&amp;DB=0000708&amp;FindType=Y&amp;SerialNum=2000358279" TargetMode="External"/><Relationship Id="rId86" Type="http://schemas.openxmlformats.org/officeDocument/2006/relationships/hyperlink" Target="http://www.westlaw.com/Find/Default.wl?rs=dfa1.0&amp;vr=2.0&amp;DB=0000708&amp;FindType=Y&amp;SerialNum=1993120503" TargetMode="External"/><Relationship Id="rId87" Type="http://schemas.openxmlformats.org/officeDocument/2006/relationships/hyperlink" Target="http://www.westlaw.com/Find/Default.wl?rs=dfa1.0&amp;vr=2.0&amp;DB=0000708&amp;FindType=Y&amp;SerialNum=1993120503" TargetMode="External"/><Relationship Id="rId88" Type="http://schemas.openxmlformats.org/officeDocument/2006/relationships/hyperlink" Target="http://www.westlaw.com/Find/Default.wl?rs=dfa1.0&amp;vr=2.0&amp;DB=0000708&amp;FindType=Y&amp;SerialNum=2008492137" TargetMode="External"/><Relationship Id="rId89" Type="http://schemas.openxmlformats.org/officeDocument/2006/relationships/hyperlink" Target="http://www.westlaw.com/Find/Default.wl?rs=dfa1.0&amp;vr=2.0&amp;DB=0000708&amp;FindType=Y&amp;SerialNum=2008492137" TargetMode="External"/><Relationship Id="rId430" Type="http://schemas.openxmlformats.org/officeDocument/2006/relationships/hyperlink" Target="http://www.westlaw.com/Find/Default.wl?rs=dfa1.0&amp;vr=2.0&amp;FindType=Y&amp;SerialNum=2030868161" TargetMode="External"/><Relationship Id="rId431" Type="http://schemas.openxmlformats.org/officeDocument/2006/relationships/hyperlink" Target="http://www.westlaw.com/Find/Default.wl?rs=dfa1.0&amp;vr=2.0&amp;FindType=Y&amp;SerialNum=2030868161" TargetMode="External"/><Relationship Id="rId432" Type="http://schemas.openxmlformats.org/officeDocument/2006/relationships/hyperlink" Target="http://www.westlaw.com/Find/Default.wl?rs=dfa1.0&amp;vr=2.0&amp;FindType=Y&amp;SerialNum=2030868161" TargetMode="External"/><Relationship Id="rId433" Type="http://schemas.openxmlformats.org/officeDocument/2006/relationships/hyperlink" Target="http://www.westlaw.com/Find/Default.wl?rs=dfa1.0&amp;vr=2.0&amp;DB=708&amp;FindType=Y&amp;SerialNum=1967129542" TargetMode="External"/><Relationship Id="rId434" Type="http://schemas.openxmlformats.org/officeDocument/2006/relationships/hyperlink" Target="http://www.westlaw.com/Find/Default.wl?rs=dfa1.0&amp;vr=2.0&amp;DB=708&amp;FindType=Y&amp;SerialNum=1967129542" TargetMode="External"/><Relationship Id="rId435" Type="http://schemas.openxmlformats.org/officeDocument/2006/relationships/hyperlink" Target="http://www.westlaw.com/Find/Default.wl?rs=dfa1.0&amp;vr=2.0&amp;DB=708&amp;FindType=Y&amp;SerialNum=1967129542" TargetMode="External"/><Relationship Id="rId436" Type="http://schemas.openxmlformats.org/officeDocument/2006/relationships/hyperlink" Target="http://www.westlaw.com/Find/Default.wl?rs=dfa1.0&amp;vr=2.0&amp;DB=708&amp;FindType=Y&amp;SerialNum=1967129542" TargetMode="External"/><Relationship Id="rId437" Type="http://schemas.openxmlformats.org/officeDocument/2006/relationships/hyperlink" Target="http://www.westlaw.com/Find/Default.wl?rs=dfa1.0&amp;vr=2.0&amp;FindType=Y&amp;SerialNum=2030868161" TargetMode="External"/><Relationship Id="rId438" Type="http://schemas.openxmlformats.org/officeDocument/2006/relationships/hyperlink" Target="http://www.westlaw.com/Find/Default.wl?rs=dfa1.0&amp;vr=2.0&amp;FindType=Y&amp;SerialNum=2030868161" TargetMode="External"/><Relationship Id="rId439" Type="http://schemas.openxmlformats.org/officeDocument/2006/relationships/hyperlink" Target="http://www.westlaw.com/Find/Default.wl?rs=dfa1.0&amp;vr=2.0&amp;DB=708&amp;FindType=Y&amp;ReferencePositionType=S&amp;SerialNum=2030868161&amp;ReferencePosition=2709" TargetMode="External"/><Relationship Id="rId660" Type="http://schemas.openxmlformats.org/officeDocument/2006/relationships/hyperlink" Target="http://www.westlaw.com/Find/Default.wl?rs=dfa1.0&amp;vr=2.0&amp;DB=708&amp;FindType=Y&amp;ReferencePositionType=S&amp;SerialNum=2030868161&amp;ReferencePosition=2693" TargetMode="External"/><Relationship Id="rId661" Type="http://schemas.openxmlformats.org/officeDocument/2006/relationships/hyperlink" Target="http://www.westlaw.com/Find/Default.wl?rs=dfa1.0&amp;vr=2.0&amp;DB=708&amp;FindType=Y&amp;SerialNum=1996118409" TargetMode="External"/><Relationship Id="rId662" Type="http://schemas.openxmlformats.org/officeDocument/2006/relationships/hyperlink" Target="http://www.westlaw.com/Find/Default.wl?rs=dfa1.0&amp;vr=2.0&amp;DB=708&amp;FindType=Y&amp;SerialNum=1996118409" TargetMode="External"/><Relationship Id="rId663" Type="http://schemas.openxmlformats.org/officeDocument/2006/relationships/hyperlink" Target="http://www.westlaw.com/Find/Default.wl?rs=dfa1.0&amp;vr=2.0&amp;FindType=Y&amp;SerialNum=1996118409" TargetMode="External"/><Relationship Id="rId664" Type="http://schemas.openxmlformats.org/officeDocument/2006/relationships/hyperlink" Target="http://www.westlaw.com/Find/Default.wl?rs=dfa1.0&amp;vr=2.0&amp;FindType=Y&amp;SerialNum=2030868161" TargetMode="External"/><Relationship Id="rId665" Type="http://schemas.openxmlformats.org/officeDocument/2006/relationships/hyperlink" Target="http://www.westlaw.com/Find/Default.wl?rs=dfa1.0&amp;vr=2.0&amp;FindType=Y&amp;SerialNum=2030868161" TargetMode="External"/><Relationship Id="rId666" Type="http://schemas.openxmlformats.org/officeDocument/2006/relationships/hyperlink" Target="http://www.westlaw.com/Find/Default.wl?rs=dfa1.0&amp;vr=2.0&amp;FindType=Y&amp;SerialNum=1996118409" TargetMode="External"/><Relationship Id="rId320" Type="http://schemas.openxmlformats.org/officeDocument/2006/relationships/hyperlink" Target="http://www.westlaw.com/Find/Default.wl?rs=dfa1.0&amp;vr=2.0&amp;FindType=Y&amp;SerialNum=2026811263" TargetMode="External"/><Relationship Id="rId321" Type="http://schemas.openxmlformats.org/officeDocument/2006/relationships/hyperlink" Target="http://www.westlaw.com/Find/Default.wl?rs=dfa1.0&amp;vr=2.0&amp;DB=350&amp;FindType=Y&amp;ReferencePositionType=S&amp;SerialNum=1942119445&amp;ReferencePosition=184" TargetMode="External"/><Relationship Id="rId322" Type="http://schemas.openxmlformats.org/officeDocument/2006/relationships/hyperlink" Target="http://www.westlaw.com/Find/Default.wl?rs=dfa1.0&amp;vr=2.0&amp;DB=350&amp;FindType=Y&amp;ReferencePositionType=S&amp;SerialNum=1942119445&amp;ReferencePosition=184" TargetMode="External"/><Relationship Id="rId323" Type="http://schemas.openxmlformats.org/officeDocument/2006/relationships/hyperlink" Target="http://www.westlaw.com/Find/Default.wl?rs=dfa1.0&amp;vr=2.0&amp;FindType=Y&amp;SerialNum=1942119445" TargetMode="External"/><Relationship Id="rId324" Type="http://schemas.openxmlformats.org/officeDocument/2006/relationships/hyperlink" Target="http://www.westlaw.com/Find/Default.wl?rs=dfa1.0&amp;vr=2.0&amp;FindType=Y&amp;SerialNum=1942119445" TargetMode="External"/><Relationship Id="rId325" Type="http://schemas.openxmlformats.org/officeDocument/2006/relationships/hyperlink" Target="http://www.westlaw.com/Find/Default.wl?rs=dfa1.0&amp;vr=2.0&amp;FindType=Y&amp;SerialNum=1942119445" TargetMode="External"/><Relationship Id="rId326" Type="http://schemas.openxmlformats.org/officeDocument/2006/relationships/hyperlink" Target="http://www.westlaw.com/Find/Default.wl?rs=dfa1.0&amp;vr=2.0&amp;FindType=Y&amp;SerialNum=1942119445" TargetMode="External"/><Relationship Id="rId327" Type="http://schemas.openxmlformats.org/officeDocument/2006/relationships/hyperlink" Target="http://www.westlaw.com/Find/Default.wl?rs=dfa1.0&amp;vr=2.0&amp;DB=1000546&amp;DocName=18USCAS875&amp;FindType=L&amp;ReferencePositionType=T&amp;ReferencePosition=SP_4b24000003ba5" TargetMode="External"/><Relationship Id="rId328" Type="http://schemas.openxmlformats.org/officeDocument/2006/relationships/hyperlink" Target="http://www.westlaw.com/Find/Default.wl?rs=dfa1.0&amp;vr=2.0&amp;DB=1000546&amp;DocName=18USCAS875&amp;FindType=L&amp;ReferencePositionType=T&amp;ReferencePosition=SP_4b24000003ba5" TargetMode="External"/><Relationship Id="rId329" Type="http://schemas.openxmlformats.org/officeDocument/2006/relationships/hyperlink" Target="http://www.westlaw.com/Find/Default.wl?rs=dfa1.0&amp;vr=2.0&amp;DB=1000546&amp;DocName=18USCAS875&amp;FindType=L&amp;ReferencePositionType=T&amp;ReferencePosition=SP_4b24000003ba5" TargetMode="External"/><Relationship Id="rId667" Type="http://schemas.openxmlformats.org/officeDocument/2006/relationships/hyperlink" Target="http://www.westlaw.com/Find/Default.wl?rs=dfa1.0&amp;vr=2.0&amp;DB=578&amp;FindType=Y&amp;ReferencePositionType=S&amp;SerialNum=2003847757&amp;ReferencePosition=948" TargetMode="External"/><Relationship Id="rId668" Type="http://schemas.openxmlformats.org/officeDocument/2006/relationships/hyperlink" Target="http://www.westlaw.com/Find/Default.wl?rs=dfa1.0&amp;vr=2.0&amp;DB=578&amp;FindType=Y&amp;ReferencePositionType=S&amp;SerialNum=2003847757&amp;ReferencePosition=948" TargetMode="External"/><Relationship Id="rId669" Type="http://schemas.openxmlformats.org/officeDocument/2006/relationships/hyperlink" Target="http://www.westlaw.com/Find/Default.wl?rs=dfa1.0&amp;vr=2.0&amp;DB=708&amp;FindType=Y&amp;SerialNum=1973126451" TargetMode="External"/><Relationship Id="rId550" Type="http://schemas.openxmlformats.org/officeDocument/2006/relationships/hyperlink" Target="http://www.westlaw.com/Find/Default.wl?rs=dfa1.0&amp;vr=2.0&amp;DB=4637&amp;FindType=Y&amp;ReferencePositionType=S&amp;SerialNum=2022683934&amp;ReferencePosition=961" TargetMode="External"/><Relationship Id="rId551" Type="http://schemas.openxmlformats.org/officeDocument/2006/relationships/hyperlink" Target="http://www.westlaw.com/Find/Default.wl?rs=dfa1.0&amp;vr=2.0&amp;DB=708&amp;FindType=Y&amp;SerialNum=1942122820" TargetMode="External"/><Relationship Id="rId552" Type="http://schemas.openxmlformats.org/officeDocument/2006/relationships/hyperlink" Target="http://www.westlaw.com/Find/Default.wl?rs=dfa1.0&amp;vr=2.0&amp;DB=708&amp;FindType=Y&amp;SerialNum=1942122820" TargetMode="External"/><Relationship Id="rId553" Type="http://schemas.openxmlformats.org/officeDocument/2006/relationships/hyperlink" Target="http://www.westlaw.com/Find/Default.wl?rs=dfa1.0&amp;vr=2.0&amp;DB=708&amp;FindType=Y&amp;ReferencePositionType=S&amp;SerialNum=2030868161&amp;ReferencePosition=2718" TargetMode="External"/><Relationship Id="rId554" Type="http://schemas.openxmlformats.org/officeDocument/2006/relationships/hyperlink" Target="http://www.westlaw.com/Find/Default.wl?rs=dfa1.0&amp;vr=2.0&amp;DB=708&amp;FindType=Y&amp;ReferencePositionType=S&amp;SerialNum=2030868161&amp;ReferencePosition=2718" TargetMode="External"/><Relationship Id="rId555" Type="http://schemas.openxmlformats.org/officeDocument/2006/relationships/hyperlink" Target="http://www.westlaw.com/Find/Default.wl?rs=dfa1.0&amp;vr=2.0&amp;DB=708&amp;FindType=Y&amp;SerialNum=1965125098" TargetMode="External"/><Relationship Id="rId556" Type="http://schemas.openxmlformats.org/officeDocument/2006/relationships/hyperlink" Target="http://www.westlaw.com/Find/Default.wl?rs=dfa1.0&amp;vr=2.0&amp;DB=708&amp;FindType=Y&amp;SerialNum=1965125098" TargetMode="External"/><Relationship Id="rId557" Type="http://schemas.openxmlformats.org/officeDocument/2006/relationships/hyperlink" Target="http://www.westlaw.com/Find/Default.wl?rs=dfa1.0&amp;vr=2.0&amp;DB=708&amp;FindType=Y&amp;SerialNum=1987067369" TargetMode="External"/><Relationship Id="rId558" Type="http://schemas.openxmlformats.org/officeDocument/2006/relationships/hyperlink" Target="http://www.westlaw.com/Find/Default.wl?rs=dfa1.0&amp;vr=2.0&amp;DB=708&amp;FindType=Y&amp;SerialNum=1987067369" TargetMode="External"/><Relationship Id="rId559" Type="http://schemas.openxmlformats.org/officeDocument/2006/relationships/hyperlink" Target="http://www.westlaw.com/Find/Default.wl?rs=dfa1.0&amp;vr=2.0&amp;FindType=Y&amp;SerialNum=1987067369" TargetMode="External"/><Relationship Id="rId210" Type="http://schemas.openxmlformats.org/officeDocument/2006/relationships/hyperlink" Target="http://www.westlaw.com/Find/Default.wl?rs=dfa1.0&amp;vr=2.0&amp;DB=350&amp;FindType=Y&amp;ReferencePositionType=S&amp;SerialNum=1972109215&amp;ReferencePosition=1091" TargetMode="External"/><Relationship Id="rId211" Type="http://schemas.openxmlformats.org/officeDocument/2006/relationships/hyperlink" Target="http://www.westlaw.com/Find/Default.wl?rs=dfa1.0&amp;vr=2.0&amp;DB=350&amp;FindType=Y&amp;ReferencePositionType=S&amp;SerialNum=1972109215&amp;ReferencePosition=1091" TargetMode="External"/><Relationship Id="rId212" Type="http://schemas.openxmlformats.org/officeDocument/2006/relationships/hyperlink" Target="http://www.westlaw.com/Find/Default.wl?rs=dfa1.0&amp;vr=2.0&amp;DB=350&amp;FindType=Y&amp;ReferencePositionType=S&amp;SerialNum=1983115085&amp;ReferencePosition=965" TargetMode="External"/><Relationship Id="rId213" Type="http://schemas.openxmlformats.org/officeDocument/2006/relationships/hyperlink" Target="http://www.westlaw.com/Find/Default.wl?rs=dfa1.0&amp;vr=2.0&amp;DB=350&amp;FindType=Y&amp;ReferencePositionType=S&amp;SerialNum=1983115085&amp;ReferencePosition=965" TargetMode="External"/><Relationship Id="rId214" Type="http://schemas.openxmlformats.org/officeDocument/2006/relationships/hyperlink" Target="http://www.westlaw.com/Find/Default.wl?rs=dfa1.0&amp;vr=2.0&amp;DB=350&amp;FindType=Y&amp;ReferencePositionType=S&amp;SerialNum=1986100286&amp;ReferencePosition=1002" TargetMode="External"/><Relationship Id="rId215" Type="http://schemas.openxmlformats.org/officeDocument/2006/relationships/hyperlink" Target="http://www.westlaw.com/Find/Default.wl?rs=dfa1.0&amp;vr=2.0&amp;DB=350&amp;FindType=Y&amp;ReferencePositionType=S&amp;SerialNum=1986100286&amp;ReferencePosition=1002" TargetMode="External"/><Relationship Id="rId216" Type="http://schemas.openxmlformats.org/officeDocument/2006/relationships/hyperlink" Target="http://www.westlaw.com/Find/Default.wl?rs=dfa1.0&amp;vr=2.0&amp;DB=708&amp;FindType=Y&amp;SerialNum=2003269919" TargetMode="External"/><Relationship Id="rId217" Type="http://schemas.openxmlformats.org/officeDocument/2006/relationships/hyperlink" Target="http://www.westlaw.com/Find/Default.wl?rs=dfa1.0&amp;vr=2.0&amp;DB=708&amp;FindType=Y&amp;SerialNum=2003269919" TargetMode="External"/><Relationship Id="rId218" Type="http://schemas.openxmlformats.org/officeDocument/2006/relationships/hyperlink" Target="http://www.westlaw.com/Find/Default.wl?rs=dfa1.0&amp;vr=2.0&amp;DB=708&amp;FindType=Y&amp;SerialNum=1992111890" TargetMode="External"/><Relationship Id="rId219" Type="http://schemas.openxmlformats.org/officeDocument/2006/relationships/hyperlink" Target="http://www.westlaw.com/Find/Default.wl?rs=dfa1.0&amp;vr=2.0&amp;DB=708&amp;FindType=Y&amp;SerialNum=1992111890" TargetMode="External"/><Relationship Id="rId90" Type="http://schemas.openxmlformats.org/officeDocument/2006/relationships/hyperlink" Target="http://www.westlaw.com/Find/Default.wl?rs=dfa1.0&amp;vr=2.0&amp;DB=0000708&amp;FindType=Y&amp;SerialNum=1963125396" TargetMode="External"/><Relationship Id="rId91" Type="http://schemas.openxmlformats.org/officeDocument/2006/relationships/hyperlink" Target="http://www.westlaw.com/Find/Default.wl?rs=dfa1.0&amp;vr=2.0&amp;DB=0000708&amp;FindType=Y&amp;SerialNum=1963125396" TargetMode="External"/><Relationship Id="rId92" Type="http://schemas.openxmlformats.org/officeDocument/2006/relationships/hyperlink" Target="http://www.westlaw.com/Find/Default.wl?rs=dfa1.0&amp;vr=2.0&amp;DB=0000708&amp;FindType=Y&amp;SerialNum=1974127174" TargetMode="External"/><Relationship Id="rId93" Type="http://schemas.openxmlformats.org/officeDocument/2006/relationships/hyperlink" Target="http://www.westlaw.com/Find/Default.wl?rs=dfa1.0&amp;vr=2.0&amp;DB=0000708&amp;FindType=Y&amp;SerialNum=1974127174" TargetMode="External"/><Relationship Id="rId94" Type="http://schemas.openxmlformats.org/officeDocument/2006/relationships/hyperlink" Target="http://www.westlaw.com/Find/Default.wl?rs=dfa1.0&amp;vr=2.0&amp;DB=0000708&amp;FindType=Y&amp;SerialNum=2000358279" TargetMode="External"/><Relationship Id="rId95" Type="http://schemas.openxmlformats.org/officeDocument/2006/relationships/hyperlink" Target="http://www.westlaw.com/Find/Default.wl?rs=dfa1.0&amp;vr=2.0&amp;DB=0000708&amp;FindType=Y&amp;SerialNum=2000358279" TargetMode="External"/><Relationship Id="rId96" Type="http://schemas.openxmlformats.org/officeDocument/2006/relationships/hyperlink" Target="http://www.westlaw.com/Find/Default.wl?rs=dfa1.0&amp;vr=2.0&amp;DB=0000708&amp;FindType=Y&amp;SerialNum=2006699983" TargetMode="External"/><Relationship Id="rId97" Type="http://schemas.openxmlformats.org/officeDocument/2006/relationships/hyperlink" Target="http://www.westlaw.com/Find/Default.wl?rs=dfa1.0&amp;vr=2.0&amp;DB=0000708&amp;FindType=Y&amp;SerialNum=2006699983" TargetMode="External"/><Relationship Id="rId98" Type="http://schemas.openxmlformats.org/officeDocument/2006/relationships/hyperlink" Target="http://www.westlaw.com/Find/Default.wl?rs=dfa1.0&amp;vr=2.0&amp;DB=0000708&amp;FindType=Y&amp;ReferencePositionType=S&amp;SerialNum=2033730953&amp;ReferencePosition=2774" TargetMode="External"/><Relationship Id="rId100" Type="http://schemas.openxmlformats.org/officeDocument/2006/relationships/hyperlink" Target="http://www.westlaw.com/Find/Default.wl?rs=dfa1.0&amp;vr=2.0&amp;DB=PROFILER-WLD&amp;DocName=0224420501&amp;FindType=h" TargetMode="External"/><Relationship Id="rId101" Type="http://schemas.openxmlformats.org/officeDocument/2006/relationships/hyperlink" Target="http://www.westlaw.com/Find/Default.wl?rs=dfa1.0&amp;vr=2.0&amp;DB=PROFILER-WLD&amp;DocName=0145172701&amp;FindType=h" TargetMode="External"/><Relationship Id="rId102" Type="http://schemas.openxmlformats.org/officeDocument/2006/relationships/hyperlink" Target="http://www.westlaw.com/Find/Default.wl?rs=dfa1.0&amp;vr=2.0&amp;DB=0000708&amp;FindType=Y&amp;SerialNum=2033730953" TargetMode="External"/><Relationship Id="rId103" Type="http://schemas.openxmlformats.org/officeDocument/2006/relationships/hyperlink" Target="http://www.westlaw.com/Find/Default.wl?rs=dfa1.0&amp;vr=2.0&amp;DB=0000708&amp;FindType=Y&amp;SerialNum=2033730953" TargetMode="External"/><Relationship Id="rId104" Type="http://schemas.openxmlformats.org/officeDocument/2006/relationships/hyperlink" Target="http://www.westlaw.com/Find/Default.wl?rs=dfa1.0&amp;vr=2.0&amp;DB=0000780&amp;FindType=Y&amp;SerialNum=2033730953" TargetMode="External"/><Relationship Id="rId105" Type="http://schemas.openxmlformats.org/officeDocument/2006/relationships/hyperlink" Target="http://www.westlaw.com/Find/Default.wl?rs=dfa1.0&amp;vr=2.0&amp;DB=0000780&amp;FindType=Y&amp;SerialNum=2033730953" TargetMode="External"/><Relationship Id="rId106" Type="http://schemas.openxmlformats.org/officeDocument/2006/relationships/hyperlink" Target="http://www.westlaw.com/Find/Default.wl?rs=dfa1.0&amp;vr=2.0&amp;DB=0000708&amp;FindType=Y&amp;ReferencePositionType=S&amp;SerialNum=2033730953&amp;ReferencePosition=2787" TargetMode="External"/><Relationship Id="rId107" Type="http://schemas.openxmlformats.org/officeDocument/2006/relationships/hyperlink" Target="http://www.westlaw.com/Find/Default.wl?rs=dfa1.0&amp;vr=2.0&amp;DB=PROFILER-WLD&amp;DocName=0145172701&amp;FindType=h" TargetMode="External"/><Relationship Id="rId108" Type="http://schemas.openxmlformats.org/officeDocument/2006/relationships/hyperlink" Target="http://www.westlaw.com/Find/Default.wl?rs=dfa1.0&amp;vr=2.0&amp;DB=1000546&amp;DocName=42USCAS2000CC&amp;FindType=L" TargetMode="External"/><Relationship Id="rId109" Type="http://schemas.openxmlformats.org/officeDocument/2006/relationships/hyperlink" Target="http://www.westlaw.com/Find/Default.wl?rs=dfa1.0&amp;vr=2.0&amp;DB=1000546&amp;DocName=42USCAS2000CC&amp;FindType=L" TargetMode="External"/><Relationship Id="rId99" Type="http://schemas.openxmlformats.org/officeDocument/2006/relationships/hyperlink" Target="http://www.westlaw.com/Find/Default.wl?rs=dfa1.0&amp;vr=2.0&amp;DB=0000708&amp;FindType=Y&amp;ReferencePositionType=S&amp;SerialNum=2033730953&amp;ReferencePosition=2774" TargetMode="External"/><Relationship Id="rId440" Type="http://schemas.openxmlformats.org/officeDocument/2006/relationships/hyperlink" Target="http://www.westlaw.com/Find/Default.wl?rs=dfa1.0&amp;vr=2.0&amp;FindType=Y&amp;SerialNum=2030868161" TargetMode="External"/><Relationship Id="rId441" Type="http://schemas.openxmlformats.org/officeDocument/2006/relationships/hyperlink" Target="http://www.westlaw.com/Find/Default.wl?rs=dfa1.0&amp;vr=2.0&amp;DB=595&amp;FindType=Y&amp;ReferencePositionType=S&amp;SerialNum=1971118797&amp;ReferencePosition=187" TargetMode="External"/><Relationship Id="rId442" Type="http://schemas.openxmlformats.org/officeDocument/2006/relationships/hyperlink" Target="http://www.westlaw.com/Find/Default.wl?rs=dfa1.0&amp;vr=2.0&amp;DB=595&amp;FindType=Y&amp;ReferencePositionType=S&amp;SerialNum=1971118797&amp;ReferencePosition=187" TargetMode="External"/><Relationship Id="rId443" Type="http://schemas.openxmlformats.org/officeDocument/2006/relationships/hyperlink" Target="http://www.westlaw.com/Find/Default.wl?rs=dfa1.0&amp;vr=2.0&amp;FindType=Y&amp;SerialNum=1971118797" TargetMode="External"/><Relationship Id="rId444" Type="http://schemas.openxmlformats.org/officeDocument/2006/relationships/hyperlink" Target="http://www.westlaw.com/Find/Default.wl?rs=dfa1.0&amp;vr=2.0&amp;FindType=Y&amp;SerialNum=1971118797" TargetMode="External"/><Relationship Id="rId445" Type="http://schemas.openxmlformats.org/officeDocument/2006/relationships/hyperlink" Target="http://www.westlaw.com/Find/Default.wl?rs=dfa1.0&amp;vr=2.0&amp;DB=708&amp;FindType=Y&amp;SerialNum=1972201001" TargetMode="External"/><Relationship Id="rId446" Type="http://schemas.openxmlformats.org/officeDocument/2006/relationships/hyperlink" Target="http://www.westlaw.com/Find/Default.wl?rs=dfa1.0&amp;vr=2.0&amp;DB=708&amp;FindType=Y&amp;SerialNum=1972201001" TargetMode="External"/><Relationship Id="rId447" Type="http://schemas.openxmlformats.org/officeDocument/2006/relationships/hyperlink" Target="http://www.westlaw.com/Find/Default.wl?rs=dfa1.0&amp;vr=2.0&amp;DB=708&amp;FindType=Y&amp;SerialNum=1975129825" TargetMode="External"/><Relationship Id="rId448" Type="http://schemas.openxmlformats.org/officeDocument/2006/relationships/hyperlink" Target="http://www.westlaw.com/Find/Default.wl?rs=dfa1.0&amp;vr=2.0&amp;DB=708&amp;FindType=Y&amp;SerialNum=1975129825" TargetMode="External"/><Relationship Id="rId449" Type="http://schemas.openxmlformats.org/officeDocument/2006/relationships/hyperlink" Target="http://www.westlaw.com/Find/Default.wl?rs=dfa1.0&amp;vr=2.0&amp;DB=708&amp;FindType=Y&amp;SerialNum=1976141349" TargetMode="External"/><Relationship Id="rId670" Type="http://schemas.openxmlformats.org/officeDocument/2006/relationships/hyperlink" Target="http://www.westlaw.com/Find/Default.wl?rs=dfa1.0&amp;vr=2.0&amp;DB=708&amp;FindType=Y&amp;SerialNum=1973126451" TargetMode="External"/><Relationship Id="rId671" Type="http://schemas.openxmlformats.org/officeDocument/2006/relationships/hyperlink" Target="http://www.westlaw.com/Find/Default.wl?rs=dfa1.0&amp;vr=2.0&amp;DB=708&amp;FindType=Y&amp;SerialNum=1993129064" TargetMode="External"/><Relationship Id="rId672" Type="http://schemas.openxmlformats.org/officeDocument/2006/relationships/hyperlink" Target="http://www.westlaw.com/Find/Default.wl?rs=dfa1.0&amp;vr=2.0&amp;DB=708&amp;FindType=Y&amp;SerialNum=1993129064" TargetMode="External"/><Relationship Id="rId673" Type="http://schemas.openxmlformats.org/officeDocument/2006/relationships/hyperlink" Target="http://www.westlaw.com/Find/Default.wl?rs=dfa1.0&amp;vr=2.0&amp;DB=708&amp;FindType=Y&amp;SerialNum=1981103161" TargetMode="External"/><Relationship Id="rId674" Type="http://schemas.openxmlformats.org/officeDocument/2006/relationships/hyperlink" Target="http://www.westlaw.com/Find/Default.wl?rs=dfa1.0&amp;vr=2.0&amp;DB=708&amp;FindType=Y&amp;SerialNum=1981103161" TargetMode="External"/><Relationship Id="rId675" Type="http://schemas.openxmlformats.org/officeDocument/2006/relationships/hyperlink" Target="http://www.westlaw.com/Find/Default.wl?rs=dfa1.0&amp;vr=2.0&amp;DB=708&amp;FindType=Y&amp;SerialNum=1996118409" TargetMode="External"/><Relationship Id="rId676" Type="http://schemas.openxmlformats.org/officeDocument/2006/relationships/hyperlink" Target="http://www.westlaw.com/Find/Default.wl?rs=dfa1.0&amp;vr=2.0&amp;DB=708&amp;FindType=Y&amp;SerialNum=1996118409" TargetMode="External"/><Relationship Id="rId330" Type="http://schemas.openxmlformats.org/officeDocument/2006/relationships/hyperlink" Target="http://www.westlaw.com/Find/Default.wl?rs=dfa1.0&amp;vr=2.0&amp;FindType=Y&amp;SerialNum=1942119445" TargetMode="External"/><Relationship Id="rId331" Type="http://schemas.openxmlformats.org/officeDocument/2006/relationships/hyperlink" Target="http://www.westlaw.com/Find/Default.wl?rs=dfa1.0&amp;vr=2.0&amp;DB=506&amp;FindType=Y&amp;ReferencePositionType=S&amp;SerialNum=1995173209&amp;ReferencePosition=1243" TargetMode="External"/><Relationship Id="rId332" Type="http://schemas.openxmlformats.org/officeDocument/2006/relationships/hyperlink" Target="http://www.westlaw.com/Find/Default.wl?rs=dfa1.0&amp;vr=2.0&amp;DB=506&amp;FindType=Y&amp;ReferencePositionType=S&amp;SerialNum=1995173209&amp;ReferencePosition=1243" TargetMode="External"/><Relationship Id="rId333" Type="http://schemas.openxmlformats.org/officeDocument/2006/relationships/hyperlink" Target="http://www.westlaw.com/Find/Default.wl?rs=dfa1.0&amp;vr=2.0&amp;DB=708&amp;FindType=Y&amp;SerialNum=1979135171" TargetMode="External"/><Relationship Id="rId334" Type="http://schemas.openxmlformats.org/officeDocument/2006/relationships/hyperlink" Target="http://www.westlaw.com/Find/Default.wl?rs=dfa1.0&amp;vr=2.0&amp;DB=708&amp;FindType=Y&amp;SerialNum=1979135171" TargetMode="External"/><Relationship Id="rId335" Type="http://schemas.openxmlformats.org/officeDocument/2006/relationships/hyperlink" Target="http://www.westlaw.com/Find/Default.wl?rs=dfa1.0&amp;vr=2.0&amp;FindType=Y&amp;SerialNum=1969141744" TargetMode="External"/><Relationship Id="rId336" Type="http://schemas.openxmlformats.org/officeDocument/2006/relationships/hyperlink" Target="http://www.westlaw.com/Find/Default.wl?rs=dfa1.0&amp;vr=2.0&amp;DB=708&amp;FindType=Y&amp;SerialNum=1969141744" TargetMode="External"/><Relationship Id="rId337" Type="http://schemas.openxmlformats.org/officeDocument/2006/relationships/hyperlink" Target="http://www.westlaw.com/Find/Default.wl?rs=dfa1.0&amp;vr=2.0&amp;DB=708&amp;FindType=Y&amp;SerialNum=1969141744" TargetMode="External"/><Relationship Id="rId338" Type="http://schemas.openxmlformats.org/officeDocument/2006/relationships/hyperlink" Target="http://www.westlaw.com/Find/Default.wl?rs=dfa1.0&amp;vr=2.0&amp;DB=350&amp;FindType=Y&amp;ReferencePositionType=S&amp;SerialNum=1991202292&amp;ReferencePosition=554" TargetMode="External"/><Relationship Id="rId339" Type="http://schemas.openxmlformats.org/officeDocument/2006/relationships/hyperlink" Target="http://www.westlaw.com/Find/Default.wl?rs=dfa1.0&amp;vr=2.0&amp;DB=350&amp;FindType=Y&amp;ReferencePositionType=S&amp;SerialNum=1991202292&amp;ReferencePosition=554" TargetMode="External"/><Relationship Id="rId677" Type="http://schemas.openxmlformats.org/officeDocument/2006/relationships/hyperlink" Target="http://www.westlaw.com/Find/Default.wl?rs=dfa1.0&amp;vr=2.0&amp;DB=708&amp;FindType=Y&amp;SerialNum=1988038991" TargetMode="External"/><Relationship Id="rId678" Type="http://schemas.openxmlformats.org/officeDocument/2006/relationships/hyperlink" Target="http://www.westlaw.com/Find/Default.wl?rs=dfa1.0&amp;vr=2.0&amp;DB=708&amp;FindType=Y&amp;SerialNum=1988038991" TargetMode="External"/><Relationship Id="rId679" Type="http://schemas.openxmlformats.org/officeDocument/2006/relationships/hyperlink" Target="http://www.westlaw.com/Find/Default.wl?rs=dfa1.0&amp;vr=2.0&amp;DB=708&amp;FindType=Y&amp;SerialNum=1996118409" TargetMode="External"/><Relationship Id="rId560" Type="http://schemas.openxmlformats.org/officeDocument/2006/relationships/hyperlink" Target="http://www.westlaw.com/Find/Default.wl?rs=dfa1.0&amp;vr=2.0&amp;DB=708&amp;FindType=Y&amp;SerialNum=1997135020" TargetMode="External"/><Relationship Id="rId561" Type="http://schemas.openxmlformats.org/officeDocument/2006/relationships/hyperlink" Target="http://www.westlaw.com/Find/Default.wl?rs=dfa1.0&amp;vr=2.0&amp;DB=708&amp;FindType=Y&amp;SerialNum=1997135020" TargetMode="External"/><Relationship Id="rId562" Type="http://schemas.openxmlformats.org/officeDocument/2006/relationships/hyperlink" Target="http://www.westlaw.com/Find/Default.wl?rs=dfa1.0&amp;vr=2.0&amp;DB=708&amp;FindType=Y&amp;SerialNum=1967129542" TargetMode="External"/><Relationship Id="rId563" Type="http://schemas.openxmlformats.org/officeDocument/2006/relationships/hyperlink" Target="http://www.westlaw.com/Find/Default.wl?rs=dfa1.0&amp;vr=2.0&amp;DB=708&amp;FindType=Y&amp;SerialNum=1967129542" TargetMode="External"/><Relationship Id="rId564" Type="http://schemas.openxmlformats.org/officeDocument/2006/relationships/hyperlink" Target="http://www.westlaw.com/Find/Default.wl?rs=dfa1.0&amp;vr=2.0&amp;DB=708&amp;FindType=Y&amp;SerialNum=1967129542" TargetMode="External"/><Relationship Id="rId565" Type="http://schemas.openxmlformats.org/officeDocument/2006/relationships/hyperlink" Target="http://www.westlaw.com/Find/Default.wl?rs=dfa1.0&amp;vr=2.0&amp;DB=708&amp;FindType=Y&amp;SerialNum=1967129542" TargetMode="External"/><Relationship Id="rId566" Type="http://schemas.openxmlformats.org/officeDocument/2006/relationships/hyperlink" Target="http://www.westlaw.com/Find/Default.wl?rs=dfa1.0&amp;vr=2.0&amp;DB=708&amp;FindType=Y&amp;SerialNum=2003452259" TargetMode="External"/><Relationship Id="rId567" Type="http://schemas.openxmlformats.org/officeDocument/2006/relationships/hyperlink" Target="http://www.westlaw.com/Find/Default.wl?rs=dfa1.0&amp;vr=2.0&amp;DB=708&amp;FindType=Y&amp;SerialNum=2003452259" TargetMode="External"/><Relationship Id="rId568" Type="http://schemas.openxmlformats.org/officeDocument/2006/relationships/hyperlink" Target="http://www.westlaw.com/Find/Default.wl?rs=dfa1.0&amp;vr=2.0&amp;FindType=Y&amp;SerialNum=2003452259" TargetMode="External"/><Relationship Id="rId569" Type="http://schemas.openxmlformats.org/officeDocument/2006/relationships/hyperlink" Target="http://www.westlaw.com/Find/Default.wl?rs=dfa1.0&amp;vr=2.0&amp;DB=708&amp;FindType=Y&amp;SerialNum=1986133440" TargetMode="External"/><Relationship Id="rId220" Type="http://schemas.openxmlformats.org/officeDocument/2006/relationships/hyperlink" Target="http://www.westlaw.com/Find/Default.wl?rs=dfa1.0&amp;vr=2.0&amp;FindType=Y&amp;SerialNum=2003269919" TargetMode="External"/><Relationship Id="rId221" Type="http://schemas.openxmlformats.org/officeDocument/2006/relationships/hyperlink" Target="http://www.westlaw.com/Find/Default.wl?rs=dfa1.0&amp;vr=2.0&amp;FindType=Y&amp;SerialNum=2003269919" TargetMode="External"/><Relationship Id="rId222" Type="http://schemas.openxmlformats.org/officeDocument/2006/relationships/hyperlink" Target="http://www.westlaw.com/Find/Default.wl?rs=dfa1.0&amp;vr=2.0&amp;DB=708&amp;FindType=Y&amp;SerialNum=2003269919" TargetMode="External"/><Relationship Id="rId223" Type="http://schemas.openxmlformats.org/officeDocument/2006/relationships/hyperlink" Target="http://www.westlaw.com/Find/Default.wl?rs=dfa1.0&amp;vr=2.0&amp;DB=708&amp;FindType=Y&amp;SerialNum=2003269919" TargetMode="External"/><Relationship Id="rId224" Type="http://schemas.openxmlformats.org/officeDocument/2006/relationships/hyperlink" Target="http://www.westlaw.com/Find/Default.wl?rs=dfa1.0&amp;vr=2.0&amp;DB=708&amp;FindType=Y&amp;SerialNum=2003269919" TargetMode="External"/><Relationship Id="rId225" Type="http://schemas.openxmlformats.org/officeDocument/2006/relationships/hyperlink" Target="http://www.westlaw.com/Find/Default.wl?rs=dfa1.0&amp;vr=2.0&amp;DB=708&amp;FindType=Y&amp;SerialNum=2003269919" TargetMode="External"/><Relationship Id="rId226" Type="http://schemas.openxmlformats.org/officeDocument/2006/relationships/hyperlink" Target="http://www.westlaw.com/Find/Default.wl?rs=dfa1.0&amp;vr=2.0&amp;DB=708&amp;FindType=Y&amp;SerialNum=2003269919" TargetMode="External"/><Relationship Id="rId227" Type="http://schemas.openxmlformats.org/officeDocument/2006/relationships/hyperlink" Target="http://www.westlaw.com/Find/Default.wl?rs=dfa1.0&amp;vr=2.0&amp;DB=708&amp;FindType=Y&amp;SerialNum=2003269919" TargetMode="External"/><Relationship Id="rId228" Type="http://schemas.openxmlformats.org/officeDocument/2006/relationships/hyperlink" Target="http://www.westlaw.com/Find/Default.wl?rs=dfa1.0&amp;vr=2.0&amp;DB=708&amp;FindType=Y&amp;SerialNum=2003269919" TargetMode="External"/><Relationship Id="rId229" Type="http://schemas.openxmlformats.org/officeDocument/2006/relationships/hyperlink" Target="http://www.westlaw.com/Find/Default.wl?rs=dfa1.0&amp;vr=2.0&amp;DB=708&amp;FindType=Y&amp;SerialNum=2003269919" TargetMode="External"/><Relationship Id="rId450" Type="http://schemas.openxmlformats.org/officeDocument/2006/relationships/hyperlink" Target="http://www.westlaw.com/Find/Default.wl?rs=dfa1.0&amp;vr=2.0&amp;DB=708&amp;FindType=Y&amp;SerialNum=1976141349" TargetMode="External"/><Relationship Id="rId451" Type="http://schemas.openxmlformats.org/officeDocument/2006/relationships/hyperlink" Target="http://www.westlaw.com/Find/Default.wl?rs=dfa1.0&amp;vr=2.0&amp;DB=708&amp;FindType=Y&amp;SerialNum=1973126388" TargetMode="External"/><Relationship Id="rId452" Type="http://schemas.openxmlformats.org/officeDocument/2006/relationships/hyperlink" Target="http://www.westlaw.com/Find/Default.wl?rs=dfa1.0&amp;vr=2.0&amp;DB=708&amp;FindType=Y&amp;SerialNum=1973126388" TargetMode="External"/><Relationship Id="rId453" Type="http://schemas.openxmlformats.org/officeDocument/2006/relationships/hyperlink" Target="http://www.westlaw.com/Find/Default.wl?rs=dfa1.0&amp;vr=2.0&amp;DB=708&amp;FindType=Y&amp;SerialNum=1996118409" TargetMode="External"/><Relationship Id="rId454" Type="http://schemas.openxmlformats.org/officeDocument/2006/relationships/hyperlink" Target="http://www.westlaw.com/Find/Default.wl?rs=dfa1.0&amp;vr=2.0&amp;DB=708&amp;FindType=Y&amp;SerialNum=1996118409" TargetMode="External"/><Relationship Id="rId455" Type="http://schemas.openxmlformats.org/officeDocument/2006/relationships/hyperlink" Target="http://www.westlaw.com/Find/Default.wl?rs=dfa1.0&amp;vr=2.0&amp;FindType=Y&amp;SerialNum=2003452259" TargetMode="External"/><Relationship Id="rId456" Type="http://schemas.openxmlformats.org/officeDocument/2006/relationships/hyperlink" Target="http://www.westlaw.com/Find/Default.wl?rs=dfa1.0&amp;vr=2.0&amp;DB=708&amp;FindType=Y&amp;SerialNum=2003452259" TargetMode="External"/><Relationship Id="rId110" Type="http://schemas.openxmlformats.org/officeDocument/2006/relationships/hyperlink" Target="http://www.westlaw.com/Find/Default.wl?rs=dfa1.0&amp;vr=2.0&amp;DB=0000708&amp;FindType=Y&amp;SerialNum=2006699983" TargetMode="External"/><Relationship Id="rId111" Type="http://schemas.openxmlformats.org/officeDocument/2006/relationships/hyperlink" Target="http://www.westlaw.com/Find/Default.wl?rs=dfa1.0&amp;vr=2.0&amp;DB=0000708&amp;FindType=Y&amp;SerialNum=2006699983" TargetMode="External"/><Relationship Id="rId459" Type="http://schemas.openxmlformats.org/officeDocument/2006/relationships/hyperlink" Target="http://www.westlaw.com/Find/Default.wl?rs=dfa1.0&amp;vr=2.0&amp;DB=506&amp;FindType=Y&amp;ReferencePositionType=S&amp;SerialNum=2027809524&amp;ReferencePosition=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3052401&amp;FindType=h" TargetMode="External"/><Relationship Id="rId8" Type="http://schemas.openxmlformats.org/officeDocument/2006/relationships/hyperlink" Target="http://www.westlaw.com/Find/Default.wl?rs=dfa1.0&amp;vr=2.0&amp;DB=1000546&amp;DocName=42USCAS2000CC&amp;FindType=L" TargetMode="External"/><Relationship Id="rId9" Type="http://schemas.openxmlformats.org/officeDocument/2006/relationships/hyperlink" Target="http://www.westlaw.com/Find/Default.wl?rs=dfa1.0&amp;vr=2.0&amp;DB=1000546&amp;DocName=42USCAS2000CC&amp;FindType=L" TargetMode="External"/><Relationship Id="rId112" Type="http://schemas.openxmlformats.org/officeDocument/2006/relationships/hyperlink" Target="http://www.westlaw.com/Find/Default.wl?rs=dfa1.0&amp;vr=2.0&amp;DB=0000708&amp;FindType=Y&amp;SerialNum=2006699983" TargetMode="External"/><Relationship Id="rId113" Type="http://schemas.openxmlformats.org/officeDocument/2006/relationships/hyperlink" Target="http://www.westlaw.com/Find/Default.wl?rs=dfa1.0&amp;vr=2.0&amp;DB=0000506&amp;FindType=Y&amp;ReferencePositionType=S&amp;SerialNum=2032585464&amp;ReferencePosition=59" TargetMode="External"/><Relationship Id="rId114" Type="http://schemas.openxmlformats.org/officeDocument/2006/relationships/hyperlink" Target="http://www.westlaw.com/Find/Default.wl?rs=dfa1.0&amp;vr=2.0&amp;DB=0000506&amp;FindType=Y&amp;ReferencePositionType=S&amp;SerialNum=2032585464&amp;ReferencePosition=59" TargetMode="External"/><Relationship Id="rId115" Type="http://schemas.openxmlformats.org/officeDocument/2006/relationships/hyperlink" Target="http://www.westlaw.com/Find/Default.wl?rs=dfa1.0&amp;vr=2.0&amp;DB=0001503&amp;FindType=Y&amp;SerialNum=0103026320" TargetMode="External"/><Relationship Id="rId116" Type="http://schemas.openxmlformats.org/officeDocument/2006/relationships/hyperlink" Target="http://www.westlaw.com/Find/Default.wl?rs=dfa1.0&amp;vr=2.0&amp;DB=1000546&amp;DocName=42USCAS2000CC-1&amp;FindType=L&amp;ReferencePositionType=T&amp;ReferencePosition=SP_d86d0000be040" TargetMode="External"/><Relationship Id="rId117" Type="http://schemas.openxmlformats.org/officeDocument/2006/relationships/hyperlink" Target="http://www.westlaw.com/Find/Default.wl?rs=dfa1.0&amp;vr=2.0&amp;DB=0000506&amp;FindType=Y&amp;ReferencePositionType=S&amp;SerialNum=2012831732&amp;ReferencePosition=284" TargetMode="External"/><Relationship Id="rId118" Type="http://schemas.openxmlformats.org/officeDocument/2006/relationships/hyperlink" Target="http://www.westlaw.com/Find/Default.wl?rs=dfa1.0&amp;vr=2.0&amp;DB=0000506&amp;FindType=Y&amp;ReferencePositionType=S&amp;SerialNum=2012831732&amp;ReferencePosition=284" TargetMode="External"/><Relationship Id="rId119" Type="http://schemas.openxmlformats.org/officeDocument/2006/relationships/hyperlink" Target="http://www.westlaw.com/Find/Default.wl?rs=dfa1.0&amp;vr=2.0&amp;DB=0000506&amp;FindType=Y&amp;ReferencePositionType=S&amp;SerialNum=2027680858&amp;ReferencePosition=203" TargetMode="External"/><Relationship Id="rId457" Type="http://schemas.openxmlformats.org/officeDocument/2006/relationships/hyperlink" Target="http://www.westlaw.com/Find/Default.wl?rs=dfa1.0&amp;vr=2.0&amp;FindType=Y&amp;SerialNum=2003452259" TargetMode="External"/><Relationship Id="rId458" Type="http://schemas.openxmlformats.org/officeDocument/2006/relationships/hyperlink" Target="http://www.westlaw.com/Find/Default.wl?rs=dfa1.0&amp;vr=2.0&amp;DB=506&amp;FindType=Y&amp;ReferencePositionType=S&amp;SerialNum=2027809524&amp;ReferencePosition=8" TargetMode="External"/><Relationship Id="rId680" Type="http://schemas.openxmlformats.org/officeDocument/2006/relationships/hyperlink" Target="http://www.westlaw.com/Find/Default.wl?rs=dfa1.0&amp;vr=2.0&amp;DB=708&amp;FindType=Y&amp;SerialNum=1996118409" TargetMode="External"/><Relationship Id="rId681" Type="http://schemas.openxmlformats.org/officeDocument/2006/relationships/hyperlink" Target="http://www.westlaw.com/Find/Default.wl?rs=dfa1.0&amp;vr=2.0&amp;DB=708&amp;FindType=Y&amp;SerialNum=1973126451" TargetMode="External"/><Relationship Id="rId682" Type="http://schemas.openxmlformats.org/officeDocument/2006/relationships/hyperlink" Target="http://www.westlaw.com/Find/Default.wl?rs=dfa1.0&amp;vr=2.0&amp;DB=708&amp;FindType=Y&amp;SerialNum=1973126451" TargetMode="External"/><Relationship Id="rId683" Type="http://schemas.openxmlformats.org/officeDocument/2006/relationships/hyperlink" Target="http://www.westlaw.com/Find/Default.wl?rs=dfa1.0&amp;vr=2.0&amp;DB=708&amp;FindType=Y&amp;SerialNum=1993129064" TargetMode="External"/><Relationship Id="rId684" Type="http://schemas.openxmlformats.org/officeDocument/2006/relationships/hyperlink" Target="http://www.westlaw.com/Find/Default.wl?rs=dfa1.0&amp;vr=2.0&amp;DB=708&amp;FindType=Y&amp;SerialNum=1993129064" TargetMode="External"/><Relationship Id="rId685" Type="http://schemas.openxmlformats.org/officeDocument/2006/relationships/hyperlink" Target="http://www.westlaw.com/Find/Default.wl?rs=dfa1.0&amp;vr=2.0&amp;DB=708&amp;FindType=Y&amp;SerialNum=1974127144" TargetMode="External"/><Relationship Id="rId686" Type="http://schemas.openxmlformats.org/officeDocument/2006/relationships/hyperlink" Target="http://www.westlaw.com/Find/Default.wl?rs=dfa1.0&amp;vr=2.0&amp;DB=708&amp;FindType=Y&amp;SerialNum=1974127144" TargetMode="External"/><Relationship Id="rId340" Type="http://schemas.openxmlformats.org/officeDocument/2006/relationships/hyperlink" Target="http://www.westlaw.com/Find/Default.wl?rs=dfa1.0&amp;vr=2.0&amp;FindType=Y&amp;SerialNum=1969141744" TargetMode="External"/><Relationship Id="rId341" Type="http://schemas.openxmlformats.org/officeDocument/2006/relationships/hyperlink" Target="http://www.westlaw.com/Find/Default.wl?rs=dfa1.0&amp;vr=2.0&amp;FindType=Y&amp;SerialNum=1991202292" TargetMode="External"/><Relationship Id="rId342" Type="http://schemas.openxmlformats.org/officeDocument/2006/relationships/hyperlink" Target="http://www.westlaw.com/Find/Default.wl?rs=dfa1.0&amp;vr=2.0&amp;FindType=Y&amp;SerialNum=1991202292" TargetMode="External"/><Relationship Id="rId343" Type="http://schemas.openxmlformats.org/officeDocument/2006/relationships/hyperlink" Target="http://www.westlaw.com/Find/Default.wl?rs=dfa1.0&amp;vr=2.0&amp;FindType=Y&amp;SerialNum=1969141744" TargetMode="External"/><Relationship Id="rId344" Type="http://schemas.openxmlformats.org/officeDocument/2006/relationships/hyperlink" Target="http://www.westlaw.com/Find/Default.wl?rs=dfa1.0&amp;vr=2.0&amp;FindType=Y&amp;SerialNum=1991202292" TargetMode="External"/><Relationship Id="rId345" Type="http://schemas.openxmlformats.org/officeDocument/2006/relationships/hyperlink" Target="http://www.westlaw.com/Find/Default.wl?rs=dfa1.0&amp;vr=2.0&amp;FindType=Y&amp;SerialNum=1991202292" TargetMode="External"/><Relationship Id="rId346" Type="http://schemas.openxmlformats.org/officeDocument/2006/relationships/hyperlink" Target="http://www.westlaw.com/Find/Default.wl?rs=dfa1.0&amp;vr=2.0&amp;FindType=Y&amp;SerialNum=1991202292" TargetMode="External"/><Relationship Id="rId347" Type="http://schemas.openxmlformats.org/officeDocument/2006/relationships/hyperlink" Target="http://www.westlaw.com/Find/Default.wl?rs=dfa1.0&amp;vr=2.0&amp;FindType=Y&amp;SerialNum=1991202292" TargetMode="External"/><Relationship Id="rId348" Type="http://schemas.openxmlformats.org/officeDocument/2006/relationships/hyperlink" Target="http://www.westlaw.com/Find/Default.wl?rs=dfa1.0&amp;vr=2.0&amp;DB=4637&amp;FindType=Y&amp;ReferencePositionType=S&amp;SerialNum=2028705161&amp;ReferencePosition=346" TargetMode="External"/><Relationship Id="rId349" Type="http://schemas.openxmlformats.org/officeDocument/2006/relationships/hyperlink" Target="http://www.westlaw.com/Find/Default.wl?rs=dfa1.0&amp;vr=2.0&amp;DB=4637&amp;FindType=Y&amp;ReferencePositionType=S&amp;SerialNum=2028705161&amp;ReferencePosition=346" TargetMode="External"/><Relationship Id="rId687" Type="http://schemas.openxmlformats.org/officeDocument/2006/relationships/hyperlink" Target="http://www.westlaw.com/Find/Default.wl?rs=dfa1.0&amp;vr=2.0&amp;FindType=Y&amp;SerialNum=1974127144" TargetMode="External"/><Relationship Id="rId688" Type="http://schemas.openxmlformats.org/officeDocument/2006/relationships/hyperlink" Target="http://www.westlaw.com/Find/Default.wl?rs=dfa1.0&amp;vr=2.0&amp;DB=708&amp;FindType=Y&amp;SerialNum=1974127144" TargetMode="External"/><Relationship Id="rId689" Type="http://schemas.openxmlformats.org/officeDocument/2006/relationships/hyperlink" Target="http://www.westlaw.com/Find/Default.wl?rs=dfa1.0&amp;vr=2.0&amp;DB=708&amp;FindType=Y&amp;SerialNum=1985133474" TargetMode="External"/><Relationship Id="rId570" Type="http://schemas.openxmlformats.org/officeDocument/2006/relationships/hyperlink" Target="http://www.westlaw.com/Find/Default.wl?rs=dfa1.0&amp;vr=2.0&amp;DB=708&amp;FindType=Y&amp;SerialNum=1986133440" TargetMode="External"/><Relationship Id="rId571" Type="http://schemas.openxmlformats.org/officeDocument/2006/relationships/hyperlink" Target="http://www.westlaw.com/Find/Default.wl?rs=dfa1.0&amp;vr=2.0&amp;DB=708&amp;FindType=Y&amp;SerialNum=2003452259" TargetMode="External"/><Relationship Id="rId572" Type="http://schemas.openxmlformats.org/officeDocument/2006/relationships/hyperlink" Target="http://www.westlaw.com/Find/Default.wl?rs=dfa1.0&amp;vr=2.0&amp;FindType=Y&amp;SerialNum=2003452259" TargetMode="External"/><Relationship Id="rId573" Type="http://schemas.openxmlformats.org/officeDocument/2006/relationships/hyperlink" Target="http://www.westlaw.com/Find/Default.wl?rs=dfa1.0&amp;vr=2.0&amp;FindType=Y&amp;SerialNum=2003452259" TargetMode="External"/><Relationship Id="rId574" Type="http://schemas.openxmlformats.org/officeDocument/2006/relationships/hyperlink" Target="http://www.westlaw.com/Find/Default.wl?rs=dfa1.0&amp;vr=2.0&amp;DB=708&amp;FindType=Y&amp;SerialNum=2003452259" TargetMode="External"/><Relationship Id="rId575" Type="http://schemas.openxmlformats.org/officeDocument/2006/relationships/hyperlink" Target="http://www.westlaw.com/Find/Default.wl?rs=dfa1.0&amp;vr=2.0&amp;DB=708&amp;FindType=Y&amp;SerialNum=2003452259" TargetMode="External"/><Relationship Id="rId576" Type="http://schemas.openxmlformats.org/officeDocument/2006/relationships/hyperlink" Target="http://www.westlaw.com/Find/Default.wl?rs=dfa1.0&amp;vr=2.0&amp;FindType=Y&amp;SerialNum=2003452259" TargetMode="External"/><Relationship Id="rId230" Type="http://schemas.openxmlformats.org/officeDocument/2006/relationships/hyperlink" Target="http://www.westlaw.com/Find/Default.wl?rs=dfa1.0&amp;vr=2.0&amp;DB=708&amp;FindType=Y&amp;SerialNum=2003269919" TargetMode="External"/><Relationship Id="rId231" Type="http://schemas.openxmlformats.org/officeDocument/2006/relationships/hyperlink" Target="http://www.westlaw.com/Find/Default.wl?rs=dfa1.0&amp;vr=2.0&amp;DB=708&amp;FindType=Y&amp;SerialNum=2003269919" TargetMode="External"/><Relationship Id="rId232" Type="http://schemas.openxmlformats.org/officeDocument/2006/relationships/hyperlink" Target="http://www.westlaw.com/Find/Default.wl?rs=dfa1.0&amp;vr=2.0&amp;FindType=Y&amp;SerialNum=2003269919" TargetMode="External"/><Relationship Id="rId233" Type="http://schemas.openxmlformats.org/officeDocument/2006/relationships/hyperlink" Target="http://www.westlaw.com/Find/Default.wl?rs=dfa1.0&amp;vr=2.0&amp;FindType=Y&amp;SerialNum=2003269919" TargetMode="External"/><Relationship Id="rId234" Type="http://schemas.openxmlformats.org/officeDocument/2006/relationships/hyperlink" Target="http://www.westlaw.com/Find/Default.wl?rs=dfa1.0&amp;vr=2.0&amp;DB=506&amp;FindType=Y&amp;ReferencePositionType=S&amp;SerialNum=2027239106&amp;ReferencePosition=508" TargetMode="External"/><Relationship Id="rId235" Type="http://schemas.openxmlformats.org/officeDocument/2006/relationships/hyperlink" Target="http://www.westlaw.com/Find/Default.wl?rs=dfa1.0&amp;vr=2.0&amp;DB=506&amp;FindType=Y&amp;ReferencePositionType=S&amp;SerialNum=2027239106&amp;ReferencePosition=508" TargetMode="External"/><Relationship Id="rId236" Type="http://schemas.openxmlformats.org/officeDocument/2006/relationships/hyperlink" Target="http://www.westlaw.com/Find/Default.wl?rs=dfa1.0&amp;vr=2.0&amp;DB=1000546&amp;DocName=18USCAS875&amp;FindType=L&amp;ReferencePositionType=T&amp;ReferencePosition=SP_4b24000003ba5" TargetMode="External"/><Relationship Id="rId237" Type="http://schemas.openxmlformats.org/officeDocument/2006/relationships/hyperlink" Target="http://www.westlaw.com/Find/Default.wl?rs=dfa1.0&amp;vr=2.0&amp;FindType=Y&amp;SerialNum=2003269919" TargetMode="External"/><Relationship Id="rId238" Type="http://schemas.openxmlformats.org/officeDocument/2006/relationships/hyperlink" Target="http://www.westlaw.com/Find/Default.wl?rs=dfa1.0&amp;vr=2.0&amp;FindType=Y&amp;SerialNum=2003269919" TargetMode="External"/><Relationship Id="rId239" Type="http://schemas.openxmlformats.org/officeDocument/2006/relationships/hyperlink" Target="http://www.westlaw.com/Find/Default.wl?rs=dfa1.0&amp;vr=2.0&amp;DB=1000546&amp;DocName=18USCAS875&amp;FindType=L&amp;ReferencePositionType=T&amp;ReferencePosition=SP_4b24000003ba5" TargetMode="External"/><Relationship Id="rId577" Type="http://schemas.openxmlformats.org/officeDocument/2006/relationships/hyperlink" Target="http://www.westlaw.com/Find/Default.wl?rs=dfa1.0&amp;vr=2.0&amp;DB=708&amp;FindType=Y&amp;SerialNum=2003452259" TargetMode="External"/><Relationship Id="rId578" Type="http://schemas.openxmlformats.org/officeDocument/2006/relationships/hyperlink" Target="http://www.westlaw.com/Find/Default.wl?rs=dfa1.0&amp;vr=2.0&amp;DB=708&amp;FindType=Y&amp;SerialNum=2003452259" TargetMode="External"/><Relationship Id="rId579" Type="http://schemas.openxmlformats.org/officeDocument/2006/relationships/hyperlink" Target="http://www.westlaw.com/Find/Default.wl?rs=dfa1.0&amp;vr=2.0&amp;FindType=Y&amp;SerialNum=2003452259" TargetMode="External"/><Relationship Id="rId460" Type="http://schemas.openxmlformats.org/officeDocument/2006/relationships/hyperlink" Target="http://www.westlaw.com/Find/Default.wl?rs=dfa1.0&amp;vr=2.0&amp;DB=4637&amp;FindType=Y&amp;ReferencePositionType=S&amp;SerialNum=2029315735&amp;ReferencePosition=1002" TargetMode="External"/><Relationship Id="rId461" Type="http://schemas.openxmlformats.org/officeDocument/2006/relationships/hyperlink" Target="http://www.westlaw.com/Find/Default.wl?rs=dfa1.0&amp;vr=2.0&amp;DB=4637&amp;FindType=Y&amp;ReferencePositionType=S&amp;SerialNum=2029315735&amp;ReferencePosition=1002" TargetMode="External"/><Relationship Id="rId462" Type="http://schemas.openxmlformats.org/officeDocument/2006/relationships/hyperlink" Target="http://www.westlaw.com/Find/Default.wl?rs=dfa1.0&amp;vr=2.0&amp;DB=4637&amp;FindType=Y&amp;SerialNum=2022683934" TargetMode="External"/><Relationship Id="rId463" Type="http://schemas.openxmlformats.org/officeDocument/2006/relationships/hyperlink" Target="http://www.westlaw.com/Find/Default.wl?rs=dfa1.0&amp;vr=2.0&amp;DB=4637&amp;FindType=Y&amp;SerialNum=2022683934" TargetMode="External"/><Relationship Id="rId464" Type="http://schemas.openxmlformats.org/officeDocument/2006/relationships/hyperlink" Target="http://www.westlaw.com/Find/Default.wl?rs=dfa1.0&amp;vr=2.0&amp;FindType=Y&amp;SerialNum=2030868161" TargetMode="External"/><Relationship Id="rId465" Type="http://schemas.openxmlformats.org/officeDocument/2006/relationships/hyperlink" Target="http://www.westlaw.com/Find/Default.wl?rs=dfa1.0&amp;vr=2.0&amp;FindType=Y&amp;SerialNum=2030868161" TargetMode="External"/><Relationship Id="rId466" Type="http://schemas.openxmlformats.org/officeDocument/2006/relationships/hyperlink" Target="http://www.westlaw.com/Find/Default.wl?rs=dfa1.0&amp;vr=2.0&amp;FindType=Y&amp;SerialNum=2030868161" TargetMode="External"/><Relationship Id="rId467" Type="http://schemas.openxmlformats.org/officeDocument/2006/relationships/hyperlink" Target="http://www.westlaw.com/Find/Default.wl?rs=dfa1.0&amp;vr=2.0&amp;DB=708&amp;FindType=Y&amp;ReferencePositionType=S&amp;SerialNum=2030868161&amp;ReferencePosition=2697" TargetMode="External"/><Relationship Id="rId468" Type="http://schemas.openxmlformats.org/officeDocument/2006/relationships/hyperlink" Target="http://www.westlaw.com/Find/Default.wl?rs=dfa1.0&amp;vr=2.0&amp;DB=708&amp;FindType=Y&amp;ReferencePositionType=S&amp;SerialNum=2030868161&amp;ReferencePosition=2697" TargetMode="External"/><Relationship Id="rId469" Type="http://schemas.openxmlformats.org/officeDocument/2006/relationships/hyperlink" Target="http://www.westlaw.com/Find/Default.wl?rs=dfa1.0&amp;vr=2.0&amp;FindType=Y&amp;SerialNum=2030868161" TargetMode="External"/><Relationship Id="rId120" Type="http://schemas.openxmlformats.org/officeDocument/2006/relationships/hyperlink" Target="http://www.westlaw.com/Find/Default.wl?rs=dfa1.0&amp;vr=2.0&amp;DB=0000506&amp;FindType=Y&amp;ReferencePositionType=S&amp;SerialNum=2027680858&amp;ReferencePosition=203" TargetMode="External"/><Relationship Id="rId121" Type="http://schemas.openxmlformats.org/officeDocument/2006/relationships/hyperlink" Target="http://www.westlaw.com/Find/Default.wl?rs=dfa1.0&amp;vr=2.0&amp;DB=0000506&amp;FindType=Y&amp;ReferencePositionType=S&amp;SerialNum=2024884767&amp;ReferencePosition=1289" TargetMode="External"/><Relationship Id="rId122" Type="http://schemas.openxmlformats.org/officeDocument/2006/relationships/hyperlink" Target="http://www.westlaw.com/Find/Default.wl?rs=dfa1.0&amp;vr=2.0&amp;DB=0000506&amp;FindType=Y&amp;ReferencePositionType=S&amp;SerialNum=2024884767&amp;ReferencePosition=1289" TargetMode="External"/><Relationship Id="rId123" Type="http://schemas.openxmlformats.org/officeDocument/2006/relationships/hyperlink" Target="http://www.westlaw.com/Find/Default.wl?rs=dfa1.0&amp;vr=2.0&amp;DB=PROFILER-WLD&amp;DocName=0240944001&amp;FindType=h" TargetMode="External"/><Relationship Id="rId124" Type="http://schemas.openxmlformats.org/officeDocument/2006/relationships/hyperlink" Target="http://www.westlaw.com/Find/Default.wl?rs=dfa1.0&amp;vr=2.0&amp;DB=1000546&amp;DocName=18USCAS875&amp;FindType=L&amp;ReferencePositionType=T&amp;ReferencePosition=SP_4b24000003ba5" TargetMode="External"/><Relationship Id="rId125" Type="http://schemas.openxmlformats.org/officeDocument/2006/relationships/hyperlink" Target="http://www.westlaw.com/Find/Default.wl?rs=dfa1.0&amp;vr=2.0&amp;DB=350&amp;FindType=Y&amp;ReferencePositionType=S&amp;SerialNum=1991202292&amp;ReferencePosition=557" TargetMode="External"/><Relationship Id="rId126" Type="http://schemas.openxmlformats.org/officeDocument/2006/relationships/hyperlink" Target="http://www.westlaw.com/Find/Default.wl?rs=dfa1.0&amp;vr=2.0&amp;DB=350&amp;FindType=Y&amp;ReferencePositionType=S&amp;SerialNum=1991202292&amp;ReferencePosition=557" TargetMode="External"/><Relationship Id="rId127" Type="http://schemas.openxmlformats.org/officeDocument/2006/relationships/hyperlink" Target="http://www.westlaw.com/Find/Default.wl?rs=dfa1.0&amp;vr=2.0&amp;DB=708&amp;FindType=Y&amp;SerialNum=2003269919" TargetMode="External"/><Relationship Id="rId128" Type="http://schemas.openxmlformats.org/officeDocument/2006/relationships/hyperlink" Target="http://www.westlaw.com/Find/Default.wl?rs=dfa1.0&amp;vr=2.0&amp;DB=708&amp;FindType=Y&amp;SerialNum=2003269919" TargetMode="External"/><Relationship Id="rId129" Type="http://schemas.openxmlformats.org/officeDocument/2006/relationships/hyperlink" Target="http://www.westlaw.com/Find/Default.wl?rs=dfa1.0&amp;vr=2.0&amp;DB=1000546&amp;DocName=18USCAS875&amp;FindType=L&amp;ReferencePositionType=T&amp;ReferencePosition=SP_4b24000003ba5" TargetMode="External"/><Relationship Id="rId690" Type="http://schemas.openxmlformats.org/officeDocument/2006/relationships/hyperlink" Target="http://www.westlaw.com/Find/Default.wl?rs=dfa1.0&amp;vr=2.0&amp;DB=708&amp;FindType=Y&amp;SerialNum=1985133474" TargetMode="External"/><Relationship Id="rId691" Type="http://schemas.openxmlformats.org/officeDocument/2006/relationships/hyperlink" Target="http://www.westlaw.com/Find/Default.wl?rs=dfa1.0&amp;vr=2.0&amp;DB=708&amp;FindType=Y&amp;SerialNum=1973126451" TargetMode="External"/><Relationship Id="rId692" Type="http://schemas.openxmlformats.org/officeDocument/2006/relationships/hyperlink" Target="http://www.westlaw.com/Find/Default.wl?rs=dfa1.0&amp;vr=2.0&amp;DB=708&amp;FindType=Y&amp;SerialNum=1973126451" TargetMode="External"/><Relationship Id="rId693" Type="http://schemas.openxmlformats.org/officeDocument/2006/relationships/hyperlink" Target="http://www.westlaw.com/Find/Default.wl?rs=dfa1.0&amp;vr=2.0&amp;DB=708&amp;FindType=Y&amp;SerialNum=1972127089" TargetMode="External"/><Relationship Id="rId694" Type="http://schemas.openxmlformats.org/officeDocument/2006/relationships/hyperlink" Target="http://www.westlaw.com/Find/Default.wl?rs=dfa1.0&amp;vr=2.0&amp;DB=708&amp;FindType=Y&amp;SerialNum=1972127089" TargetMode="External"/><Relationship Id="rId695" Type="http://schemas.openxmlformats.org/officeDocument/2006/relationships/hyperlink" Target="http://www.westlaw.com/Find/Default.wl?rs=dfa1.0&amp;vr=2.0&amp;DB=708&amp;FindType=Y&amp;SerialNum=1967129542" TargetMode="External"/><Relationship Id="rId696" Type="http://schemas.openxmlformats.org/officeDocument/2006/relationships/hyperlink" Target="http://www.westlaw.com/Find/Default.wl?rs=dfa1.0&amp;vr=2.0&amp;DB=708&amp;FindType=Y&amp;SerialNum=1967129542" TargetMode="External"/><Relationship Id="rId350" Type="http://schemas.openxmlformats.org/officeDocument/2006/relationships/hyperlink" Target="http://www.westlaw.com/Find/Default.wl?rs=dfa1.0&amp;vr=2.0&amp;FindType=Y&amp;SerialNum=1969141744" TargetMode="External"/><Relationship Id="rId351" Type="http://schemas.openxmlformats.org/officeDocument/2006/relationships/hyperlink" Target="http://www.westlaw.com/Find/Default.wl?rs=dfa1.0&amp;vr=2.0&amp;FindType=Y&amp;SerialNum=1991202292" TargetMode="External"/><Relationship Id="rId352" Type="http://schemas.openxmlformats.org/officeDocument/2006/relationships/hyperlink" Target="http://www.westlaw.com/Find/Default.wl?rs=dfa1.0&amp;vr=2.0&amp;DB=1000546&amp;DocName=18USCAS875&amp;FindType=L&amp;ReferencePositionType=T&amp;ReferencePosition=SP_4b24000003ba5" TargetMode="External"/><Relationship Id="rId353" Type="http://schemas.openxmlformats.org/officeDocument/2006/relationships/hyperlink" Target="http://www.westlaw.com/Find/Default.wl?rs=dfa1.0&amp;vr=2.0&amp;DB=0000999&amp;FindType=Y&amp;SerialNum=2031352003" TargetMode="External"/><Relationship Id="rId354" Type="http://schemas.openxmlformats.org/officeDocument/2006/relationships/hyperlink" Target="http://www.westlaw.com/Find/Default.wl?rs=dfa1.0&amp;vr=2.0&amp;DB=0000999&amp;FindType=Y&amp;SerialNum=2031352003" TargetMode="External"/><Relationship Id="rId355" Type="http://schemas.openxmlformats.org/officeDocument/2006/relationships/hyperlink" Target="http://www.westlaw.com/Find/Default.wl?rs=dfa1.0&amp;vr=2.0&amp;FindType=Y&amp;SerialNum=2008844917" TargetMode="External"/><Relationship Id="rId356" Type="http://schemas.openxmlformats.org/officeDocument/2006/relationships/hyperlink" Target="http://www.westlaw.com/Find/Default.wl?rs=dfa1.0&amp;vr=2.0&amp;DB=506&amp;FindType=Y&amp;ReferencePositionType=S&amp;SerialNum=2008844917&amp;ReferencePosition=243" TargetMode="External"/><Relationship Id="rId357" Type="http://schemas.openxmlformats.org/officeDocument/2006/relationships/hyperlink" Target="http://www.westlaw.com/Find/Default.wl?rs=dfa1.0&amp;vr=2.0&amp;FindType=Y&amp;SerialNum=2008844917" TargetMode="External"/><Relationship Id="rId358" Type="http://schemas.openxmlformats.org/officeDocument/2006/relationships/hyperlink" Target="http://www.westlaw.com/Find/Default.wl?rs=dfa1.0&amp;vr=2.0&amp;FindType=Y&amp;SerialNum=2008844917" TargetMode="External"/><Relationship Id="rId359" Type="http://schemas.openxmlformats.org/officeDocument/2006/relationships/hyperlink" Target="http://www.westlaw.com/Find/Default.wl?rs=dfa1.0&amp;vr=2.0&amp;FindType=Y&amp;SerialNum=2008844917" TargetMode="External"/><Relationship Id="rId697" Type="http://schemas.openxmlformats.org/officeDocument/2006/relationships/hyperlink" Target="http://www.westlaw.com/Find/Default.wl?rs=dfa1.0&amp;vr=2.0&amp;DB=708&amp;FindType=Y&amp;SerialNum=1985133474" TargetMode="External"/><Relationship Id="rId698" Type="http://schemas.openxmlformats.org/officeDocument/2006/relationships/hyperlink" Target="http://www.westlaw.com/Find/Default.wl?rs=dfa1.0&amp;vr=2.0&amp;DB=708&amp;FindType=Y&amp;SerialNum=1985133474" TargetMode="External"/><Relationship Id="rId699" Type="http://schemas.openxmlformats.org/officeDocument/2006/relationships/hyperlink" Target="http://www.westlaw.com/Find/Default.wl?rs=dfa1.0&amp;vr=2.0&amp;DB=4637&amp;FindType=Y&amp;ReferencePositionType=S&amp;SerialNum=2022683934&amp;ReferencePosition=972" TargetMode="External"/><Relationship Id="rId580" Type="http://schemas.openxmlformats.org/officeDocument/2006/relationships/hyperlink" Target="http://www.westlaw.com/Find/Default.wl?rs=dfa1.0&amp;vr=2.0&amp;DB=708&amp;FindType=Y&amp;SerialNum=1993071600" TargetMode="External"/><Relationship Id="rId581" Type="http://schemas.openxmlformats.org/officeDocument/2006/relationships/hyperlink" Target="http://www.westlaw.com/Find/Default.wl?rs=dfa1.0&amp;vr=2.0&amp;DB=708&amp;FindType=Y&amp;SerialNum=1993071600" TargetMode="External"/><Relationship Id="rId582" Type="http://schemas.openxmlformats.org/officeDocument/2006/relationships/hyperlink" Target="http://www.westlaw.com/Find/Default.wl?rs=dfa1.0&amp;vr=2.0&amp;DB=708&amp;FindType=Y&amp;SerialNum=1974247870" TargetMode="External"/><Relationship Id="rId583" Type="http://schemas.openxmlformats.org/officeDocument/2006/relationships/hyperlink" Target="http://www.westlaw.com/Find/Default.wl?rs=dfa1.0&amp;vr=2.0&amp;DB=708&amp;FindType=Y&amp;SerialNum=1974247870" TargetMode="External"/><Relationship Id="rId584" Type="http://schemas.openxmlformats.org/officeDocument/2006/relationships/hyperlink" Target="http://www.westlaw.com/Find/Default.wl?rs=dfa1.0&amp;vr=2.0&amp;DB=1000546&amp;DocName=USCOAMENDXIVS1&amp;FindType=L" TargetMode="External"/><Relationship Id="rId585" Type="http://schemas.openxmlformats.org/officeDocument/2006/relationships/hyperlink" Target="http://www.westlaw.com/Find/Default.wl?rs=dfa1.0&amp;vr=2.0&amp;DB=708&amp;FindType=Y&amp;SerialNum=1896180043" TargetMode="External"/><Relationship Id="rId586" Type="http://schemas.openxmlformats.org/officeDocument/2006/relationships/hyperlink" Target="http://www.westlaw.com/Find/Default.wl?rs=dfa1.0&amp;vr=2.0&amp;DB=708&amp;FindType=Y&amp;SerialNum=1896180043" TargetMode="External"/><Relationship Id="rId240" Type="http://schemas.openxmlformats.org/officeDocument/2006/relationships/hyperlink" Target="http://www.westlaw.com/Find/Default.wl?rs=dfa1.0&amp;vr=2.0&amp;DB=506&amp;FindType=Y&amp;ReferencePositionType=S&amp;SerialNum=2028479157&amp;ReferencePosition=479" TargetMode="External"/><Relationship Id="rId241" Type="http://schemas.openxmlformats.org/officeDocument/2006/relationships/hyperlink" Target="http://www.westlaw.com/Find/Default.wl?rs=dfa1.0&amp;vr=2.0&amp;DB=506&amp;FindType=Y&amp;ReferencePositionType=S&amp;SerialNum=2028479157&amp;ReferencePosition=479" TargetMode="External"/><Relationship Id="rId242" Type="http://schemas.openxmlformats.org/officeDocument/2006/relationships/hyperlink" Target="http://www.westlaw.com/Find/Default.wl?rs=dfa1.0&amp;vr=2.0&amp;FindType=Y&amp;SerialNum=2003269919" TargetMode="External"/><Relationship Id="rId243" Type="http://schemas.openxmlformats.org/officeDocument/2006/relationships/hyperlink" Target="http://www.westlaw.com/Find/Default.wl?rs=dfa1.0&amp;vr=2.0&amp;DB=506&amp;FindType=Y&amp;ReferencePositionType=S&amp;SerialNum=2026610802&amp;ReferencePosition=332" TargetMode="External"/><Relationship Id="rId244" Type="http://schemas.openxmlformats.org/officeDocument/2006/relationships/hyperlink" Target="http://www.westlaw.com/Find/Default.wl?rs=dfa1.0&amp;vr=2.0&amp;DB=506&amp;FindType=Y&amp;ReferencePositionType=S&amp;SerialNum=2026610802&amp;ReferencePosition=332" TargetMode="External"/><Relationship Id="rId245" Type="http://schemas.openxmlformats.org/officeDocument/2006/relationships/hyperlink" Target="http://www.westlaw.com/Find/Default.wl?rs=dfa1.0&amp;vr=2.0&amp;DB=708&amp;FindType=Y&amp;SerialNum=2027495709" TargetMode="External"/><Relationship Id="rId246" Type="http://schemas.openxmlformats.org/officeDocument/2006/relationships/hyperlink" Target="http://www.westlaw.com/Find/Default.wl?rs=dfa1.0&amp;vr=2.0&amp;FindType=Y&amp;SerialNum=2003269919" TargetMode="External"/><Relationship Id="rId247" Type="http://schemas.openxmlformats.org/officeDocument/2006/relationships/hyperlink" Target="http://www.westlaw.com/Find/Default.wl?rs=dfa1.0&amp;vr=2.0&amp;DB=506&amp;FindType=Y&amp;ReferencePositionType=S&amp;SerialNum=2030433749&amp;ReferencePosition=440" TargetMode="External"/><Relationship Id="rId248" Type="http://schemas.openxmlformats.org/officeDocument/2006/relationships/hyperlink" Target="http://www.westlaw.com/Find/Default.wl?rs=dfa1.0&amp;vr=2.0&amp;DB=506&amp;FindType=Y&amp;ReferencePositionType=S&amp;SerialNum=2030433749&amp;ReferencePosition=440" TargetMode="External"/><Relationship Id="rId249" Type="http://schemas.openxmlformats.org/officeDocument/2006/relationships/hyperlink" Target="http://www.westlaw.com/Find/Default.wl?rs=dfa1.0&amp;vr=2.0&amp;FindType=Y&amp;SerialNum=2028479157" TargetMode="External"/><Relationship Id="rId587" Type="http://schemas.openxmlformats.org/officeDocument/2006/relationships/hyperlink" Target="http://www.westlaw.com/Find/Default.wl?rs=dfa1.0&amp;vr=2.0&amp;DB=708&amp;FindType=Y&amp;SerialNum=1996118409" TargetMode="External"/><Relationship Id="rId588" Type="http://schemas.openxmlformats.org/officeDocument/2006/relationships/hyperlink" Target="http://www.westlaw.com/Find/Default.wl?rs=dfa1.0&amp;vr=2.0&amp;DB=708&amp;FindType=Y&amp;SerialNum=1996118409" TargetMode="External"/><Relationship Id="rId589" Type="http://schemas.openxmlformats.org/officeDocument/2006/relationships/hyperlink" Target="http://www.westlaw.com/Find/Default.wl?rs=dfa1.0&amp;vr=2.0&amp;DB=708&amp;FindType=Y&amp;SerialNum=1978114179" TargetMode="External"/><Relationship Id="rId470" Type="http://schemas.openxmlformats.org/officeDocument/2006/relationships/hyperlink" Target="http://www.westlaw.com/Find/Default.wl?rs=dfa1.0&amp;vr=2.0&amp;FindType=Y&amp;SerialNum=2030868161" TargetMode="External"/><Relationship Id="rId471" Type="http://schemas.openxmlformats.org/officeDocument/2006/relationships/hyperlink" Target="http://www.westlaw.com/Find/Default.wl?rs=dfa1.0&amp;vr=2.0&amp;FindType=Y&amp;SerialNum=2030868161" TargetMode="External"/><Relationship Id="rId472" Type="http://schemas.openxmlformats.org/officeDocument/2006/relationships/hyperlink" Target="http://www.westlaw.com/Find/Default.wl?rs=dfa1.0&amp;vr=2.0&amp;FindType=Y&amp;SerialNum=2030868160" TargetMode="External"/><Relationship Id="rId473" Type="http://schemas.openxmlformats.org/officeDocument/2006/relationships/hyperlink" Target="http://www.westlaw.com/Find/Default.wl?rs=dfa1.0&amp;vr=2.0&amp;DB=708&amp;FindType=Y&amp;SerialNum=2030868160" TargetMode="External"/><Relationship Id="rId474" Type="http://schemas.openxmlformats.org/officeDocument/2006/relationships/hyperlink" Target="http://www.westlaw.com/Find/Default.wl?rs=dfa1.0&amp;vr=2.0&amp;FindType=Y&amp;SerialNum=2030868161" TargetMode="External"/><Relationship Id="rId475" Type="http://schemas.openxmlformats.org/officeDocument/2006/relationships/hyperlink" Target="http://www.westlaw.com/Find/Default.wl?rs=dfa1.0&amp;vr=2.0&amp;DB=708&amp;FindType=Y&amp;ReferencePositionType=S&amp;SerialNum=2030868161&amp;ReferencePosition=2693" TargetMode="External"/><Relationship Id="rId476" Type="http://schemas.openxmlformats.org/officeDocument/2006/relationships/hyperlink" Target="http://www.westlaw.com/Find/Default.wl?rs=dfa1.0&amp;vr=2.0&amp;DB=708&amp;FindType=Y&amp;ReferencePositionType=S&amp;SerialNum=2030868161&amp;ReferencePosition=2693" TargetMode="External"/><Relationship Id="rId477" Type="http://schemas.openxmlformats.org/officeDocument/2006/relationships/hyperlink" Target="http://www.westlaw.com/Find/Default.wl?rs=dfa1.0&amp;vr=2.0&amp;FindType=Y&amp;SerialNum=2030868161" TargetMode="External"/><Relationship Id="rId478" Type="http://schemas.openxmlformats.org/officeDocument/2006/relationships/hyperlink" Target="http://www.westlaw.com/Find/Default.wl?rs=dfa1.0&amp;vr=2.0&amp;FindType=Y&amp;SerialNum=2030868161" TargetMode="External"/><Relationship Id="rId479" Type="http://schemas.openxmlformats.org/officeDocument/2006/relationships/hyperlink" Target="http://www.westlaw.com/Find/Default.wl?rs=dfa1.0&amp;vr=2.0&amp;DB=708&amp;FindType=Y&amp;SerialNum=1943120939" TargetMode="External"/><Relationship Id="rId130" Type="http://schemas.openxmlformats.org/officeDocument/2006/relationships/hyperlink" Target="http://www.westlaw.com/Find/Default.wl?rs=dfa1.0&amp;vr=2.0&amp;DB=708&amp;FindType=Y&amp;SerialNum=2003269919" TargetMode="External"/><Relationship Id="rId131" Type="http://schemas.openxmlformats.org/officeDocument/2006/relationships/hyperlink" Target="http://www.westlaw.com/Find/Default.wl?rs=dfa1.0&amp;vr=2.0&amp;DB=708&amp;FindType=Y&amp;SerialNum=2003269919" TargetMode="External"/><Relationship Id="rId132" Type="http://schemas.openxmlformats.org/officeDocument/2006/relationships/hyperlink" Target="http://www.westlaw.com/Find/Default.wl?rs=dfa1.0&amp;vr=2.0&amp;DB=0000999&amp;FindType=Y&amp;SerialNum=2026381211" TargetMode="External"/><Relationship Id="rId133" Type="http://schemas.openxmlformats.org/officeDocument/2006/relationships/hyperlink" Target="http://www.westlaw.com/Find/Default.wl?rs=dfa1.0&amp;vr=2.0&amp;DB=0000999&amp;FindType=Y&amp;SerialNum=2026381211" TargetMode="External"/><Relationship Id="rId134" Type="http://schemas.openxmlformats.org/officeDocument/2006/relationships/hyperlink" Target="http://www.westlaw.com/Find/Default.wl?rs=dfa1.0&amp;vr=2.0&amp;DB=506&amp;FindType=Y&amp;ReferencePositionType=S&amp;SerialNum=2008844917&amp;ReferencePosition=244" TargetMode="External"/><Relationship Id="rId135" Type="http://schemas.openxmlformats.org/officeDocument/2006/relationships/hyperlink" Target="http://www.westlaw.com/Find/Default.wl?rs=dfa1.0&amp;vr=2.0&amp;DB=506&amp;FindType=Y&amp;ReferencePositionType=S&amp;SerialNum=2008844917&amp;ReferencePosition=244" TargetMode="External"/><Relationship Id="rId136" Type="http://schemas.openxmlformats.org/officeDocument/2006/relationships/hyperlink" Target="http://www.westlaw.com/Find/Default.wl?rs=dfa1.0&amp;vr=2.0&amp;DB=1000546&amp;DocName=18USCAS3231&amp;FindType=L" TargetMode="External"/><Relationship Id="rId137" Type="http://schemas.openxmlformats.org/officeDocument/2006/relationships/hyperlink" Target="http://www.westlaw.com/Find/Default.wl?rs=dfa1.0&amp;vr=2.0&amp;DB=1000546&amp;DocName=28USCAS1291&amp;FindType=L" TargetMode="External"/><Relationship Id="rId138" Type="http://schemas.openxmlformats.org/officeDocument/2006/relationships/hyperlink" Target="http://www.westlaw.com/Find/Default.wl?rs=dfa1.0&amp;vr=2.0&amp;DB=350&amp;FindType=Y&amp;ReferencePositionType=S&amp;SerialNum=1991202292&amp;ReferencePosition=553" TargetMode="External"/><Relationship Id="rId139" Type="http://schemas.openxmlformats.org/officeDocument/2006/relationships/hyperlink" Target="http://www.westlaw.com/Find/Default.wl?rs=dfa1.0&amp;vr=2.0&amp;DB=350&amp;FindType=Y&amp;ReferencePositionType=S&amp;SerialNum=1991202292&amp;ReferencePosition=553" TargetMode="External"/><Relationship Id="rId360" Type="http://schemas.openxmlformats.org/officeDocument/2006/relationships/hyperlink" Target="http://www.westlaw.com/Find/Default.wl?rs=dfa1.0&amp;vr=2.0&amp;FindType=Y&amp;SerialNum=2008844917" TargetMode="External"/><Relationship Id="rId361" Type="http://schemas.openxmlformats.org/officeDocument/2006/relationships/hyperlink" Target="http://www.westlaw.com/Find/Default.wl?rs=dfa1.0&amp;vr=2.0&amp;FindType=Y&amp;SerialNum=2008844917" TargetMode="External"/><Relationship Id="rId362" Type="http://schemas.openxmlformats.org/officeDocument/2006/relationships/hyperlink" Target="http://www.westlaw.com/Find/Default.wl?rs=dfa1.0&amp;vr=2.0&amp;FindType=Y&amp;SerialNum=2008844917" TargetMode="External"/><Relationship Id="rId363" Type="http://schemas.openxmlformats.org/officeDocument/2006/relationships/hyperlink" Target="http://www.westlaw.com/Find/Default.wl?rs=dfa1.0&amp;vr=2.0&amp;FindType=Y&amp;SerialNum=2008844917" TargetMode="External"/><Relationship Id="rId364" Type="http://schemas.openxmlformats.org/officeDocument/2006/relationships/hyperlink" Target="http://www.westlaw.com/Find/Default.wl?rs=dfa1.0&amp;vr=2.0&amp;FindType=Y&amp;SerialNum=2008844917" TargetMode="External"/><Relationship Id="rId365" Type="http://schemas.openxmlformats.org/officeDocument/2006/relationships/hyperlink" Target="http://www.westlaw.com/Find/Default.wl?rs=dfa1.0&amp;vr=2.0&amp;FindType=Y&amp;SerialNum=2008844917" TargetMode="External"/><Relationship Id="rId366" Type="http://schemas.openxmlformats.org/officeDocument/2006/relationships/hyperlink" Target="http://www.westlaw.com/Find/Default.wl?rs=dfa1.0&amp;vr=2.0&amp;FindType=Y&amp;SerialNum=2008844917" TargetMode="External"/><Relationship Id="rId367" Type="http://schemas.openxmlformats.org/officeDocument/2006/relationships/hyperlink" Target="http://www.westlaw.com/Find/Default.wl?rs=dfa1.0&amp;vr=2.0&amp;FindType=Y&amp;SerialNum=2008844917" TargetMode="External"/><Relationship Id="rId368" Type="http://schemas.openxmlformats.org/officeDocument/2006/relationships/hyperlink" Target="http://www.westlaw.com/Find/Default.wl?rs=dfa1.0&amp;vr=2.0&amp;FindType=Y&amp;SerialNum=2008844917" TargetMode="External"/><Relationship Id="rId369" Type="http://schemas.openxmlformats.org/officeDocument/2006/relationships/hyperlink" Target="http://www.westlaw.com/Find/Default.wl?rs=dfa1.0&amp;vr=2.0&amp;FindType=Y&amp;SerialNum=2008844917" TargetMode="External"/><Relationship Id="rId590" Type="http://schemas.openxmlformats.org/officeDocument/2006/relationships/hyperlink" Target="http://www.westlaw.com/Find/Default.wl?rs=dfa1.0&amp;vr=2.0&amp;DB=708&amp;FindType=Y&amp;SerialNum=1978114179" TargetMode="External"/><Relationship Id="rId591" Type="http://schemas.openxmlformats.org/officeDocument/2006/relationships/hyperlink" Target="http://www.westlaw.com/Find/Default.wl?rs=dfa1.0&amp;vr=2.0&amp;DB=708&amp;FindType=Y&amp;SerialNum=1966102361" TargetMode="External"/><Relationship Id="rId592" Type="http://schemas.openxmlformats.org/officeDocument/2006/relationships/hyperlink" Target="http://www.westlaw.com/Find/Default.wl?rs=dfa1.0&amp;vr=2.0&amp;DB=708&amp;FindType=Y&amp;SerialNum=1966102361" TargetMode="External"/><Relationship Id="rId593" Type="http://schemas.openxmlformats.org/officeDocument/2006/relationships/hyperlink" Target="http://www.westlaw.com/Find/Default.wl?rs=dfa1.0&amp;vr=2.0&amp;DB=708&amp;FindType=Y&amp;SerialNum=1938122797" TargetMode="External"/><Relationship Id="rId594" Type="http://schemas.openxmlformats.org/officeDocument/2006/relationships/hyperlink" Target="http://www.westlaw.com/Find/Default.wl?rs=dfa1.0&amp;vr=2.0&amp;DB=708&amp;FindType=Y&amp;SerialNum=1938122797" TargetMode="External"/><Relationship Id="rId595" Type="http://schemas.openxmlformats.org/officeDocument/2006/relationships/hyperlink" Target="http://www.westlaw.com/Find/Default.wl?rs=dfa1.0&amp;vr=2.0&amp;DB=708&amp;FindType=Y&amp;SerialNum=1988073370" TargetMode="External"/><Relationship Id="rId596" Type="http://schemas.openxmlformats.org/officeDocument/2006/relationships/hyperlink" Target="http://www.westlaw.com/Find/Default.wl?rs=dfa1.0&amp;vr=2.0&amp;DB=708&amp;FindType=Y&amp;SerialNum=1988073370" TargetMode="External"/><Relationship Id="rId250" Type="http://schemas.openxmlformats.org/officeDocument/2006/relationships/hyperlink" Target="http://www.westlaw.com/Find/Default.wl?rs=dfa1.0&amp;vr=2.0&amp;DB=1000546&amp;DocName=18USCAS875&amp;FindType=L&amp;ReferencePositionType=T&amp;ReferencePosition=SP_4b24000003ba5" TargetMode="External"/><Relationship Id="rId251" Type="http://schemas.openxmlformats.org/officeDocument/2006/relationships/hyperlink" Target="http://www.westlaw.com/Find/Default.wl?rs=dfa1.0&amp;vr=2.0&amp;FindType=Y&amp;SerialNum=2003269919" TargetMode="External"/><Relationship Id="rId252" Type="http://schemas.openxmlformats.org/officeDocument/2006/relationships/hyperlink" Target="http://www.westlaw.com/Find/Default.wl?rs=dfa1.0&amp;vr=2.0&amp;DB=506&amp;FindType=Y&amp;ReferencePositionType=S&amp;SerialNum=2022905220&amp;ReferencePosition=865" TargetMode="External"/><Relationship Id="rId253" Type="http://schemas.openxmlformats.org/officeDocument/2006/relationships/hyperlink" Target="http://www.westlaw.com/Find/Default.wl?rs=dfa1.0&amp;vr=2.0&amp;DB=506&amp;FindType=Y&amp;ReferencePositionType=S&amp;SerialNum=2022905220&amp;ReferencePosition=865" TargetMode="External"/><Relationship Id="rId254" Type="http://schemas.openxmlformats.org/officeDocument/2006/relationships/hyperlink" Target="http://www.westlaw.com/Find/Default.wl?rs=dfa1.0&amp;vr=2.0&amp;DB=506&amp;FindType=Y&amp;ReferencePositionType=S&amp;SerialNum=2020128026&amp;ReferencePosition=185" TargetMode="External"/><Relationship Id="rId255" Type="http://schemas.openxmlformats.org/officeDocument/2006/relationships/hyperlink" Target="http://www.westlaw.com/Find/Default.wl?rs=dfa1.0&amp;vr=2.0&amp;DB=506&amp;FindType=Y&amp;ReferencePositionType=S&amp;SerialNum=2020128026&amp;ReferencePosition=185" TargetMode="External"/><Relationship Id="rId256" Type="http://schemas.openxmlformats.org/officeDocument/2006/relationships/hyperlink" Target="http://www.westlaw.com/Find/Default.wl?rs=dfa1.0&amp;vr=2.0&amp;DB=506&amp;FindType=Y&amp;ReferencePositionType=S&amp;SerialNum=2005738522&amp;ReferencePosition=616" TargetMode="External"/><Relationship Id="rId257" Type="http://schemas.openxmlformats.org/officeDocument/2006/relationships/hyperlink" Target="http://www.westlaw.com/Find/Default.wl?rs=dfa1.0&amp;vr=2.0&amp;DB=506&amp;FindType=Y&amp;ReferencePositionType=S&amp;SerialNum=2005738522&amp;ReferencePosition=616" TargetMode="External"/><Relationship Id="rId258" Type="http://schemas.openxmlformats.org/officeDocument/2006/relationships/hyperlink" Target="http://www.westlaw.com/Find/Default.wl?rs=dfa1.0&amp;vr=2.0&amp;DB=506&amp;FindType=Y&amp;ReferencePositionType=S&amp;SerialNum=2005128908&amp;ReferencePosition=136" TargetMode="External"/><Relationship Id="rId259" Type="http://schemas.openxmlformats.org/officeDocument/2006/relationships/hyperlink" Target="http://www.westlaw.com/Find/Default.wl?rs=dfa1.0&amp;vr=2.0&amp;DB=506&amp;FindType=Y&amp;ReferencePositionType=S&amp;SerialNum=2005128908&amp;ReferencePosition=136" TargetMode="External"/><Relationship Id="rId597" Type="http://schemas.openxmlformats.org/officeDocument/2006/relationships/hyperlink" Target="http://www.westlaw.com/Find/Default.wl?rs=dfa1.0&amp;vr=2.0&amp;DB=708&amp;FindType=Y&amp;SerialNum=1996118409" TargetMode="External"/><Relationship Id="rId598" Type="http://schemas.openxmlformats.org/officeDocument/2006/relationships/hyperlink" Target="http://www.westlaw.com/Find/Default.wl?rs=dfa1.0&amp;vr=2.0&amp;DB=708&amp;FindType=Y&amp;SerialNum=1996118409" TargetMode="External"/><Relationship Id="rId599" Type="http://schemas.openxmlformats.org/officeDocument/2006/relationships/hyperlink" Target="http://www.westlaw.com/Find/Default.wl?rs=dfa1.0&amp;vr=2.0&amp;DB=708&amp;FindType=Y&amp;SerialNum=1988073370" TargetMode="External"/><Relationship Id="rId480" Type="http://schemas.openxmlformats.org/officeDocument/2006/relationships/hyperlink" Target="http://www.westlaw.com/Find/Default.wl?rs=dfa1.0&amp;vr=2.0&amp;DB=708&amp;FindType=Y&amp;SerialNum=1943120939" TargetMode="External"/><Relationship Id="rId481" Type="http://schemas.openxmlformats.org/officeDocument/2006/relationships/hyperlink" Target="http://www.westlaw.com/Find/Default.wl?rs=dfa1.0&amp;vr=2.0&amp;DB=1000546&amp;DocName=USCOAMENDXIVS1&amp;FindType=L" TargetMode="External"/><Relationship Id="rId482" Type="http://schemas.openxmlformats.org/officeDocument/2006/relationships/hyperlink" Target="http://www.westlaw.com/Find/Default.wl?rs=dfa1.0&amp;vr=2.0&amp;DB=708&amp;FindType=Y&amp;SerialNum=1992116314" TargetMode="External"/><Relationship Id="rId483" Type="http://schemas.openxmlformats.org/officeDocument/2006/relationships/hyperlink" Target="http://www.westlaw.com/Find/Default.wl?rs=dfa1.0&amp;vr=2.0&amp;DB=708&amp;FindType=Y&amp;SerialNum=1992116314" TargetMode="External"/><Relationship Id="rId484" Type="http://schemas.openxmlformats.org/officeDocument/2006/relationships/hyperlink" Target="http://www.westlaw.com/Find/Default.wl?rs=dfa1.0&amp;vr=2.0&amp;DB=708&amp;FindType=Y&amp;SerialNum=1927124508" TargetMode="External"/><Relationship Id="rId485" Type="http://schemas.openxmlformats.org/officeDocument/2006/relationships/hyperlink" Target="http://www.westlaw.com/Find/Default.wl?rs=dfa1.0&amp;vr=2.0&amp;DB=708&amp;FindType=Y&amp;SerialNum=1927124508" TargetMode="External"/><Relationship Id="rId486" Type="http://schemas.openxmlformats.org/officeDocument/2006/relationships/hyperlink" Target="http://www.westlaw.com/Find/Default.wl?rs=dfa1.0&amp;vr=2.0&amp;DB=708&amp;FindType=Y&amp;SerialNum=1968131174" TargetMode="External"/><Relationship Id="rId487" Type="http://schemas.openxmlformats.org/officeDocument/2006/relationships/hyperlink" Target="http://www.westlaw.com/Find/Default.wl?rs=dfa1.0&amp;vr=2.0&amp;DB=708&amp;FindType=Y&amp;SerialNum=1968131174" TargetMode="External"/><Relationship Id="rId488" Type="http://schemas.openxmlformats.org/officeDocument/2006/relationships/hyperlink" Target="http://www.westlaw.com/Find/Default.wl?rs=dfa1.0&amp;vr=2.0&amp;DB=708&amp;FindType=Y&amp;ReferencePositionType=S&amp;SerialNum=2022394586&amp;ReferencePosition=3050" TargetMode="External"/><Relationship Id="rId489" Type="http://schemas.openxmlformats.org/officeDocument/2006/relationships/hyperlink" Target="http://www.westlaw.com/Find/Default.wl?rs=dfa1.0&amp;vr=2.0&amp;DB=708&amp;FindType=Y&amp;ReferencePositionType=S&amp;SerialNum=2022394586&amp;ReferencePosition=3050" TargetMode="External"/><Relationship Id="rId140" Type="http://schemas.openxmlformats.org/officeDocument/2006/relationships/hyperlink" Target="http://www.westlaw.com/Find/Default.wl?rs=dfa1.0&amp;vr=2.0&amp;DB=506&amp;FindType=Y&amp;ReferencePositionType=S&amp;SerialNum=2012986932&amp;ReferencePosition=280" TargetMode="External"/><Relationship Id="rId141" Type="http://schemas.openxmlformats.org/officeDocument/2006/relationships/hyperlink" Target="http://www.westlaw.com/Find/Default.wl?rs=dfa1.0&amp;vr=2.0&amp;DB=506&amp;FindType=Y&amp;ReferencePositionType=S&amp;SerialNum=2012986932&amp;ReferencePosition=280" TargetMode="External"/><Relationship Id="rId142" Type="http://schemas.openxmlformats.org/officeDocument/2006/relationships/hyperlink" Target="http://www.westlaw.com/Find/Default.wl?rs=dfa1.0&amp;vr=2.0&amp;DB=506&amp;FindType=Y&amp;ReferencePositionType=S&amp;SerialNum=1998138990&amp;ReferencePosition=187" TargetMode="External"/><Relationship Id="rId143" Type="http://schemas.openxmlformats.org/officeDocument/2006/relationships/hyperlink" Target="http://www.westlaw.com/Find/Default.wl?rs=dfa1.0&amp;vr=2.0&amp;DB=506&amp;FindType=Y&amp;ReferencePositionType=S&amp;SerialNum=1998138990&amp;ReferencePosition=187" TargetMode="External"/><Relationship Id="rId144" Type="http://schemas.openxmlformats.org/officeDocument/2006/relationships/hyperlink" Target="http://www.westlaw.com/Find/Default.wl?rs=dfa1.0&amp;vr=2.0&amp;DB=506&amp;FindType=Y&amp;ReferencePositionType=S&amp;SerialNum=2022525603&amp;ReferencePosition=191" TargetMode="External"/><Relationship Id="rId145" Type="http://schemas.openxmlformats.org/officeDocument/2006/relationships/hyperlink" Target="http://www.westlaw.com/Find/Default.wl?rs=dfa1.0&amp;vr=2.0&amp;DB=506&amp;FindType=Y&amp;ReferencePositionType=S&amp;SerialNum=2022525603&amp;ReferencePosition=191" TargetMode="External"/><Relationship Id="rId146" Type="http://schemas.openxmlformats.org/officeDocument/2006/relationships/hyperlink" Target="http://www.westlaw.com/Find/Default.wl?rs=dfa1.0&amp;vr=2.0&amp;DB=1000546&amp;DocName=18USCAS875&amp;FindType=L&amp;ReferencePositionType=T&amp;ReferencePosition=SP_4b24000003ba5" TargetMode="External"/><Relationship Id="rId147" Type="http://schemas.openxmlformats.org/officeDocument/2006/relationships/hyperlink" Target="http://www.westlaw.com/Find/Default.wl?rs=dfa1.0&amp;vr=2.0&amp;FindType=Y&amp;SerialNum=2003269919" TargetMode="External"/><Relationship Id="rId148" Type="http://schemas.openxmlformats.org/officeDocument/2006/relationships/hyperlink" Target="http://www.westlaw.com/Find/Default.wl?rs=dfa1.0&amp;vr=2.0&amp;DB=350&amp;FindType=Y&amp;ReferencePositionType=S&amp;SerialNum=1991202292&amp;ReferencePosition=557" TargetMode="External"/><Relationship Id="rId149" Type="http://schemas.openxmlformats.org/officeDocument/2006/relationships/hyperlink" Target="http://www.westlaw.com/Find/Default.wl?rs=dfa1.0&amp;vr=2.0&amp;DB=350&amp;FindType=Y&amp;ReferencePositionType=S&amp;SerialNum=1991202292&amp;ReferencePosition=557" TargetMode="External"/><Relationship Id="rId370" Type="http://schemas.openxmlformats.org/officeDocument/2006/relationships/hyperlink" Target="http://www.westlaw.com/Find/Default.wl?rs=dfa1.0&amp;vr=2.0&amp;DB=1000546&amp;DocName=18USCAS875&amp;FindType=L&amp;ReferencePositionType=T&amp;ReferencePosition=SP_4b24000003ba5" TargetMode="External"/><Relationship Id="rId371" Type="http://schemas.openxmlformats.org/officeDocument/2006/relationships/hyperlink" Target="http://www.westlaw.com/Find/Default.wl?rs=dfa1.0&amp;vr=2.0&amp;DB=PROFILER-WLD&amp;DocName=0316861901&amp;FindType=h" TargetMode="External"/><Relationship Id="rId372" Type="http://schemas.openxmlformats.org/officeDocument/2006/relationships/hyperlink" Target="http://www.westlaw.com/Find/Default.wl?rs=dfa1.0&amp;vr=2.0&amp;DB=1000511&amp;DocName=UTSTS30-1-2&amp;FindType=L" TargetMode="External"/><Relationship Id="rId373" Type="http://schemas.openxmlformats.org/officeDocument/2006/relationships/hyperlink" Target="http://www.westlaw.com/Find/Default.wl?rs=dfa1.0&amp;vr=2.0&amp;DB=1000511&amp;DocName=UTSTS30-1-4.1&amp;FindType=L" TargetMode="External"/><Relationship Id="rId374" Type="http://schemas.openxmlformats.org/officeDocument/2006/relationships/hyperlink" Target="http://www.westlaw.com/Find/Default.wl?rs=dfa1.0&amp;vr=2.0&amp;DB=1000511&amp;DocName=UTCNART1S29&amp;FindType=L" TargetMode="External"/><Relationship Id="rId375" Type="http://schemas.openxmlformats.org/officeDocument/2006/relationships/hyperlink" Target="http://www.westlaw.com/Find/Default.wl?rs=dfa1.0&amp;vr=2.0&amp;DB=661&amp;FindType=Y&amp;ReferencePositionType=S&amp;SerialNum=1993099335&amp;ReferencePosition=59" TargetMode="External"/><Relationship Id="rId376" Type="http://schemas.openxmlformats.org/officeDocument/2006/relationships/hyperlink" Target="http://www.westlaw.com/Find/Default.wl?rs=dfa1.0&amp;vr=2.0&amp;DB=661&amp;FindType=Y&amp;ReferencePositionType=S&amp;SerialNum=1993099335&amp;ReferencePosition=59" TargetMode="External"/><Relationship Id="rId377" Type="http://schemas.openxmlformats.org/officeDocument/2006/relationships/hyperlink" Target="http://www.westlaw.com/Find/Default.wl?rs=dfa1.0&amp;vr=2.0&amp;DB=162&amp;FindType=Y&amp;ReferencePositionType=S&amp;SerialNum=1999277968&amp;ReferencePosition=886" TargetMode="External"/><Relationship Id="rId378" Type="http://schemas.openxmlformats.org/officeDocument/2006/relationships/hyperlink" Target="http://www.westlaw.com/Find/Default.wl?rs=dfa1.0&amp;vr=2.0&amp;DB=162&amp;FindType=Y&amp;ReferencePositionType=S&amp;SerialNum=1999277968&amp;ReferencePosition=886" TargetMode="External"/><Relationship Id="rId379" Type="http://schemas.openxmlformats.org/officeDocument/2006/relationships/hyperlink" Target="http://www.westlaw.com/Find/Default.wl?rs=dfa1.0&amp;vr=2.0&amp;DB=708&amp;FindType=Y&amp;SerialNum=2003452259" TargetMode="External"/><Relationship Id="rId260" Type="http://schemas.openxmlformats.org/officeDocument/2006/relationships/hyperlink" Target="http://www.westlaw.com/Find/Default.wl?rs=dfa1.0&amp;vr=2.0&amp;DB=506&amp;FindType=Y&amp;ReferencePositionType=S&amp;SerialNum=2026610802&amp;ReferencePosition=332" TargetMode="External"/><Relationship Id="rId261" Type="http://schemas.openxmlformats.org/officeDocument/2006/relationships/hyperlink" Target="http://www.westlaw.com/Find/Default.wl?rs=dfa1.0&amp;vr=2.0&amp;DB=506&amp;FindType=Y&amp;ReferencePositionType=S&amp;SerialNum=2026610802&amp;ReferencePosition=332" TargetMode="External"/><Relationship Id="rId262" Type="http://schemas.openxmlformats.org/officeDocument/2006/relationships/hyperlink" Target="http://www.westlaw.com/Find/Default.wl?rs=dfa1.0&amp;vr=2.0&amp;FindType=Y&amp;SerialNum=2027239106" TargetMode="External"/><Relationship Id="rId263" Type="http://schemas.openxmlformats.org/officeDocument/2006/relationships/hyperlink" Target="http://www.westlaw.com/Find/Default.wl?rs=dfa1.0&amp;vr=2.0&amp;DB=1000546&amp;DocName=18USCAS875&amp;FindType=L&amp;ReferencePositionType=T&amp;ReferencePosition=SP_4b24000003ba5" TargetMode="External"/><Relationship Id="rId264" Type="http://schemas.openxmlformats.org/officeDocument/2006/relationships/hyperlink" Target="http://www.westlaw.com/Find/Default.wl?rs=dfa1.0&amp;vr=2.0&amp;FindType=Y&amp;SerialNum=2003269919" TargetMode="External"/><Relationship Id="rId265" Type="http://schemas.openxmlformats.org/officeDocument/2006/relationships/hyperlink" Target="http://www.westlaw.com/Find/Default.wl?rs=dfa1.0&amp;vr=2.0&amp;DB=1000546&amp;DocName=18USCAS875&amp;FindType=L&amp;ReferencePositionType=T&amp;ReferencePosition=SP_4b24000003ba5" TargetMode="External"/><Relationship Id="rId266" Type="http://schemas.openxmlformats.org/officeDocument/2006/relationships/hyperlink" Target="http://www.westlaw.com/Find/Default.wl?rs=dfa1.0&amp;vr=2.0&amp;DB=506&amp;FindType=Y&amp;ReferencePositionType=S&amp;SerialNum=2027239106&amp;ReferencePosition=509" TargetMode="External"/><Relationship Id="rId267" Type="http://schemas.openxmlformats.org/officeDocument/2006/relationships/hyperlink" Target="http://www.westlaw.com/Find/Default.wl?rs=dfa1.0&amp;vr=2.0&amp;FindType=Y&amp;SerialNum=2003269919" TargetMode="External"/><Relationship Id="rId268" Type="http://schemas.openxmlformats.org/officeDocument/2006/relationships/hyperlink" Target="http://www.westlaw.com/Find/Default.wl?rs=dfa1.0&amp;vr=2.0&amp;DB=1000546&amp;DocName=18USCAS875&amp;FindType=L&amp;ReferencePositionType=T&amp;ReferencePosition=SP_4b24000003ba5" TargetMode="External"/><Relationship Id="rId269" Type="http://schemas.openxmlformats.org/officeDocument/2006/relationships/hyperlink" Target="http://www.westlaw.com/Find/Default.wl?rs=dfa1.0&amp;vr=2.0&amp;FindType=Y&amp;SerialNum=2027239106" TargetMode="External"/><Relationship Id="rId490" Type="http://schemas.openxmlformats.org/officeDocument/2006/relationships/hyperlink" Target="http://www.westlaw.com/Find/Default.wl?rs=dfa1.0&amp;vr=2.0&amp;FindType=Y&amp;SerialNum=1992116314" TargetMode="External"/><Relationship Id="rId491" Type="http://schemas.openxmlformats.org/officeDocument/2006/relationships/hyperlink" Target="http://www.westlaw.com/Find/Default.wl?rs=dfa1.0&amp;vr=2.0&amp;DB=708&amp;FindType=Y&amp;SerialNum=1961103584" TargetMode="External"/><Relationship Id="rId492" Type="http://schemas.openxmlformats.org/officeDocument/2006/relationships/hyperlink" Target="http://www.westlaw.com/Find/Default.wl?rs=dfa1.0&amp;vr=2.0&amp;DB=708&amp;FindType=Y&amp;SerialNum=1961103584" TargetMode="External"/><Relationship Id="rId493" Type="http://schemas.openxmlformats.org/officeDocument/2006/relationships/hyperlink" Target="http://www.westlaw.com/Find/Default.wl?rs=dfa1.0&amp;vr=2.0&amp;DB=708&amp;FindType=Y&amp;SerialNum=1992116314" TargetMode="External"/><Relationship Id="rId494" Type="http://schemas.openxmlformats.org/officeDocument/2006/relationships/hyperlink" Target="http://www.westlaw.com/Find/Default.wl?rs=dfa1.0&amp;vr=2.0&amp;DB=708&amp;FindType=Y&amp;SerialNum=1992116314" TargetMode="External"/><Relationship Id="rId495" Type="http://schemas.openxmlformats.org/officeDocument/2006/relationships/hyperlink" Target="http://www.westlaw.com/Find/Default.wl?rs=dfa1.0&amp;vr=2.0&amp;FindType=Y&amp;SerialNum=1888180083" TargetMode="External"/><Relationship Id="rId496" Type="http://schemas.openxmlformats.org/officeDocument/2006/relationships/hyperlink" Target="http://www.westlaw.com/Find/Default.wl?rs=dfa1.0&amp;vr=2.0&amp;DB=708&amp;FindType=Y&amp;SerialNum=1888180083" TargetMode="External"/><Relationship Id="rId497" Type="http://schemas.openxmlformats.org/officeDocument/2006/relationships/hyperlink" Target="http://www.westlaw.com/Find/Default.wl?rs=dfa1.0&amp;vr=2.0&amp;FindType=Y&amp;SerialNum=1923120440" TargetMode="External"/><Relationship Id="rId498" Type="http://schemas.openxmlformats.org/officeDocument/2006/relationships/hyperlink" Target="http://www.westlaw.com/Find/Default.wl?rs=dfa1.0&amp;vr=2.0&amp;DB=708&amp;FindType=Y&amp;SerialNum=1923120440" TargetMode="External"/><Relationship Id="rId499" Type="http://schemas.openxmlformats.org/officeDocument/2006/relationships/hyperlink" Target="http://www.westlaw.com/Find/Default.wl?rs=dfa1.0&amp;vr=2.0&amp;FindType=Y&amp;SerialNum=1942122820" TargetMode="External"/><Relationship Id="rId150" Type="http://schemas.openxmlformats.org/officeDocument/2006/relationships/hyperlink" Target="http://www.westlaw.com/Find/Default.wl?rs=dfa1.0&amp;vr=2.0&amp;FindType=Y&amp;SerialNum=1991202292" TargetMode="External"/><Relationship Id="rId151" Type="http://schemas.openxmlformats.org/officeDocument/2006/relationships/hyperlink" Target="http://www.westlaw.com/Find/Default.wl?rs=dfa1.0&amp;vr=2.0&amp;FindType=Y&amp;SerialNum=1991202292" TargetMode="External"/><Relationship Id="rId152" Type="http://schemas.openxmlformats.org/officeDocument/2006/relationships/hyperlink" Target="http://www.westlaw.com/Find/Default.wl?rs=dfa1.0&amp;vr=2.0&amp;FindType=Y&amp;SerialNum=1991202292" TargetMode="External"/><Relationship Id="rId153" Type="http://schemas.openxmlformats.org/officeDocument/2006/relationships/hyperlink" Target="http://www.westlaw.com/Find/Default.wl?rs=dfa1.0&amp;vr=2.0&amp;DB=350&amp;FindType=Y&amp;ReferencePositionType=S&amp;SerialNum=1969120410&amp;ReferencePosition=877" TargetMode="External"/><Relationship Id="rId154" Type="http://schemas.openxmlformats.org/officeDocument/2006/relationships/hyperlink" Target="http://www.westlaw.com/Find/Default.wl?rs=dfa1.0&amp;vr=2.0&amp;DB=350&amp;FindType=Y&amp;ReferencePositionType=S&amp;SerialNum=1969120410&amp;ReferencePosition=877" TargetMode="External"/><Relationship Id="rId155" Type="http://schemas.openxmlformats.org/officeDocument/2006/relationships/hyperlink" Target="http://www.westlaw.com/Find/Default.wl?rs=dfa1.0&amp;vr=2.0&amp;FindType=Y&amp;SerialNum=1991202292" TargetMode="External"/><Relationship Id="rId156" Type="http://schemas.openxmlformats.org/officeDocument/2006/relationships/hyperlink" Target="http://www.westlaw.com/Find/Default.wl?rs=dfa1.0&amp;vr=2.0&amp;FindType=Y&amp;SerialNum=1991202292" TargetMode="External"/><Relationship Id="rId157" Type="http://schemas.openxmlformats.org/officeDocument/2006/relationships/hyperlink" Target="http://www.westlaw.com/Find/Default.wl?rs=dfa1.0&amp;vr=2.0&amp;DB=708&amp;FindType=Y&amp;SerialNum=1975129813" TargetMode="External"/><Relationship Id="rId158" Type="http://schemas.openxmlformats.org/officeDocument/2006/relationships/hyperlink" Target="http://www.westlaw.com/Find/Default.wl?rs=dfa1.0&amp;vr=2.0&amp;DB=708&amp;FindType=Y&amp;SerialNum=1975129813" TargetMode="External"/><Relationship Id="rId159" Type="http://schemas.openxmlformats.org/officeDocument/2006/relationships/hyperlink" Target="http://www.westlaw.com/Find/Default.wl?rs=dfa1.0&amp;vr=2.0&amp;FindType=Y&amp;SerialNum=1991202292" TargetMode="External"/><Relationship Id="rId380" Type="http://schemas.openxmlformats.org/officeDocument/2006/relationships/hyperlink" Target="http://www.westlaw.com/Find/Default.wl?rs=dfa1.0&amp;vr=2.0&amp;DB=708&amp;FindType=Y&amp;SerialNum=2003452259" TargetMode="External"/><Relationship Id="rId381" Type="http://schemas.openxmlformats.org/officeDocument/2006/relationships/hyperlink" Target="http://www.westlaw.com/Find/Default.wl?rs=dfa1.0&amp;vr=2.0&amp;DB=578&amp;FindType=Y&amp;ReferencePositionType=S&amp;SerialNum=2003847757&amp;ReferencePosition=948" TargetMode="External"/><Relationship Id="rId382" Type="http://schemas.openxmlformats.org/officeDocument/2006/relationships/hyperlink" Target="http://www.westlaw.com/Find/Default.wl?rs=dfa1.0&amp;vr=2.0&amp;DB=578&amp;FindType=Y&amp;ReferencePositionType=S&amp;SerialNum=2003847757&amp;ReferencePosition=948" TargetMode="External"/><Relationship Id="rId383" Type="http://schemas.openxmlformats.org/officeDocument/2006/relationships/hyperlink" Target="http://www.westlaw.com/Find/Default.wl?rs=dfa1.0&amp;vr=2.0&amp;DB=661&amp;FindType=Y&amp;ReferencePositionType=S&amp;SerialNum=1993099335&amp;ReferencePosition=68" TargetMode="External"/><Relationship Id="rId384" Type="http://schemas.openxmlformats.org/officeDocument/2006/relationships/hyperlink" Target="http://www.westlaw.com/Find/Default.wl?rs=dfa1.0&amp;vr=2.0&amp;DB=661&amp;FindType=Y&amp;ReferencePositionType=S&amp;SerialNum=1993099335&amp;ReferencePosition=68" TargetMode="External"/><Relationship Id="rId385" Type="http://schemas.openxmlformats.org/officeDocument/2006/relationships/hyperlink" Target="http://www.westlaw.com/Find/Default.wl?rs=dfa1.0&amp;vr=2.0&amp;DB=0000999&amp;FindType=Y&amp;SerialNum=1996268248" TargetMode="External"/><Relationship Id="rId386" Type="http://schemas.openxmlformats.org/officeDocument/2006/relationships/hyperlink" Target="http://www.westlaw.com/Find/Default.wl?rs=dfa1.0&amp;vr=2.0&amp;DB=0000999&amp;FindType=Y&amp;SerialNum=1996268248" TargetMode="External"/><Relationship Id="rId387" Type="http://schemas.openxmlformats.org/officeDocument/2006/relationships/hyperlink" Target="http://www.westlaw.com/Find/Default.wl?rs=dfa1.0&amp;vr=2.0&amp;DB=1077005&amp;DocName=UU%28I0CD889A6A4-2E4C489C61A-90705ECC1E4%29&amp;FindType=l" TargetMode="External"/><Relationship Id="rId388" Type="http://schemas.openxmlformats.org/officeDocument/2006/relationships/hyperlink" Target="http://www.westlaw.com/Find/Default.wl?rs=dfa1.0&amp;vr=2.0&amp;DB=708&amp;FindType=Y&amp;ReferencePositionType=S&amp;SerialNum=2030868161&amp;ReferencePosition=2696" TargetMode="External"/><Relationship Id="rId389" Type="http://schemas.openxmlformats.org/officeDocument/2006/relationships/hyperlink" Target="http://www.westlaw.com/Find/Default.wl?rs=dfa1.0&amp;vr=2.0&amp;DB=708&amp;FindType=Y&amp;ReferencePositionType=S&amp;SerialNum=2030868161&amp;ReferencePosition=2696" TargetMode="External"/><Relationship Id="rId270" Type="http://schemas.openxmlformats.org/officeDocument/2006/relationships/hyperlink" Target="http://www.westlaw.com/Find/Default.wl?rs=dfa1.0&amp;vr=2.0&amp;FindType=Y&amp;SerialNum=2027239106" TargetMode="External"/><Relationship Id="rId271" Type="http://schemas.openxmlformats.org/officeDocument/2006/relationships/hyperlink" Target="http://www.westlaw.com/Find/Default.wl?rs=dfa1.0&amp;vr=2.0&amp;FindType=Y&amp;SerialNum=2003269919" TargetMode="External"/><Relationship Id="rId272" Type="http://schemas.openxmlformats.org/officeDocument/2006/relationships/hyperlink" Target="http://www.westlaw.com/Find/Default.wl?rs=dfa1.0&amp;vr=2.0&amp;FindType=Y&amp;SerialNum=2027239106" TargetMode="External"/><Relationship Id="rId273" Type="http://schemas.openxmlformats.org/officeDocument/2006/relationships/hyperlink" Target="http://www.westlaw.com/Find/Default.wl?rs=dfa1.0&amp;vr=2.0&amp;FindType=Y&amp;SerialNum=2027239106" TargetMode="External"/><Relationship Id="rId274" Type="http://schemas.openxmlformats.org/officeDocument/2006/relationships/hyperlink" Target="http://www.westlaw.com/Find/Default.wl?rs=dfa1.0&amp;vr=2.0&amp;FindType=Y&amp;SerialNum=2027239106" TargetMode="External"/><Relationship Id="rId275" Type="http://schemas.openxmlformats.org/officeDocument/2006/relationships/hyperlink" Target="http://www.westlaw.com/Find/Default.wl?rs=dfa1.0&amp;vr=2.0&amp;FindType=Y&amp;SerialNum=2027239106" TargetMode="External"/><Relationship Id="rId276" Type="http://schemas.openxmlformats.org/officeDocument/2006/relationships/hyperlink" Target="http://www.westlaw.com/Find/Default.wl?rs=dfa1.0&amp;vr=2.0&amp;DB=1000546&amp;DocName=18USCAS875&amp;FindType=L&amp;ReferencePositionType=T&amp;ReferencePosition=SP_4b24000003ba5" TargetMode="External"/><Relationship Id="rId277" Type="http://schemas.openxmlformats.org/officeDocument/2006/relationships/hyperlink" Target="http://www.westlaw.com/Find/Default.wl?rs=dfa1.0&amp;vr=2.0&amp;FindType=Y&amp;SerialNum=2027239106" TargetMode="External"/><Relationship Id="rId278" Type="http://schemas.openxmlformats.org/officeDocument/2006/relationships/hyperlink" Target="http://www.westlaw.com/Find/Default.wl?rs=dfa1.0&amp;vr=2.0&amp;FindType=Y&amp;SerialNum=2027239106" TargetMode="External"/><Relationship Id="rId279" Type="http://schemas.openxmlformats.org/officeDocument/2006/relationships/hyperlink" Target="http://www.westlaw.com/Find/Default.wl?rs=dfa1.0&amp;vr=2.0&amp;FindType=Y&amp;SerialNum=2028479157" TargetMode="External"/><Relationship Id="rId160" Type="http://schemas.openxmlformats.org/officeDocument/2006/relationships/hyperlink" Target="http://www.westlaw.com/Find/Default.wl?rs=dfa1.0&amp;vr=2.0&amp;FindType=Y&amp;SerialNum=1991202292" TargetMode="External"/><Relationship Id="rId161" Type="http://schemas.openxmlformats.org/officeDocument/2006/relationships/hyperlink" Target="http://www.westlaw.com/Find/Default.wl?rs=dfa1.0&amp;vr=2.0&amp;DB=1000546&amp;DocName=18USCAS871&amp;FindType=L" TargetMode="External"/><Relationship Id="rId162" Type="http://schemas.openxmlformats.org/officeDocument/2006/relationships/hyperlink" Target="http://www.westlaw.com/Find/Default.wl?rs=dfa1.0&amp;vr=2.0&amp;DB=1000546&amp;DocName=18USCAS875&amp;FindType=L&amp;ReferencePositionType=T&amp;ReferencePosition=SP_4b24000003ba5" TargetMode="External"/><Relationship Id="rId163" Type="http://schemas.openxmlformats.org/officeDocument/2006/relationships/hyperlink" Target="http://www.westlaw.com/Find/Default.wl?rs=dfa1.0&amp;vr=2.0&amp;DB=506&amp;FindType=Y&amp;ReferencePositionType=S&amp;SerialNum=1994234391&amp;ReferencePosition=782" TargetMode="External"/><Relationship Id="rId164" Type="http://schemas.openxmlformats.org/officeDocument/2006/relationships/hyperlink" Target="http://www.westlaw.com/Find/Default.wl?rs=dfa1.0&amp;vr=2.0&amp;DB=506&amp;FindType=Y&amp;ReferencePositionType=S&amp;SerialNum=1994234391&amp;ReferencePosition=782" TargetMode="External"/><Relationship Id="rId165" Type="http://schemas.openxmlformats.org/officeDocument/2006/relationships/hyperlink" Target="http://www.westlaw.com/Find/Default.wl?rs=dfa1.0&amp;vr=2.0&amp;FindType=Y&amp;SerialNum=2003269919" TargetMode="External"/><Relationship Id="rId166" Type="http://schemas.openxmlformats.org/officeDocument/2006/relationships/hyperlink" Target="http://www.westlaw.com/Find/Default.wl?rs=dfa1.0&amp;vr=2.0&amp;DB=708&amp;FindType=Y&amp;SerialNum=1969141744" TargetMode="External"/><Relationship Id="rId167" Type="http://schemas.openxmlformats.org/officeDocument/2006/relationships/hyperlink" Target="http://www.westlaw.com/Find/Default.wl?rs=dfa1.0&amp;vr=2.0&amp;DB=708&amp;FindType=Y&amp;SerialNum=1969141744" TargetMode="External"/><Relationship Id="rId168" Type="http://schemas.openxmlformats.org/officeDocument/2006/relationships/hyperlink" Target="http://www.westlaw.com/Find/Default.wl?rs=dfa1.0&amp;vr=2.0&amp;DB=708&amp;FindType=Y&amp;SerialNum=1969141744" TargetMode="External"/><Relationship Id="rId169" Type="http://schemas.openxmlformats.org/officeDocument/2006/relationships/hyperlink" Target="http://www.westlaw.com/Find/Default.wl?rs=dfa1.0&amp;vr=2.0&amp;DB=708&amp;FindType=Y&amp;SerialNum=1969141744" TargetMode="External"/><Relationship Id="rId390" Type="http://schemas.openxmlformats.org/officeDocument/2006/relationships/hyperlink" Target="http://www.westlaw.com/Find/Default.wl?rs=dfa1.0&amp;vr=2.0&amp;DB=1000546&amp;DocName=28USCAS1738C&amp;FindType=L" TargetMode="External"/><Relationship Id="rId391" Type="http://schemas.openxmlformats.org/officeDocument/2006/relationships/hyperlink" Target="http://www.westlaw.com/Find/Default.wl?rs=dfa1.0&amp;vr=2.0&amp;DB=4645&amp;FindType=Y&amp;ReferencePositionType=S&amp;SerialNum=2016098841&amp;ReferencePosition=453" TargetMode="External"/><Relationship Id="rId392" Type="http://schemas.openxmlformats.org/officeDocument/2006/relationships/hyperlink" Target="http://www.westlaw.com/Find/Default.wl?rs=dfa1.0&amp;vr=2.0&amp;DB=4645&amp;FindType=Y&amp;ReferencePositionType=S&amp;SerialNum=2016098841&amp;ReferencePosition=453" TargetMode="External"/><Relationship Id="rId393" Type="http://schemas.openxmlformats.org/officeDocument/2006/relationships/hyperlink" Target="http://www.westlaw.com/Find/Default.wl?rs=dfa1.0&amp;vr=2.0&amp;DB=4637&amp;FindType=Y&amp;ReferencePositionType=S&amp;SerialNum=2022683934&amp;ReferencePosition=1003" TargetMode="External"/><Relationship Id="rId394" Type="http://schemas.openxmlformats.org/officeDocument/2006/relationships/hyperlink" Target="http://www.westlaw.com/Find/Default.wl?rs=dfa1.0&amp;vr=2.0&amp;DB=4637&amp;FindType=Y&amp;ReferencePositionType=S&amp;SerialNum=2022683934&amp;ReferencePosition=1003" TargetMode="External"/><Relationship Id="rId395" Type="http://schemas.openxmlformats.org/officeDocument/2006/relationships/hyperlink" Target="http://www.westlaw.com/Find/Default.wl?rs=dfa1.0&amp;vr=2.0&amp;DB=506&amp;FindType=Y&amp;ReferencePositionType=S&amp;SerialNum=2026997985&amp;ReferencePosition=1095" TargetMode="External"/><Relationship Id="rId396" Type="http://schemas.openxmlformats.org/officeDocument/2006/relationships/hyperlink" Target="http://www.westlaw.com/Find/Default.wl?rs=dfa1.0&amp;vr=2.0&amp;DB=506&amp;FindType=Y&amp;ReferencePositionType=S&amp;SerialNum=2026997985&amp;ReferencePosition=1095" TargetMode="External"/><Relationship Id="rId397" Type="http://schemas.openxmlformats.org/officeDocument/2006/relationships/hyperlink" Target="http://www.westlaw.com/Find/Default.wl?rs=dfa1.0&amp;vr=2.0&amp;DB=708&amp;FindType=Y&amp;ReferencePositionType=S&amp;SerialNum=2030868160&amp;ReferencePosition=2668" TargetMode="External"/><Relationship Id="rId398" Type="http://schemas.openxmlformats.org/officeDocument/2006/relationships/hyperlink" Target="http://www.westlaw.com/Find/Default.wl?rs=dfa1.0&amp;vr=2.0&amp;DB=708&amp;FindType=Y&amp;ReferencePositionType=S&amp;SerialNum=2030868160&amp;ReferencePosition=2668" TargetMode="External"/><Relationship Id="rId399" Type="http://schemas.openxmlformats.org/officeDocument/2006/relationships/hyperlink" Target="http://www.westlaw.com/Find/Default.wl?rs=dfa1.0&amp;vr=2.0&amp;FindType=Y&amp;SerialNum=2030868160" TargetMode="External"/><Relationship Id="rId280" Type="http://schemas.openxmlformats.org/officeDocument/2006/relationships/hyperlink" Target="http://www.westlaw.com/Find/Default.wl?rs=dfa1.0&amp;vr=2.0&amp;FindType=Y&amp;SerialNum=2003269919" TargetMode="External"/><Relationship Id="rId281" Type="http://schemas.openxmlformats.org/officeDocument/2006/relationships/hyperlink" Target="http://www.westlaw.com/Find/Default.wl?rs=dfa1.0&amp;vr=2.0&amp;DB=1000546&amp;DocName=18USCAS875&amp;FindType=L&amp;ReferencePositionType=T&amp;ReferencePosition=SP_4b24000003ba5" TargetMode="External"/><Relationship Id="rId282" Type="http://schemas.openxmlformats.org/officeDocument/2006/relationships/hyperlink" Target="http://www.westlaw.com/Find/Default.wl?rs=dfa1.0&amp;vr=2.0&amp;DB=506&amp;FindType=Y&amp;ReferencePositionType=S&amp;SerialNum=2028479157&amp;ReferencePosition=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59</Pages>
  <Words>59142</Words>
  <Characters>337116</Characters>
  <Application>Microsoft Macintosh Word</Application>
  <DocSecurity>0</DocSecurity>
  <Lines>2809</Lines>
  <Paragraphs>790</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395468</CharactersWithSpaces>
  <SharedDoc>false</SharedDoc>
  <HLinks>
    <vt:vector size="3756" baseType="variant">
      <vt:variant>
        <vt:i4>2752576</vt:i4>
      </vt:variant>
      <vt:variant>
        <vt:i4>1875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1872</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1869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327778</vt:i4>
      </vt:variant>
      <vt:variant>
        <vt:i4>1866</vt:i4>
      </vt:variant>
      <vt:variant>
        <vt:i4>0</vt:i4>
      </vt:variant>
      <vt:variant>
        <vt:i4>5</vt:i4>
      </vt:variant>
      <vt:variant>
        <vt:lpwstr>http://www.westlaw.com/Find/Default.wl?rs=dfa1.0&amp;vr=2.0&amp;FindType=Y&amp;SerialNum=1966112614</vt:lpwstr>
      </vt:variant>
      <vt:variant>
        <vt:lpwstr/>
      </vt:variant>
      <vt:variant>
        <vt:i4>327778</vt:i4>
      </vt:variant>
      <vt:variant>
        <vt:i4>1863</vt:i4>
      </vt:variant>
      <vt:variant>
        <vt:i4>0</vt:i4>
      </vt:variant>
      <vt:variant>
        <vt:i4>5</vt:i4>
      </vt:variant>
      <vt:variant>
        <vt:lpwstr>http://www.westlaw.com/Find/Default.wl?rs=dfa1.0&amp;vr=2.0&amp;FindType=Y&amp;SerialNum=1966112614</vt:lpwstr>
      </vt:variant>
      <vt:variant>
        <vt:lpwstr/>
      </vt:variant>
      <vt:variant>
        <vt:i4>2752576</vt:i4>
      </vt:variant>
      <vt:variant>
        <vt:i4>1860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7798834</vt:i4>
      </vt:variant>
      <vt:variant>
        <vt:i4>1857</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1854</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1851</vt:i4>
      </vt:variant>
      <vt:variant>
        <vt:i4>0</vt:i4>
      </vt:variant>
      <vt:variant>
        <vt:i4>5</vt:i4>
      </vt:variant>
      <vt:variant>
        <vt:lpwstr>http://www.westlaw.com/Find/Default.wl?rs=dfa1.0&amp;vr=2.0&amp;DB=708&amp;FindType=Y&amp;SerialNum=1966112614</vt:lpwstr>
      </vt:variant>
      <vt:variant>
        <vt:lpwstr/>
      </vt:variant>
      <vt:variant>
        <vt:i4>7798834</vt:i4>
      </vt:variant>
      <vt:variant>
        <vt:i4>1848</vt:i4>
      </vt:variant>
      <vt:variant>
        <vt:i4>0</vt:i4>
      </vt:variant>
      <vt:variant>
        <vt:i4>5</vt:i4>
      </vt:variant>
      <vt:variant>
        <vt:lpwstr>http://www.westlaw.com/Find/Default.wl?rs=dfa1.0&amp;vr=2.0&amp;DB=708&amp;FindType=Y&amp;SerialNum=1966112614</vt:lpwstr>
      </vt:variant>
      <vt:variant>
        <vt:lpwstr/>
      </vt:variant>
      <vt:variant>
        <vt:i4>2752576</vt:i4>
      </vt:variant>
      <vt:variant>
        <vt:i4>1845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4653072</vt:i4>
      </vt:variant>
      <vt:variant>
        <vt:i4>1842</vt:i4>
      </vt:variant>
      <vt:variant>
        <vt:i4>0</vt:i4>
      </vt:variant>
      <vt:variant>
        <vt:i4>5</vt:i4>
      </vt:variant>
      <vt:variant>
        <vt:lpwstr/>
      </vt:variant>
      <vt:variant>
        <vt:lpwstr>Document1zzF302002243889</vt:lpwstr>
      </vt:variant>
      <vt:variant>
        <vt:i4>4587545</vt:i4>
      </vt:variant>
      <vt:variant>
        <vt:i4>1839</vt:i4>
      </vt:variant>
      <vt:variant>
        <vt:i4>0</vt:i4>
      </vt:variant>
      <vt:variant>
        <vt:i4>5</vt:i4>
      </vt:variant>
      <vt:variant>
        <vt:lpwstr/>
      </vt:variant>
      <vt:variant>
        <vt:lpwstr>Document1zzF292002243889</vt:lpwstr>
      </vt:variant>
      <vt:variant>
        <vt:i4>2752576</vt:i4>
      </vt:variant>
      <vt:variant>
        <vt:i4>1836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1833</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1830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4587544</vt:i4>
      </vt:variant>
      <vt:variant>
        <vt:i4>1827</vt:i4>
      </vt:variant>
      <vt:variant>
        <vt:i4>0</vt:i4>
      </vt:variant>
      <vt:variant>
        <vt:i4>5</vt:i4>
      </vt:variant>
      <vt:variant>
        <vt:lpwstr/>
      </vt:variant>
      <vt:variant>
        <vt:lpwstr>Document1zzF282002243889</vt:lpwstr>
      </vt:variant>
      <vt:variant>
        <vt:i4>786533</vt:i4>
      </vt:variant>
      <vt:variant>
        <vt:i4>1824</vt:i4>
      </vt:variant>
      <vt:variant>
        <vt:i4>0</vt:i4>
      </vt:variant>
      <vt:variant>
        <vt:i4>5</vt:i4>
      </vt:variant>
      <vt:variant>
        <vt:lpwstr>http://www.westlaw.com/Find/Default.wl?rs=dfa1.0&amp;vr=2.0&amp;FindType=Y&amp;SerialNum=1973126439</vt:lpwstr>
      </vt:variant>
      <vt:variant>
        <vt:lpwstr/>
      </vt:variant>
      <vt:variant>
        <vt:i4>393326</vt:i4>
      </vt:variant>
      <vt:variant>
        <vt:i4>1821</vt:i4>
      </vt:variant>
      <vt:variant>
        <vt:i4>0</vt:i4>
      </vt:variant>
      <vt:variant>
        <vt:i4>5</vt:i4>
      </vt:variant>
      <vt:variant>
        <vt:lpwstr>http://www.westlaw.com/Find/Default.wl?rs=dfa1.0&amp;vr=2.0&amp;FindType=Y&amp;SerialNum=1982130116</vt:lpwstr>
      </vt:variant>
      <vt:variant>
        <vt:lpwstr/>
      </vt:variant>
      <vt:variant>
        <vt:i4>7995459</vt:i4>
      </vt:variant>
      <vt:variant>
        <vt:i4>1818</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4587543</vt:i4>
      </vt:variant>
      <vt:variant>
        <vt:i4>1815</vt:i4>
      </vt:variant>
      <vt:variant>
        <vt:i4>0</vt:i4>
      </vt:variant>
      <vt:variant>
        <vt:i4>5</vt:i4>
      </vt:variant>
      <vt:variant>
        <vt:lpwstr/>
      </vt:variant>
      <vt:variant>
        <vt:lpwstr>Document1zzF272002243889</vt:lpwstr>
      </vt:variant>
      <vt:variant>
        <vt:i4>7602288</vt:i4>
      </vt:variant>
      <vt:variant>
        <vt:i4>1812</vt:i4>
      </vt:variant>
      <vt:variant>
        <vt:i4>0</vt:i4>
      </vt:variant>
      <vt:variant>
        <vt:i4>5</vt:i4>
      </vt:variant>
      <vt:variant>
        <vt:lpwstr>http://www.westlaw.com/Find/Default.wl?rs=dfa1.0&amp;vr=2.0&amp;DB=1000546&amp;DocName=18USCAS2252A&amp;FindType=L&amp;ReferencePositionType=T&amp;ReferencePosition=SP_4b24000003ba5</vt:lpwstr>
      </vt:variant>
      <vt:variant>
        <vt:lpwstr/>
      </vt:variant>
      <vt:variant>
        <vt:i4>4587542</vt:i4>
      </vt:variant>
      <vt:variant>
        <vt:i4>1809</vt:i4>
      </vt:variant>
      <vt:variant>
        <vt:i4>0</vt:i4>
      </vt:variant>
      <vt:variant>
        <vt:i4>5</vt:i4>
      </vt:variant>
      <vt:variant>
        <vt:lpwstr/>
      </vt:variant>
      <vt:variant>
        <vt:lpwstr>Document1zzF262002243889</vt:lpwstr>
      </vt:variant>
      <vt:variant>
        <vt:i4>7733301</vt:i4>
      </vt:variant>
      <vt:variant>
        <vt:i4>1806</vt:i4>
      </vt:variant>
      <vt:variant>
        <vt:i4>0</vt:i4>
      </vt:variant>
      <vt:variant>
        <vt:i4>5</vt:i4>
      </vt:variant>
      <vt:variant>
        <vt:lpwstr>http://www.westlaw.com/Find/Default.wl?rs=dfa1.0&amp;vr=2.0&amp;DB=708&amp;FindType=Y&amp;SerialNum=1973126457</vt:lpwstr>
      </vt:variant>
      <vt:variant>
        <vt:lpwstr/>
      </vt:variant>
      <vt:variant>
        <vt:i4>7733301</vt:i4>
      </vt:variant>
      <vt:variant>
        <vt:i4>1803</vt:i4>
      </vt:variant>
      <vt:variant>
        <vt:i4>0</vt:i4>
      </vt:variant>
      <vt:variant>
        <vt:i4>5</vt:i4>
      </vt:variant>
      <vt:variant>
        <vt:lpwstr>http://www.westlaw.com/Find/Default.wl?rs=dfa1.0&amp;vr=2.0&amp;DB=708&amp;FindType=Y&amp;SerialNum=1973126457</vt:lpwstr>
      </vt:variant>
      <vt:variant>
        <vt:lpwstr/>
      </vt:variant>
      <vt:variant>
        <vt:i4>4587541</vt:i4>
      </vt:variant>
      <vt:variant>
        <vt:i4>1800</vt:i4>
      </vt:variant>
      <vt:variant>
        <vt:i4>0</vt:i4>
      </vt:variant>
      <vt:variant>
        <vt:i4>5</vt:i4>
      </vt:variant>
      <vt:variant>
        <vt:lpwstr/>
      </vt:variant>
      <vt:variant>
        <vt:lpwstr>Document1zzF252002243889</vt:lpwstr>
      </vt:variant>
      <vt:variant>
        <vt:i4>4587540</vt:i4>
      </vt:variant>
      <vt:variant>
        <vt:i4>1797</vt:i4>
      </vt:variant>
      <vt:variant>
        <vt:i4>0</vt:i4>
      </vt:variant>
      <vt:variant>
        <vt:i4>5</vt:i4>
      </vt:variant>
      <vt:variant>
        <vt:lpwstr/>
      </vt:variant>
      <vt:variant>
        <vt:lpwstr>Document1zzF242002243889</vt:lpwstr>
      </vt:variant>
      <vt:variant>
        <vt:i4>4587539</vt:i4>
      </vt:variant>
      <vt:variant>
        <vt:i4>1794</vt:i4>
      </vt:variant>
      <vt:variant>
        <vt:i4>0</vt:i4>
      </vt:variant>
      <vt:variant>
        <vt:i4>5</vt:i4>
      </vt:variant>
      <vt:variant>
        <vt:lpwstr/>
      </vt:variant>
      <vt:variant>
        <vt:lpwstr>Document1zzF232002243889</vt:lpwstr>
      </vt:variant>
      <vt:variant>
        <vt:i4>7340092</vt:i4>
      </vt:variant>
      <vt:variant>
        <vt:i4>1791</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1785</vt:i4>
      </vt:variant>
      <vt:variant>
        <vt:i4>0</vt:i4>
      </vt:variant>
      <vt:variant>
        <vt:i4>5</vt:i4>
      </vt:variant>
      <vt:variant>
        <vt:lpwstr>http://www.westlaw.com/Find/Default.wl?rs=dfa1.0&amp;vr=2.0&amp;DB=708&amp;FindType=Y&amp;SerialNum=2001423776</vt:lpwstr>
      </vt:variant>
      <vt:variant>
        <vt:lpwstr/>
      </vt:variant>
      <vt:variant>
        <vt:i4>7995449</vt:i4>
      </vt:variant>
      <vt:variant>
        <vt:i4>1782</vt:i4>
      </vt:variant>
      <vt:variant>
        <vt:i4>0</vt:i4>
      </vt:variant>
      <vt:variant>
        <vt:i4>5</vt:i4>
      </vt:variant>
      <vt:variant>
        <vt:lpwstr>http://www.westlaw.com/Find/Default.wl?rs=dfa1.0&amp;vr=2.0&amp;DB=708&amp;FindType=Y&amp;SerialNum=1990064840</vt:lpwstr>
      </vt:variant>
      <vt:variant>
        <vt:lpwstr/>
      </vt:variant>
      <vt:variant>
        <vt:i4>7995449</vt:i4>
      </vt:variant>
      <vt:variant>
        <vt:i4>1779</vt:i4>
      </vt:variant>
      <vt:variant>
        <vt:i4>0</vt:i4>
      </vt:variant>
      <vt:variant>
        <vt:i4>5</vt:i4>
      </vt:variant>
      <vt:variant>
        <vt:lpwstr>http://www.westlaw.com/Find/Default.wl?rs=dfa1.0&amp;vr=2.0&amp;DB=708&amp;FindType=Y&amp;SerialNum=1990064840</vt:lpwstr>
      </vt:variant>
      <vt:variant>
        <vt:lpwstr/>
      </vt:variant>
      <vt:variant>
        <vt:i4>393326</vt:i4>
      </vt:variant>
      <vt:variant>
        <vt:i4>1776</vt:i4>
      </vt:variant>
      <vt:variant>
        <vt:i4>0</vt:i4>
      </vt:variant>
      <vt:variant>
        <vt:i4>5</vt:i4>
      </vt:variant>
      <vt:variant>
        <vt:lpwstr>http://www.westlaw.com/Find/Default.wl?rs=dfa1.0&amp;vr=2.0&amp;FindType=Y&amp;SerialNum=1982130116</vt:lpwstr>
      </vt:variant>
      <vt:variant>
        <vt:lpwstr/>
      </vt:variant>
      <vt:variant>
        <vt:i4>4587538</vt:i4>
      </vt:variant>
      <vt:variant>
        <vt:i4>1773</vt:i4>
      </vt:variant>
      <vt:variant>
        <vt:i4>0</vt:i4>
      </vt:variant>
      <vt:variant>
        <vt:i4>5</vt:i4>
      </vt:variant>
      <vt:variant>
        <vt:lpwstr/>
      </vt:variant>
      <vt:variant>
        <vt:lpwstr>Document1zzF222002243889</vt:lpwstr>
      </vt:variant>
      <vt:variant>
        <vt:i4>7798842</vt:i4>
      </vt:variant>
      <vt:variant>
        <vt:i4>1770</vt:i4>
      </vt:variant>
      <vt:variant>
        <vt:i4>0</vt:i4>
      </vt:variant>
      <vt:variant>
        <vt:i4>5</vt:i4>
      </vt:variant>
      <vt:variant>
        <vt:lpwstr>http://www.westlaw.com/Find/Default.wl?rs=dfa1.0&amp;vr=2.0&amp;DB=708&amp;FindType=Y&amp;SerialNum=1969133007</vt:lpwstr>
      </vt:variant>
      <vt:variant>
        <vt:lpwstr/>
      </vt:variant>
      <vt:variant>
        <vt:i4>7798842</vt:i4>
      </vt:variant>
      <vt:variant>
        <vt:i4>1767</vt:i4>
      </vt:variant>
      <vt:variant>
        <vt:i4>0</vt:i4>
      </vt:variant>
      <vt:variant>
        <vt:i4>5</vt:i4>
      </vt:variant>
      <vt:variant>
        <vt:lpwstr>http://www.westlaw.com/Find/Default.wl?rs=dfa1.0&amp;vr=2.0&amp;DB=708&amp;FindType=Y&amp;SerialNum=1969133007</vt:lpwstr>
      </vt:variant>
      <vt:variant>
        <vt:lpwstr/>
      </vt:variant>
      <vt:variant>
        <vt:i4>7471152</vt:i4>
      </vt:variant>
      <vt:variant>
        <vt:i4>1764</vt:i4>
      </vt:variant>
      <vt:variant>
        <vt:i4>0</vt:i4>
      </vt:variant>
      <vt:variant>
        <vt:i4>5</vt:i4>
      </vt:variant>
      <vt:variant>
        <vt:lpwstr>http://www.westlaw.com/Find/Default.wl?rs=dfa1.0&amp;vr=2.0&amp;DB=708&amp;FindType=Y&amp;SerialNum=1973137106</vt:lpwstr>
      </vt:variant>
      <vt:variant>
        <vt:lpwstr/>
      </vt:variant>
      <vt:variant>
        <vt:i4>7471152</vt:i4>
      </vt:variant>
      <vt:variant>
        <vt:i4>1761</vt:i4>
      </vt:variant>
      <vt:variant>
        <vt:i4>0</vt:i4>
      </vt:variant>
      <vt:variant>
        <vt:i4>5</vt:i4>
      </vt:variant>
      <vt:variant>
        <vt:lpwstr>http://www.westlaw.com/Find/Default.wl?rs=dfa1.0&amp;vr=2.0&amp;DB=708&amp;FindType=Y&amp;SerialNum=1973137106</vt:lpwstr>
      </vt:variant>
      <vt:variant>
        <vt:lpwstr/>
      </vt:variant>
      <vt:variant>
        <vt:i4>7340092</vt:i4>
      </vt:variant>
      <vt:variant>
        <vt:i4>1758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1755</vt:i4>
      </vt:variant>
      <vt:variant>
        <vt:i4>0</vt:i4>
      </vt:variant>
      <vt:variant>
        <vt:i4>5</vt:i4>
      </vt:variant>
      <vt:variant>
        <vt:lpwstr>http://www.westlaw.com/Find/Default.wl?rs=dfa1.0&amp;vr=2.0&amp;DB=708&amp;FindType=Y&amp;SerialNum=2001423776</vt:lpwstr>
      </vt:variant>
      <vt:variant>
        <vt:lpwstr/>
      </vt:variant>
      <vt:variant>
        <vt:i4>7340082</vt:i4>
      </vt:variant>
      <vt:variant>
        <vt:i4>1752</vt:i4>
      </vt:variant>
      <vt:variant>
        <vt:i4>0</vt:i4>
      </vt:variant>
      <vt:variant>
        <vt:i4>5</vt:i4>
      </vt:variant>
      <vt:variant>
        <vt:lpwstr>http://www.westlaw.com/Find/Default.wl?rs=dfa1.0&amp;vr=2.0&amp;DB=708&amp;FindType=Y&amp;SerialNum=1959102458</vt:lpwstr>
      </vt:variant>
      <vt:variant>
        <vt:lpwstr/>
      </vt:variant>
      <vt:variant>
        <vt:i4>7340082</vt:i4>
      </vt:variant>
      <vt:variant>
        <vt:i4>1749</vt:i4>
      </vt:variant>
      <vt:variant>
        <vt:i4>0</vt:i4>
      </vt:variant>
      <vt:variant>
        <vt:i4>5</vt:i4>
      </vt:variant>
      <vt:variant>
        <vt:lpwstr>http://www.westlaw.com/Find/Default.wl?rs=dfa1.0&amp;vr=2.0&amp;DB=708&amp;FindType=Y&amp;SerialNum=1959102458</vt:lpwstr>
      </vt:variant>
      <vt:variant>
        <vt:lpwstr/>
      </vt:variant>
      <vt:variant>
        <vt:i4>4587537</vt:i4>
      </vt:variant>
      <vt:variant>
        <vt:i4>1746</vt:i4>
      </vt:variant>
      <vt:variant>
        <vt:i4>0</vt:i4>
      </vt:variant>
      <vt:variant>
        <vt:i4>5</vt:i4>
      </vt:variant>
      <vt:variant>
        <vt:lpwstr/>
      </vt:variant>
      <vt:variant>
        <vt:lpwstr>Document1zzF212002243889</vt:lpwstr>
      </vt:variant>
      <vt:variant>
        <vt:i4>4587536</vt:i4>
      </vt:variant>
      <vt:variant>
        <vt:i4>1743</vt:i4>
      </vt:variant>
      <vt:variant>
        <vt:i4>0</vt:i4>
      </vt:variant>
      <vt:variant>
        <vt:i4>5</vt:i4>
      </vt:variant>
      <vt:variant>
        <vt:lpwstr/>
      </vt:variant>
      <vt:variant>
        <vt:lpwstr>Document1zzF202002243889</vt:lpwstr>
      </vt:variant>
      <vt:variant>
        <vt:i4>7340081</vt:i4>
      </vt:variant>
      <vt:variant>
        <vt:i4>1740</vt:i4>
      </vt:variant>
      <vt:variant>
        <vt:i4>0</vt:i4>
      </vt:variant>
      <vt:variant>
        <vt:i4>5</vt:i4>
      </vt:variant>
      <vt:variant>
        <vt:lpwstr>http://www.westlaw.com/Find/Default.wl?rs=dfa1.0&amp;vr=2.0&amp;DB=708&amp;FindType=Y&amp;SerialNum=1969132965</vt:lpwstr>
      </vt:variant>
      <vt:variant>
        <vt:lpwstr/>
      </vt:variant>
      <vt:variant>
        <vt:i4>7340081</vt:i4>
      </vt:variant>
      <vt:variant>
        <vt:i4>1737</vt:i4>
      </vt:variant>
      <vt:variant>
        <vt:i4>0</vt:i4>
      </vt:variant>
      <vt:variant>
        <vt:i4>5</vt:i4>
      </vt:variant>
      <vt:variant>
        <vt:lpwstr>http://www.westlaw.com/Find/Default.wl?rs=dfa1.0&amp;vr=2.0&amp;DB=708&amp;FindType=Y&amp;SerialNum=1969132965</vt:lpwstr>
      </vt:variant>
      <vt:variant>
        <vt:lpwstr/>
      </vt:variant>
      <vt:variant>
        <vt:i4>4522009</vt:i4>
      </vt:variant>
      <vt:variant>
        <vt:i4>1734</vt:i4>
      </vt:variant>
      <vt:variant>
        <vt:i4>0</vt:i4>
      </vt:variant>
      <vt:variant>
        <vt:i4>5</vt:i4>
      </vt:variant>
      <vt:variant>
        <vt:lpwstr/>
      </vt:variant>
      <vt:variant>
        <vt:lpwstr>Document1zzF192002243889</vt:lpwstr>
      </vt:variant>
      <vt:variant>
        <vt:i4>4522008</vt:i4>
      </vt:variant>
      <vt:variant>
        <vt:i4>1731</vt:i4>
      </vt:variant>
      <vt:variant>
        <vt:i4>0</vt:i4>
      </vt:variant>
      <vt:variant>
        <vt:i4>5</vt:i4>
      </vt:variant>
      <vt:variant>
        <vt:lpwstr/>
      </vt:variant>
      <vt:variant>
        <vt:lpwstr>Document1zzF182002243889</vt:lpwstr>
      </vt:variant>
      <vt:variant>
        <vt:i4>8257599</vt:i4>
      </vt:variant>
      <vt:variant>
        <vt:i4>1728</vt:i4>
      </vt:variant>
      <vt:variant>
        <vt:i4>0</vt:i4>
      </vt:variant>
      <vt:variant>
        <vt:i4>5</vt:i4>
      </vt:variant>
      <vt:variant>
        <vt:lpwstr>http://www.westlaw.com/Find/Default.wl?rs=dfa1.0&amp;vr=2.0&amp;DB=708&amp;FindType=Y&amp;SerialNum=1989094018</vt:lpwstr>
      </vt:variant>
      <vt:variant>
        <vt:lpwstr/>
      </vt:variant>
      <vt:variant>
        <vt:i4>8257599</vt:i4>
      </vt:variant>
      <vt:variant>
        <vt:i4>1725</vt:i4>
      </vt:variant>
      <vt:variant>
        <vt:i4>0</vt:i4>
      </vt:variant>
      <vt:variant>
        <vt:i4>5</vt:i4>
      </vt:variant>
      <vt:variant>
        <vt:lpwstr>http://www.westlaw.com/Find/Default.wl?rs=dfa1.0&amp;vr=2.0&amp;DB=708&amp;FindType=Y&amp;SerialNum=1989094018</vt:lpwstr>
      </vt:variant>
      <vt:variant>
        <vt:lpwstr/>
      </vt:variant>
      <vt:variant>
        <vt:i4>8257586</vt:i4>
      </vt:variant>
      <vt:variant>
        <vt:i4>1722</vt:i4>
      </vt:variant>
      <vt:variant>
        <vt:i4>0</vt:i4>
      </vt:variant>
      <vt:variant>
        <vt:i4>5</vt:i4>
      </vt:variant>
      <vt:variant>
        <vt:lpwstr>http://www.westlaw.com/Find/Default.wl?rs=dfa1.0&amp;vr=2.0&amp;DB=708&amp;FindType=Y&amp;SerialNum=1997135001</vt:lpwstr>
      </vt:variant>
      <vt:variant>
        <vt:lpwstr/>
      </vt:variant>
      <vt:variant>
        <vt:i4>8257586</vt:i4>
      </vt:variant>
      <vt:variant>
        <vt:i4>1719</vt:i4>
      </vt:variant>
      <vt:variant>
        <vt:i4>0</vt:i4>
      </vt:variant>
      <vt:variant>
        <vt:i4>5</vt:i4>
      </vt:variant>
      <vt:variant>
        <vt:lpwstr>http://www.westlaw.com/Find/Default.wl?rs=dfa1.0&amp;vr=2.0&amp;DB=708&amp;FindType=Y&amp;SerialNum=1997135001</vt:lpwstr>
      </vt:variant>
      <vt:variant>
        <vt:lpwstr/>
      </vt:variant>
      <vt:variant>
        <vt:i4>8126512</vt:i4>
      </vt:variant>
      <vt:variant>
        <vt:i4>1716</vt:i4>
      </vt:variant>
      <vt:variant>
        <vt:i4>0</vt:i4>
      </vt:variant>
      <vt:variant>
        <vt:i4>5</vt:i4>
      </vt:variant>
      <vt:variant>
        <vt:lpwstr>http://www.westlaw.com/Find/Default.wl?rs=dfa1.0&amp;vr=2.0&amp;DB=708&amp;FindType=Y&amp;SerialNum=2000358279</vt:lpwstr>
      </vt:variant>
      <vt:variant>
        <vt:lpwstr/>
      </vt:variant>
      <vt:variant>
        <vt:i4>8126512</vt:i4>
      </vt:variant>
      <vt:variant>
        <vt:i4>1713</vt:i4>
      </vt:variant>
      <vt:variant>
        <vt:i4>0</vt:i4>
      </vt:variant>
      <vt:variant>
        <vt:i4>5</vt:i4>
      </vt:variant>
      <vt:variant>
        <vt:lpwstr>http://www.westlaw.com/Find/Default.wl?rs=dfa1.0&amp;vr=2.0&amp;DB=708&amp;FindType=Y&amp;SerialNum=2000358279</vt:lpwstr>
      </vt:variant>
      <vt:variant>
        <vt:lpwstr/>
      </vt:variant>
      <vt:variant>
        <vt:i4>7602224</vt:i4>
      </vt:variant>
      <vt:variant>
        <vt:i4>1710</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1707</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1704</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1701</vt:i4>
      </vt:variant>
      <vt:variant>
        <vt:i4>0</vt:i4>
      </vt:variant>
      <vt:variant>
        <vt:i4>5</vt:i4>
      </vt:variant>
      <vt:variant>
        <vt:lpwstr>http://www.westlaw.com/Find/Default.wl?rs=dfa1.0&amp;vr=2.0&amp;DB=708&amp;FindType=Y&amp;SerialNum=1957120331</vt:lpwstr>
      </vt:variant>
      <vt:variant>
        <vt:lpwstr/>
      </vt:variant>
      <vt:variant>
        <vt:i4>8257599</vt:i4>
      </vt:variant>
      <vt:variant>
        <vt:i4>1698</vt:i4>
      </vt:variant>
      <vt:variant>
        <vt:i4>0</vt:i4>
      </vt:variant>
      <vt:variant>
        <vt:i4>5</vt:i4>
      </vt:variant>
      <vt:variant>
        <vt:lpwstr>http://www.westlaw.com/Find/Default.wl?rs=dfa1.0&amp;vr=2.0&amp;DB=708&amp;FindType=Y&amp;SerialNum=1989094018</vt:lpwstr>
      </vt:variant>
      <vt:variant>
        <vt:lpwstr/>
      </vt:variant>
      <vt:variant>
        <vt:i4>8257599</vt:i4>
      </vt:variant>
      <vt:variant>
        <vt:i4>1695</vt:i4>
      </vt:variant>
      <vt:variant>
        <vt:i4>0</vt:i4>
      </vt:variant>
      <vt:variant>
        <vt:i4>5</vt:i4>
      </vt:variant>
      <vt:variant>
        <vt:lpwstr>http://www.westlaw.com/Find/Default.wl?rs=dfa1.0&amp;vr=2.0&amp;DB=708&amp;FindType=Y&amp;SerialNum=1989094018</vt:lpwstr>
      </vt:variant>
      <vt:variant>
        <vt:lpwstr/>
      </vt:variant>
      <vt:variant>
        <vt:i4>7536698</vt:i4>
      </vt:variant>
      <vt:variant>
        <vt:i4>1692</vt:i4>
      </vt:variant>
      <vt:variant>
        <vt:i4>0</vt:i4>
      </vt:variant>
      <vt:variant>
        <vt:i4>5</vt:i4>
      </vt:variant>
      <vt:variant>
        <vt:lpwstr>http://www.westlaw.com/Find/Default.wl?rs=dfa1.0&amp;vr=2.0&amp;DB=708&amp;FindType=Y&amp;SerialNum=1968131167</vt:lpwstr>
      </vt:variant>
      <vt:variant>
        <vt:lpwstr/>
      </vt:variant>
      <vt:variant>
        <vt:i4>7536698</vt:i4>
      </vt:variant>
      <vt:variant>
        <vt:i4>1689</vt:i4>
      </vt:variant>
      <vt:variant>
        <vt:i4>0</vt:i4>
      </vt:variant>
      <vt:variant>
        <vt:i4>5</vt:i4>
      </vt:variant>
      <vt:variant>
        <vt:lpwstr>http://www.westlaw.com/Find/Default.wl?rs=dfa1.0&amp;vr=2.0&amp;DB=708&amp;FindType=Y&amp;SerialNum=1968131167</vt:lpwstr>
      </vt:variant>
      <vt:variant>
        <vt:lpwstr/>
      </vt:variant>
      <vt:variant>
        <vt:i4>393326</vt:i4>
      </vt:variant>
      <vt:variant>
        <vt:i4>1686</vt:i4>
      </vt:variant>
      <vt:variant>
        <vt:i4>0</vt:i4>
      </vt:variant>
      <vt:variant>
        <vt:i4>5</vt:i4>
      </vt:variant>
      <vt:variant>
        <vt:lpwstr>http://www.westlaw.com/Find/Default.wl?rs=dfa1.0&amp;vr=2.0&amp;FindType=Y&amp;SerialNum=1982130116</vt:lpwstr>
      </vt:variant>
      <vt:variant>
        <vt:lpwstr/>
      </vt:variant>
      <vt:variant>
        <vt:i4>786533</vt:i4>
      </vt:variant>
      <vt:variant>
        <vt:i4>1683</vt:i4>
      </vt:variant>
      <vt:variant>
        <vt:i4>0</vt:i4>
      </vt:variant>
      <vt:variant>
        <vt:i4>5</vt:i4>
      </vt:variant>
      <vt:variant>
        <vt:lpwstr>http://www.westlaw.com/Find/Default.wl?rs=dfa1.0&amp;vr=2.0&amp;FindType=Y&amp;SerialNum=1973126439</vt:lpwstr>
      </vt:variant>
      <vt:variant>
        <vt:lpwstr/>
      </vt:variant>
      <vt:variant>
        <vt:i4>4522007</vt:i4>
      </vt:variant>
      <vt:variant>
        <vt:i4>1680</vt:i4>
      </vt:variant>
      <vt:variant>
        <vt:i4>0</vt:i4>
      </vt:variant>
      <vt:variant>
        <vt:i4>5</vt:i4>
      </vt:variant>
      <vt:variant>
        <vt:lpwstr/>
      </vt:variant>
      <vt:variant>
        <vt:lpwstr>Document1zzF172002243889</vt:lpwstr>
      </vt:variant>
      <vt:variant>
        <vt:i4>4522006</vt:i4>
      </vt:variant>
      <vt:variant>
        <vt:i4>1677</vt:i4>
      </vt:variant>
      <vt:variant>
        <vt:i4>0</vt:i4>
      </vt:variant>
      <vt:variant>
        <vt:i4>5</vt:i4>
      </vt:variant>
      <vt:variant>
        <vt:lpwstr/>
      </vt:variant>
      <vt:variant>
        <vt:lpwstr>Document1zzF162002243889</vt:lpwstr>
      </vt:variant>
      <vt:variant>
        <vt:i4>393326</vt:i4>
      </vt:variant>
      <vt:variant>
        <vt:i4>1674</vt:i4>
      </vt:variant>
      <vt:variant>
        <vt:i4>0</vt:i4>
      </vt:variant>
      <vt:variant>
        <vt:i4>5</vt:i4>
      </vt:variant>
      <vt:variant>
        <vt:lpwstr>http://www.westlaw.com/Find/Default.wl?rs=dfa1.0&amp;vr=2.0&amp;FindType=Y&amp;SerialNum=1982130116</vt:lpwstr>
      </vt:variant>
      <vt:variant>
        <vt:lpwstr/>
      </vt:variant>
      <vt:variant>
        <vt:i4>393326</vt:i4>
      </vt:variant>
      <vt:variant>
        <vt:i4>1671</vt:i4>
      </vt:variant>
      <vt:variant>
        <vt:i4>0</vt:i4>
      </vt:variant>
      <vt:variant>
        <vt:i4>5</vt:i4>
      </vt:variant>
      <vt:variant>
        <vt:lpwstr>http://www.westlaw.com/Find/Default.wl?rs=dfa1.0&amp;vr=2.0&amp;FindType=Y&amp;SerialNum=1982130116</vt:lpwstr>
      </vt:variant>
      <vt:variant>
        <vt:lpwstr/>
      </vt:variant>
      <vt:variant>
        <vt:i4>8060977</vt:i4>
      </vt:variant>
      <vt:variant>
        <vt:i4>1668</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1665</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1662</vt:i4>
      </vt:variant>
      <vt:variant>
        <vt:i4>0</vt:i4>
      </vt:variant>
      <vt:variant>
        <vt:i4>5</vt:i4>
      </vt:variant>
      <vt:variant>
        <vt:lpwstr>http://www.westlaw.com/Find/Default.wl?rs=dfa1.0&amp;vr=2.0&amp;DB=708&amp;FindType=Y&amp;SerialNum=1982130116</vt:lpwstr>
      </vt:variant>
      <vt:variant>
        <vt:lpwstr/>
      </vt:variant>
      <vt:variant>
        <vt:i4>8060977</vt:i4>
      </vt:variant>
      <vt:variant>
        <vt:i4>1659</vt:i4>
      </vt:variant>
      <vt:variant>
        <vt:i4>0</vt:i4>
      </vt:variant>
      <vt:variant>
        <vt:i4>5</vt:i4>
      </vt:variant>
      <vt:variant>
        <vt:lpwstr>http://www.westlaw.com/Find/Default.wl?rs=dfa1.0&amp;vr=2.0&amp;DB=708&amp;FindType=Y&amp;SerialNum=1982130116</vt:lpwstr>
      </vt:variant>
      <vt:variant>
        <vt:lpwstr/>
      </vt:variant>
      <vt:variant>
        <vt:i4>393326</vt:i4>
      </vt:variant>
      <vt:variant>
        <vt:i4>1656</vt:i4>
      </vt:variant>
      <vt:variant>
        <vt:i4>0</vt:i4>
      </vt:variant>
      <vt:variant>
        <vt:i4>5</vt:i4>
      </vt:variant>
      <vt:variant>
        <vt:lpwstr>http://www.westlaw.com/Find/Default.wl?rs=dfa1.0&amp;vr=2.0&amp;FindType=Y&amp;SerialNum=1982130116</vt:lpwstr>
      </vt:variant>
      <vt:variant>
        <vt:lpwstr/>
      </vt:variant>
      <vt:variant>
        <vt:i4>4522005</vt:i4>
      </vt:variant>
      <vt:variant>
        <vt:i4>1653</vt:i4>
      </vt:variant>
      <vt:variant>
        <vt:i4>0</vt:i4>
      </vt:variant>
      <vt:variant>
        <vt:i4>5</vt:i4>
      </vt:variant>
      <vt:variant>
        <vt:lpwstr/>
      </vt:variant>
      <vt:variant>
        <vt:lpwstr>Document1zzF152002243889</vt:lpwstr>
      </vt:variant>
      <vt:variant>
        <vt:i4>8060977</vt:i4>
      </vt:variant>
      <vt:variant>
        <vt:i4>1650</vt:i4>
      </vt:variant>
      <vt:variant>
        <vt:i4>0</vt:i4>
      </vt:variant>
      <vt:variant>
        <vt:i4>5</vt:i4>
      </vt:variant>
      <vt:variant>
        <vt:lpwstr>http://www.westlaw.com/Find/Default.wl?rs=dfa1.0&amp;vr=2.0&amp;DB=708&amp;FindType=Y&amp;SerialNum=1982130116</vt:lpwstr>
      </vt:variant>
      <vt:variant>
        <vt:lpwstr/>
      </vt:variant>
      <vt:variant>
        <vt:i4>8060977</vt:i4>
      </vt:variant>
      <vt:variant>
        <vt:i4>1647</vt:i4>
      </vt:variant>
      <vt:variant>
        <vt:i4>0</vt:i4>
      </vt:variant>
      <vt:variant>
        <vt:i4>5</vt:i4>
      </vt:variant>
      <vt:variant>
        <vt:lpwstr>http://www.westlaw.com/Find/Default.wl?rs=dfa1.0&amp;vr=2.0&amp;DB=708&amp;FindType=Y&amp;SerialNum=1982130116</vt:lpwstr>
      </vt:variant>
      <vt:variant>
        <vt:lpwstr/>
      </vt:variant>
      <vt:variant>
        <vt:i4>393326</vt:i4>
      </vt:variant>
      <vt:variant>
        <vt:i4>1644</vt:i4>
      </vt:variant>
      <vt:variant>
        <vt:i4>0</vt:i4>
      </vt:variant>
      <vt:variant>
        <vt:i4>5</vt:i4>
      </vt:variant>
      <vt:variant>
        <vt:lpwstr>http://www.westlaw.com/Find/Default.wl?rs=dfa1.0&amp;vr=2.0&amp;FindType=Y&amp;SerialNum=1982130116</vt:lpwstr>
      </vt:variant>
      <vt:variant>
        <vt:lpwstr/>
      </vt:variant>
      <vt:variant>
        <vt:i4>8060977</vt:i4>
      </vt:variant>
      <vt:variant>
        <vt:i4>1641</vt:i4>
      </vt:variant>
      <vt:variant>
        <vt:i4>0</vt:i4>
      </vt:variant>
      <vt:variant>
        <vt:i4>5</vt:i4>
      </vt:variant>
      <vt:variant>
        <vt:lpwstr>http://www.westlaw.com/Find/Default.wl?rs=dfa1.0&amp;vr=2.0&amp;DB=708&amp;FindType=Y&amp;SerialNum=1982130116</vt:lpwstr>
      </vt:variant>
      <vt:variant>
        <vt:lpwstr/>
      </vt:variant>
      <vt:variant>
        <vt:i4>393326</vt:i4>
      </vt:variant>
      <vt:variant>
        <vt:i4>1638</vt:i4>
      </vt:variant>
      <vt:variant>
        <vt:i4>0</vt:i4>
      </vt:variant>
      <vt:variant>
        <vt:i4>5</vt:i4>
      </vt:variant>
      <vt:variant>
        <vt:lpwstr>http://www.westlaw.com/Find/Default.wl?rs=dfa1.0&amp;vr=2.0&amp;FindType=Y&amp;SerialNum=1982130116</vt:lpwstr>
      </vt:variant>
      <vt:variant>
        <vt:lpwstr/>
      </vt:variant>
      <vt:variant>
        <vt:i4>4522004</vt:i4>
      </vt:variant>
      <vt:variant>
        <vt:i4>1635</vt:i4>
      </vt:variant>
      <vt:variant>
        <vt:i4>0</vt:i4>
      </vt:variant>
      <vt:variant>
        <vt:i4>5</vt:i4>
      </vt:variant>
      <vt:variant>
        <vt:lpwstr/>
      </vt:variant>
      <vt:variant>
        <vt:lpwstr>Document1zzF142002243889</vt:lpwstr>
      </vt:variant>
      <vt:variant>
        <vt:i4>4522003</vt:i4>
      </vt:variant>
      <vt:variant>
        <vt:i4>1632</vt:i4>
      </vt:variant>
      <vt:variant>
        <vt:i4>0</vt:i4>
      </vt:variant>
      <vt:variant>
        <vt:i4>5</vt:i4>
      </vt:variant>
      <vt:variant>
        <vt:lpwstr/>
      </vt:variant>
      <vt:variant>
        <vt:lpwstr>Document1zzF132002243889</vt:lpwstr>
      </vt:variant>
      <vt:variant>
        <vt:i4>8060977</vt:i4>
      </vt:variant>
      <vt:variant>
        <vt:i4>1629</vt:i4>
      </vt:variant>
      <vt:variant>
        <vt:i4>0</vt:i4>
      </vt:variant>
      <vt:variant>
        <vt:i4>5</vt:i4>
      </vt:variant>
      <vt:variant>
        <vt:lpwstr>http://www.westlaw.com/Find/Default.wl?rs=dfa1.0&amp;vr=2.0&amp;DB=708&amp;FindType=Y&amp;SerialNum=1982130116</vt:lpwstr>
      </vt:variant>
      <vt:variant>
        <vt:lpwstr/>
      </vt:variant>
      <vt:variant>
        <vt:i4>393326</vt:i4>
      </vt:variant>
      <vt:variant>
        <vt:i4>1626</vt:i4>
      </vt:variant>
      <vt:variant>
        <vt:i4>0</vt:i4>
      </vt:variant>
      <vt:variant>
        <vt:i4>5</vt:i4>
      </vt:variant>
      <vt:variant>
        <vt:lpwstr>http://www.westlaw.com/Find/Default.wl?rs=dfa1.0&amp;vr=2.0&amp;FindType=Y&amp;SerialNum=1982130116</vt:lpwstr>
      </vt:variant>
      <vt:variant>
        <vt:lpwstr/>
      </vt:variant>
      <vt:variant>
        <vt:i4>393326</vt:i4>
      </vt:variant>
      <vt:variant>
        <vt:i4>1623</vt:i4>
      </vt:variant>
      <vt:variant>
        <vt:i4>0</vt:i4>
      </vt:variant>
      <vt:variant>
        <vt:i4>5</vt:i4>
      </vt:variant>
      <vt:variant>
        <vt:lpwstr>http://www.westlaw.com/Find/Default.wl?rs=dfa1.0&amp;vr=2.0&amp;FindType=Y&amp;SerialNum=1982130116</vt:lpwstr>
      </vt:variant>
      <vt:variant>
        <vt:lpwstr/>
      </vt:variant>
      <vt:variant>
        <vt:i4>7995449</vt:i4>
      </vt:variant>
      <vt:variant>
        <vt:i4>1620</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1617</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1614</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1611</vt:i4>
      </vt:variant>
      <vt:variant>
        <vt:i4>0</vt:i4>
      </vt:variant>
      <vt:variant>
        <vt:i4>5</vt:i4>
      </vt:variant>
      <vt:variant>
        <vt:lpwstr>http://www.westlaw.com/Find/Default.wl?rs=dfa1.0&amp;vr=2.0&amp;DB=708&amp;FindType=Y&amp;SerialNum=1990064840</vt:lpwstr>
      </vt:variant>
      <vt:variant>
        <vt:lpwstr/>
      </vt:variant>
      <vt:variant>
        <vt:i4>917615</vt:i4>
      </vt:variant>
      <vt:variant>
        <vt:i4>1608</vt:i4>
      </vt:variant>
      <vt:variant>
        <vt:i4>0</vt:i4>
      </vt:variant>
      <vt:variant>
        <vt:i4>5</vt:i4>
      </vt:variant>
      <vt:variant>
        <vt:lpwstr>http://www.westlaw.com/Find/Default.wl?rs=dfa1.0&amp;vr=2.0&amp;FindType=Y&amp;SerialNum=1990064840</vt:lpwstr>
      </vt:variant>
      <vt:variant>
        <vt:lpwstr/>
      </vt:variant>
      <vt:variant>
        <vt:i4>917615</vt:i4>
      </vt:variant>
      <vt:variant>
        <vt:i4>1605</vt:i4>
      </vt:variant>
      <vt:variant>
        <vt:i4>0</vt:i4>
      </vt:variant>
      <vt:variant>
        <vt:i4>5</vt:i4>
      </vt:variant>
      <vt:variant>
        <vt:lpwstr>http://www.westlaw.com/Find/Default.wl?rs=dfa1.0&amp;vr=2.0&amp;FindType=Y&amp;SerialNum=1990064840</vt:lpwstr>
      </vt:variant>
      <vt:variant>
        <vt:lpwstr/>
      </vt:variant>
      <vt:variant>
        <vt:i4>917615</vt:i4>
      </vt:variant>
      <vt:variant>
        <vt:i4>1602</vt:i4>
      </vt:variant>
      <vt:variant>
        <vt:i4>0</vt:i4>
      </vt:variant>
      <vt:variant>
        <vt:i4>5</vt:i4>
      </vt:variant>
      <vt:variant>
        <vt:lpwstr>http://www.westlaw.com/Find/Default.wl?rs=dfa1.0&amp;vr=2.0&amp;FindType=Y&amp;SerialNum=1990064840</vt:lpwstr>
      </vt:variant>
      <vt:variant>
        <vt:lpwstr/>
      </vt:variant>
      <vt:variant>
        <vt:i4>7995449</vt:i4>
      </vt:variant>
      <vt:variant>
        <vt:i4>1599</vt:i4>
      </vt:variant>
      <vt:variant>
        <vt:i4>0</vt:i4>
      </vt:variant>
      <vt:variant>
        <vt:i4>5</vt:i4>
      </vt:variant>
      <vt:variant>
        <vt:lpwstr>http://www.westlaw.com/Find/Default.wl?rs=dfa1.0&amp;vr=2.0&amp;DB=708&amp;FindType=Y&amp;SerialNum=1990064840</vt:lpwstr>
      </vt:variant>
      <vt:variant>
        <vt:lpwstr/>
      </vt:variant>
      <vt:variant>
        <vt:i4>7995449</vt:i4>
      </vt:variant>
      <vt:variant>
        <vt:i4>1596</vt:i4>
      </vt:variant>
      <vt:variant>
        <vt:i4>0</vt:i4>
      </vt:variant>
      <vt:variant>
        <vt:i4>5</vt:i4>
      </vt:variant>
      <vt:variant>
        <vt:lpwstr>http://www.westlaw.com/Find/Default.wl?rs=dfa1.0&amp;vr=2.0&amp;DB=708&amp;FindType=Y&amp;SerialNum=1990064840</vt:lpwstr>
      </vt:variant>
      <vt:variant>
        <vt:lpwstr/>
      </vt:variant>
      <vt:variant>
        <vt:i4>8060977</vt:i4>
      </vt:variant>
      <vt:variant>
        <vt:i4>1593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1590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1587</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1578</vt:i4>
      </vt:variant>
      <vt:variant>
        <vt:i4>0</vt:i4>
      </vt:variant>
      <vt:variant>
        <vt:i4>5</vt:i4>
      </vt:variant>
      <vt:variant>
        <vt:lpwstr>http://www.westlaw.com/Find/Default.wl?rs=dfa1.0&amp;vr=2.0&amp;DB=708&amp;FindType=Y&amp;SerialNum=1982130116</vt:lpwstr>
      </vt:variant>
      <vt:variant>
        <vt:lpwstr/>
      </vt:variant>
      <vt:variant>
        <vt:i4>393326</vt:i4>
      </vt:variant>
      <vt:variant>
        <vt:i4>1575</vt:i4>
      </vt:variant>
      <vt:variant>
        <vt:i4>0</vt:i4>
      </vt:variant>
      <vt:variant>
        <vt:i4>5</vt:i4>
      </vt:variant>
      <vt:variant>
        <vt:lpwstr>http://www.westlaw.com/Find/Default.wl?rs=dfa1.0&amp;vr=2.0&amp;FindType=Y&amp;SerialNum=1982130116</vt:lpwstr>
      </vt:variant>
      <vt:variant>
        <vt:lpwstr/>
      </vt:variant>
      <vt:variant>
        <vt:i4>8060977</vt:i4>
      </vt:variant>
      <vt:variant>
        <vt:i4>1572</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1569</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1566</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1557</vt:i4>
      </vt:variant>
      <vt:variant>
        <vt:i4>0</vt:i4>
      </vt:variant>
      <vt:variant>
        <vt:i4>5</vt:i4>
      </vt:variant>
      <vt:variant>
        <vt:lpwstr>http://www.westlaw.com/Find/Default.wl?rs=dfa1.0&amp;vr=2.0&amp;DB=708&amp;FindType=Y&amp;SerialNum=1982130116</vt:lpwstr>
      </vt:variant>
      <vt:variant>
        <vt:lpwstr/>
      </vt:variant>
      <vt:variant>
        <vt:i4>393326</vt:i4>
      </vt:variant>
      <vt:variant>
        <vt:i4>1554</vt:i4>
      </vt:variant>
      <vt:variant>
        <vt:i4>0</vt:i4>
      </vt:variant>
      <vt:variant>
        <vt:i4>5</vt:i4>
      </vt:variant>
      <vt:variant>
        <vt:lpwstr>http://www.westlaw.com/Find/Default.wl?rs=dfa1.0&amp;vr=2.0&amp;FindType=Y&amp;SerialNum=1982130116</vt:lpwstr>
      </vt:variant>
      <vt:variant>
        <vt:lpwstr/>
      </vt:variant>
      <vt:variant>
        <vt:i4>8060977</vt:i4>
      </vt:variant>
      <vt:variant>
        <vt:i4>1551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1548</vt:i4>
      </vt:variant>
      <vt:variant>
        <vt:i4>0</vt:i4>
      </vt:variant>
      <vt:variant>
        <vt:i4>5</vt:i4>
      </vt:variant>
      <vt:variant>
        <vt:lpwstr>http://www.westlaw.com/Find/Default.wl?rs=dfa1.0&amp;vr=2.0&amp;DB=708&amp;FindType=Y&amp;SerialNum=1982130116</vt:lpwstr>
      </vt:variant>
      <vt:variant>
        <vt:lpwstr/>
      </vt:variant>
      <vt:variant>
        <vt:i4>4522002</vt:i4>
      </vt:variant>
      <vt:variant>
        <vt:i4>1545</vt:i4>
      </vt:variant>
      <vt:variant>
        <vt:i4>0</vt:i4>
      </vt:variant>
      <vt:variant>
        <vt:i4>5</vt:i4>
      </vt:variant>
      <vt:variant>
        <vt:lpwstr/>
      </vt:variant>
      <vt:variant>
        <vt:lpwstr>Document1zzF122002243889</vt:lpwstr>
      </vt:variant>
      <vt:variant>
        <vt:i4>4522001</vt:i4>
      </vt:variant>
      <vt:variant>
        <vt:i4>1542</vt:i4>
      </vt:variant>
      <vt:variant>
        <vt:i4>0</vt:i4>
      </vt:variant>
      <vt:variant>
        <vt:i4>5</vt:i4>
      </vt:variant>
      <vt:variant>
        <vt:lpwstr/>
      </vt:variant>
      <vt:variant>
        <vt:lpwstr>Document1zzF112002243889</vt:lpwstr>
      </vt:variant>
      <vt:variant>
        <vt:i4>7667766</vt:i4>
      </vt:variant>
      <vt:variant>
        <vt:i4>1539</vt:i4>
      </vt:variant>
      <vt:variant>
        <vt:i4>0</vt:i4>
      </vt:variant>
      <vt:variant>
        <vt:i4>5</vt:i4>
      </vt:variant>
      <vt:variant>
        <vt:lpwstr>http://www.westlaw.com/Find/Default.wl?rs=dfa1.0&amp;vr=2.0&amp;DB=708&amp;FindType=Y&amp;SerialNum=1972127170</vt:lpwstr>
      </vt:variant>
      <vt:variant>
        <vt:lpwstr/>
      </vt:variant>
      <vt:variant>
        <vt:i4>7667766</vt:i4>
      </vt:variant>
      <vt:variant>
        <vt:i4>1536</vt:i4>
      </vt:variant>
      <vt:variant>
        <vt:i4>0</vt:i4>
      </vt:variant>
      <vt:variant>
        <vt:i4>5</vt:i4>
      </vt:variant>
      <vt:variant>
        <vt:lpwstr>http://www.westlaw.com/Find/Default.wl?rs=dfa1.0&amp;vr=2.0&amp;DB=708&amp;FindType=Y&amp;SerialNum=1972127170</vt:lpwstr>
      </vt:variant>
      <vt:variant>
        <vt:lpwstr/>
      </vt:variant>
      <vt:variant>
        <vt:i4>786533</vt:i4>
      </vt:variant>
      <vt:variant>
        <vt:i4>1533</vt:i4>
      </vt:variant>
      <vt:variant>
        <vt:i4>0</vt:i4>
      </vt:variant>
      <vt:variant>
        <vt:i4>5</vt:i4>
      </vt:variant>
      <vt:variant>
        <vt:lpwstr>http://www.westlaw.com/Find/Default.wl?rs=dfa1.0&amp;vr=2.0&amp;FindType=Y&amp;SerialNum=1973126439</vt:lpwstr>
      </vt:variant>
      <vt:variant>
        <vt:lpwstr/>
      </vt:variant>
      <vt:variant>
        <vt:i4>7602231</vt:i4>
      </vt:variant>
      <vt:variant>
        <vt:i4>1530</vt:i4>
      </vt:variant>
      <vt:variant>
        <vt:i4>0</vt:i4>
      </vt:variant>
      <vt:variant>
        <vt:i4>5</vt:i4>
      </vt:variant>
      <vt:variant>
        <vt:lpwstr>http://www.westlaw.com/Find/Default.wl?rs=dfa1.0&amp;vr=2.0&amp;DB=708&amp;FindType=Y&amp;SerialNum=1966100006</vt:lpwstr>
      </vt:variant>
      <vt:variant>
        <vt:lpwstr/>
      </vt:variant>
      <vt:variant>
        <vt:i4>7602231</vt:i4>
      </vt:variant>
      <vt:variant>
        <vt:i4>1527</vt:i4>
      </vt:variant>
      <vt:variant>
        <vt:i4>0</vt:i4>
      </vt:variant>
      <vt:variant>
        <vt:i4>5</vt:i4>
      </vt:variant>
      <vt:variant>
        <vt:lpwstr>http://www.westlaw.com/Find/Default.wl?rs=dfa1.0&amp;vr=2.0&amp;DB=708&amp;FindType=Y&amp;SerialNum=1966100006</vt:lpwstr>
      </vt:variant>
      <vt:variant>
        <vt:lpwstr/>
      </vt:variant>
      <vt:variant>
        <vt:i4>4522000</vt:i4>
      </vt:variant>
      <vt:variant>
        <vt:i4>1524</vt:i4>
      </vt:variant>
      <vt:variant>
        <vt:i4>0</vt:i4>
      </vt:variant>
      <vt:variant>
        <vt:i4>5</vt:i4>
      </vt:variant>
      <vt:variant>
        <vt:lpwstr/>
      </vt:variant>
      <vt:variant>
        <vt:lpwstr>Document1zzF102002243889</vt:lpwstr>
      </vt:variant>
      <vt:variant>
        <vt:i4>4259884</vt:i4>
      </vt:variant>
      <vt:variant>
        <vt:i4>1521</vt:i4>
      </vt:variant>
      <vt:variant>
        <vt:i4>0</vt:i4>
      </vt:variant>
      <vt:variant>
        <vt:i4>5</vt:i4>
      </vt:variant>
      <vt:variant>
        <vt:lpwstr/>
      </vt:variant>
      <vt:variant>
        <vt:lpwstr>Document1zzF92002243889</vt:lpwstr>
      </vt:variant>
      <vt:variant>
        <vt:i4>7995414</vt:i4>
      </vt:variant>
      <vt:variant>
        <vt:i4>1518</vt:i4>
      </vt:variant>
      <vt:variant>
        <vt:i4>0</vt:i4>
      </vt:variant>
      <vt:variant>
        <vt:i4>5</vt:i4>
      </vt:variant>
      <vt:variant>
        <vt:lpwstr>http://www.westlaw.com/Find/Default.wl?rs=dfa1.0&amp;vr=2.0&amp;DB=1000546&amp;DocName=18USCAS2256&amp;FindType=L&amp;ReferencePositionType=T&amp;ReferencePosition=SP_f1c50000821b0</vt:lpwstr>
      </vt:variant>
      <vt:variant>
        <vt:lpwstr/>
      </vt:variant>
      <vt:variant>
        <vt:i4>786533</vt:i4>
      </vt:variant>
      <vt:variant>
        <vt:i4>1515</vt:i4>
      </vt:variant>
      <vt:variant>
        <vt:i4>0</vt:i4>
      </vt:variant>
      <vt:variant>
        <vt:i4>5</vt:i4>
      </vt:variant>
      <vt:variant>
        <vt:lpwstr>http://www.westlaw.com/Find/Default.wl?rs=dfa1.0&amp;vr=2.0&amp;FindType=Y&amp;SerialNum=1973126439</vt:lpwstr>
      </vt:variant>
      <vt:variant>
        <vt:lpwstr/>
      </vt:variant>
      <vt:variant>
        <vt:i4>7340091</vt:i4>
      </vt:variant>
      <vt:variant>
        <vt:i4>1512</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1509</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1506</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1503</vt:i4>
      </vt:variant>
      <vt:variant>
        <vt:i4>0</vt:i4>
      </vt:variant>
      <vt:variant>
        <vt:i4>5</vt:i4>
      </vt:variant>
      <vt:variant>
        <vt:lpwstr>http://www.westlaw.com/Find/Default.wl?rs=dfa1.0&amp;vr=2.0&amp;DB=708&amp;FindType=Y&amp;SerialNum=1973126439</vt:lpwstr>
      </vt:variant>
      <vt:variant>
        <vt:lpwstr/>
      </vt:variant>
      <vt:variant>
        <vt:i4>4194348</vt:i4>
      </vt:variant>
      <vt:variant>
        <vt:i4>1500</vt:i4>
      </vt:variant>
      <vt:variant>
        <vt:i4>0</vt:i4>
      </vt:variant>
      <vt:variant>
        <vt:i4>5</vt:i4>
      </vt:variant>
      <vt:variant>
        <vt:lpwstr/>
      </vt:variant>
      <vt:variant>
        <vt:lpwstr>Document1zzF82002243889</vt:lpwstr>
      </vt:variant>
      <vt:variant>
        <vt:i4>5177388</vt:i4>
      </vt:variant>
      <vt:variant>
        <vt:i4>1497</vt:i4>
      </vt:variant>
      <vt:variant>
        <vt:i4>0</vt:i4>
      </vt:variant>
      <vt:variant>
        <vt:i4>5</vt:i4>
      </vt:variant>
      <vt:variant>
        <vt:lpwstr/>
      </vt:variant>
      <vt:variant>
        <vt:lpwstr>Document1zzF72002243889</vt:lpwstr>
      </vt:variant>
      <vt:variant>
        <vt:i4>8061022</vt:i4>
      </vt:variant>
      <vt:variant>
        <vt:i4>1494</vt:i4>
      </vt:variant>
      <vt:variant>
        <vt:i4>0</vt:i4>
      </vt:variant>
      <vt:variant>
        <vt:i4>5</vt:i4>
      </vt:variant>
      <vt:variant>
        <vt:lpwstr>http://www.westlaw.com/Find/Default.wl?rs=dfa1.0&amp;vr=2.0&amp;DB=506&amp;FindType=Y&amp;ReferencePositionType=S&amp;SerialNum=1999277225&amp;ReferencePosition=1101</vt:lpwstr>
      </vt:variant>
      <vt:variant>
        <vt:lpwstr/>
      </vt:variant>
      <vt:variant>
        <vt:i4>7667762</vt:i4>
      </vt:variant>
      <vt:variant>
        <vt:i4>1491</vt:i4>
      </vt:variant>
      <vt:variant>
        <vt:i4>0</vt:i4>
      </vt:variant>
      <vt:variant>
        <vt:i4>5</vt:i4>
      </vt:variant>
      <vt:variant>
        <vt:lpwstr>http://www.westlaw.com/Find/Default.wl?rs=dfa1.0&amp;vr=2.0&amp;DB=708&amp;FindType=Y&amp;SerialNum=1991199578</vt:lpwstr>
      </vt:variant>
      <vt:variant>
        <vt:lpwstr/>
      </vt:variant>
      <vt:variant>
        <vt:i4>7667762</vt:i4>
      </vt:variant>
      <vt:variant>
        <vt:i4>1488</vt:i4>
      </vt:variant>
      <vt:variant>
        <vt:i4>0</vt:i4>
      </vt:variant>
      <vt:variant>
        <vt:i4>5</vt:i4>
      </vt:variant>
      <vt:variant>
        <vt:lpwstr>http://www.westlaw.com/Find/Default.wl?rs=dfa1.0&amp;vr=2.0&amp;DB=708&amp;FindType=Y&amp;SerialNum=1991199578</vt:lpwstr>
      </vt:variant>
      <vt:variant>
        <vt:lpwstr/>
      </vt:variant>
      <vt:variant>
        <vt:i4>5111852</vt:i4>
      </vt:variant>
      <vt:variant>
        <vt:i4>1485</vt:i4>
      </vt:variant>
      <vt:variant>
        <vt:i4>0</vt:i4>
      </vt:variant>
      <vt:variant>
        <vt:i4>5</vt:i4>
      </vt:variant>
      <vt:variant>
        <vt:lpwstr/>
      </vt:variant>
      <vt:variant>
        <vt:lpwstr>Document1zzF62002243889</vt:lpwstr>
      </vt:variant>
      <vt:variant>
        <vt:i4>7602225</vt:i4>
      </vt:variant>
      <vt:variant>
        <vt:i4>1482</vt:i4>
      </vt:variant>
      <vt:variant>
        <vt:i4>0</vt:i4>
      </vt:variant>
      <vt:variant>
        <vt:i4>5</vt:i4>
      </vt:variant>
      <vt:variant>
        <vt:lpwstr>http://www.westlaw.com/Find/Default.wl?rs=dfa1.0&amp;vr=2.0&amp;DB=708&amp;FindType=Y&amp;SerialNum=1977118797</vt:lpwstr>
      </vt:variant>
      <vt:variant>
        <vt:lpwstr/>
      </vt:variant>
      <vt:variant>
        <vt:i4>7602225</vt:i4>
      </vt:variant>
      <vt:variant>
        <vt:i4>1479</vt:i4>
      </vt:variant>
      <vt:variant>
        <vt:i4>0</vt:i4>
      </vt:variant>
      <vt:variant>
        <vt:i4>5</vt:i4>
      </vt:variant>
      <vt:variant>
        <vt:lpwstr>http://www.westlaw.com/Find/Default.wl?rs=dfa1.0&amp;vr=2.0&amp;DB=708&amp;FindType=Y&amp;SerialNum=1977118797</vt:lpwstr>
      </vt:variant>
      <vt:variant>
        <vt:lpwstr/>
      </vt:variant>
      <vt:variant>
        <vt:i4>8257599</vt:i4>
      </vt:variant>
      <vt:variant>
        <vt:i4>1476</vt:i4>
      </vt:variant>
      <vt:variant>
        <vt:i4>0</vt:i4>
      </vt:variant>
      <vt:variant>
        <vt:i4>5</vt:i4>
      </vt:variant>
      <vt:variant>
        <vt:lpwstr>http://www.westlaw.com/Find/Default.wl?rs=dfa1.0&amp;vr=2.0&amp;DB=708&amp;FindType=Y&amp;SerialNum=1989094018</vt:lpwstr>
      </vt:variant>
      <vt:variant>
        <vt:lpwstr/>
      </vt:variant>
      <vt:variant>
        <vt:i4>8257599</vt:i4>
      </vt:variant>
      <vt:variant>
        <vt:i4>1473</vt:i4>
      </vt:variant>
      <vt:variant>
        <vt:i4>0</vt:i4>
      </vt:variant>
      <vt:variant>
        <vt:i4>5</vt:i4>
      </vt:variant>
      <vt:variant>
        <vt:lpwstr>http://www.westlaw.com/Find/Default.wl?rs=dfa1.0&amp;vr=2.0&amp;DB=708&amp;FindType=Y&amp;SerialNum=1989094018</vt:lpwstr>
      </vt:variant>
      <vt:variant>
        <vt:lpwstr/>
      </vt:variant>
      <vt:variant>
        <vt:i4>8257586</vt:i4>
      </vt:variant>
      <vt:variant>
        <vt:i4>1470</vt:i4>
      </vt:variant>
      <vt:variant>
        <vt:i4>0</vt:i4>
      </vt:variant>
      <vt:variant>
        <vt:i4>5</vt:i4>
      </vt:variant>
      <vt:variant>
        <vt:lpwstr>http://www.westlaw.com/Find/Default.wl?rs=dfa1.0&amp;vr=2.0&amp;DB=708&amp;FindType=Y&amp;SerialNum=1997135001</vt:lpwstr>
      </vt:variant>
      <vt:variant>
        <vt:lpwstr/>
      </vt:variant>
      <vt:variant>
        <vt:i4>8257586</vt:i4>
      </vt:variant>
      <vt:variant>
        <vt:i4>1467</vt:i4>
      </vt:variant>
      <vt:variant>
        <vt:i4>0</vt:i4>
      </vt:variant>
      <vt:variant>
        <vt:i4>5</vt:i4>
      </vt:variant>
      <vt:variant>
        <vt:lpwstr>http://www.westlaw.com/Find/Default.wl?rs=dfa1.0&amp;vr=2.0&amp;DB=708&amp;FindType=Y&amp;SerialNum=1997135001</vt:lpwstr>
      </vt:variant>
      <vt:variant>
        <vt:lpwstr/>
      </vt:variant>
      <vt:variant>
        <vt:i4>8192062</vt:i4>
      </vt:variant>
      <vt:variant>
        <vt:i4>1464</vt:i4>
      </vt:variant>
      <vt:variant>
        <vt:i4>0</vt:i4>
      </vt:variant>
      <vt:variant>
        <vt:i4>5</vt:i4>
      </vt:variant>
      <vt:variant>
        <vt:lpwstr>http://www.westlaw.com/Find/Default.wl?rs=dfa1.0&amp;vr=2.0&amp;DB=708&amp;FindType=Y&amp;SerialNum=1978139517</vt:lpwstr>
      </vt:variant>
      <vt:variant>
        <vt:lpwstr/>
      </vt:variant>
      <vt:variant>
        <vt:i4>8192062</vt:i4>
      </vt:variant>
      <vt:variant>
        <vt:i4>1461</vt:i4>
      </vt:variant>
      <vt:variant>
        <vt:i4>0</vt:i4>
      </vt:variant>
      <vt:variant>
        <vt:i4>5</vt:i4>
      </vt:variant>
      <vt:variant>
        <vt:lpwstr>http://www.westlaw.com/Find/Default.wl?rs=dfa1.0&amp;vr=2.0&amp;DB=708&amp;FindType=Y&amp;SerialNum=1978139517</vt:lpwstr>
      </vt:variant>
      <vt:variant>
        <vt:lpwstr/>
      </vt:variant>
      <vt:variant>
        <vt:i4>7340082</vt:i4>
      </vt:variant>
      <vt:variant>
        <vt:i4>1458</vt:i4>
      </vt:variant>
      <vt:variant>
        <vt:i4>0</vt:i4>
      </vt:variant>
      <vt:variant>
        <vt:i4>5</vt:i4>
      </vt:variant>
      <vt:variant>
        <vt:lpwstr>http://www.westlaw.com/Find/Default.wl?rs=dfa1.0&amp;vr=2.0&amp;DB=708&amp;FindType=Y&amp;SerialNum=1959102458</vt:lpwstr>
      </vt:variant>
      <vt:variant>
        <vt:lpwstr/>
      </vt:variant>
      <vt:variant>
        <vt:i4>7340082</vt:i4>
      </vt:variant>
      <vt:variant>
        <vt:i4>1455</vt:i4>
      </vt:variant>
      <vt:variant>
        <vt:i4>0</vt:i4>
      </vt:variant>
      <vt:variant>
        <vt:i4>5</vt:i4>
      </vt:variant>
      <vt:variant>
        <vt:lpwstr>http://www.westlaw.com/Find/Default.wl?rs=dfa1.0&amp;vr=2.0&amp;DB=708&amp;FindType=Y&amp;SerialNum=1959102458</vt:lpwstr>
      </vt:variant>
      <vt:variant>
        <vt:lpwstr/>
      </vt:variant>
      <vt:variant>
        <vt:i4>6946905</vt:i4>
      </vt:variant>
      <vt:variant>
        <vt:i4>1452</vt:i4>
      </vt:variant>
      <vt:variant>
        <vt:i4>0</vt:i4>
      </vt:variant>
      <vt:variant>
        <vt:i4>5</vt:i4>
      </vt:variant>
      <vt:variant>
        <vt:lpwstr>http://www.westlaw.com/Find/Default.wl?rs=dfa1.0&amp;vr=2.0&amp;DB=1000546&amp;DocName=18USCAS2251&amp;FindType=L</vt:lpwstr>
      </vt:variant>
      <vt:variant>
        <vt:lpwstr/>
      </vt:variant>
      <vt:variant>
        <vt:i4>7012441</vt:i4>
      </vt:variant>
      <vt:variant>
        <vt:i4>1449</vt:i4>
      </vt:variant>
      <vt:variant>
        <vt:i4>0</vt:i4>
      </vt:variant>
      <vt:variant>
        <vt:i4>5</vt:i4>
      </vt:variant>
      <vt:variant>
        <vt:lpwstr>http://www.westlaw.com/Find/Default.wl?rs=dfa1.0&amp;vr=2.0&amp;DB=1000546&amp;DocName=18USCAS2241&amp;FindType=L</vt:lpwstr>
      </vt:variant>
      <vt:variant>
        <vt:lpwstr/>
      </vt:variant>
      <vt:variant>
        <vt:i4>5046316</vt:i4>
      </vt:variant>
      <vt:variant>
        <vt:i4>1446</vt:i4>
      </vt:variant>
      <vt:variant>
        <vt:i4>0</vt:i4>
      </vt:variant>
      <vt:variant>
        <vt:i4>5</vt:i4>
      </vt:variant>
      <vt:variant>
        <vt:lpwstr/>
      </vt:variant>
      <vt:variant>
        <vt:lpwstr>Document1zzF52002243889</vt:lpwstr>
      </vt:variant>
      <vt:variant>
        <vt:i4>4980780</vt:i4>
      </vt:variant>
      <vt:variant>
        <vt:i4>1443</vt:i4>
      </vt:variant>
      <vt:variant>
        <vt:i4>0</vt:i4>
      </vt:variant>
      <vt:variant>
        <vt:i4>5</vt:i4>
      </vt:variant>
      <vt:variant>
        <vt:lpwstr/>
      </vt:variant>
      <vt:variant>
        <vt:lpwstr>Document1zzF42002243889</vt:lpwstr>
      </vt:variant>
      <vt:variant>
        <vt:i4>6946905</vt:i4>
      </vt:variant>
      <vt:variant>
        <vt:i4>1440</vt:i4>
      </vt:variant>
      <vt:variant>
        <vt:i4>0</vt:i4>
      </vt:variant>
      <vt:variant>
        <vt:i4>5</vt:i4>
      </vt:variant>
      <vt:variant>
        <vt:lpwstr>http://www.westlaw.com/Find/Default.wl?rs=dfa1.0&amp;vr=2.0&amp;DB=1000546&amp;DocName=18USCAS2251&amp;FindType=L</vt:lpwstr>
      </vt:variant>
      <vt:variant>
        <vt:lpwstr/>
      </vt:variant>
      <vt:variant>
        <vt:i4>7733301</vt:i4>
      </vt:variant>
      <vt:variant>
        <vt:i4>1437</vt:i4>
      </vt:variant>
      <vt:variant>
        <vt:i4>0</vt:i4>
      </vt:variant>
      <vt:variant>
        <vt:i4>5</vt:i4>
      </vt:variant>
      <vt:variant>
        <vt:lpwstr>http://www.westlaw.com/Find/Default.wl?rs=dfa1.0&amp;vr=2.0&amp;DB=708&amp;FindType=Y&amp;SerialNum=1973126457</vt:lpwstr>
      </vt:variant>
      <vt:variant>
        <vt:lpwstr/>
      </vt:variant>
      <vt:variant>
        <vt:i4>7733301</vt:i4>
      </vt:variant>
      <vt:variant>
        <vt:i4>1434</vt:i4>
      </vt:variant>
      <vt:variant>
        <vt:i4>0</vt:i4>
      </vt:variant>
      <vt:variant>
        <vt:i4>5</vt:i4>
      </vt:variant>
      <vt:variant>
        <vt:lpwstr>http://www.westlaw.com/Find/Default.wl?rs=dfa1.0&amp;vr=2.0&amp;DB=708&amp;FindType=Y&amp;SerialNum=1973126457</vt:lpwstr>
      </vt:variant>
      <vt:variant>
        <vt:lpwstr/>
      </vt:variant>
      <vt:variant>
        <vt:i4>8060978</vt:i4>
      </vt:variant>
      <vt:variant>
        <vt:i4>1431</vt:i4>
      </vt:variant>
      <vt:variant>
        <vt:i4>0</vt:i4>
      </vt:variant>
      <vt:variant>
        <vt:i4>5</vt:i4>
      </vt:variant>
      <vt:variant>
        <vt:lpwstr>http://www.westlaw.com/Find/Default.wl?rs=dfa1.0&amp;vr=2.0&amp;DB=708&amp;FindType=Y&amp;SerialNum=1977118764</vt:lpwstr>
      </vt:variant>
      <vt:variant>
        <vt:lpwstr/>
      </vt:variant>
      <vt:variant>
        <vt:i4>8060978</vt:i4>
      </vt:variant>
      <vt:variant>
        <vt:i4>1428</vt:i4>
      </vt:variant>
      <vt:variant>
        <vt:i4>0</vt:i4>
      </vt:variant>
      <vt:variant>
        <vt:i4>5</vt:i4>
      </vt:variant>
      <vt:variant>
        <vt:lpwstr>http://www.westlaw.com/Find/Default.wl?rs=dfa1.0&amp;vr=2.0&amp;DB=708&amp;FindType=Y&amp;SerialNum=1977118764</vt:lpwstr>
      </vt:variant>
      <vt:variant>
        <vt:lpwstr/>
      </vt:variant>
      <vt:variant>
        <vt:i4>2228349</vt:i4>
      </vt:variant>
      <vt:variant>
        <vt:i4>1425</vt:i4>
      </vt:variant>
      <vt:variant>
        <vt:i4>0</vt:i4>
      </vt:variant>
      <vt:variant>
        <vt:i4>5</vt:i4>
      </vt:variant>
      <vt:variant>
        <vt:lpwstr>http://www.westlaw.com/Find/Default.wl?rs=dfa1.0&amp;vr=2.0&amp;DB=1000546&amp;DocName=18USCAS2252A&amp;FindType=L&amp;ReferencePositionType=T&amp;ReferencePosition=SP_3fed000053a85</vt:lpwstr>
      </vt:variant>
      <vt:variant>
        <vt:lpwstr/>
      </vt:variant>
      <vt:variant>
        <vt:i4>8192059</vt:i4>
      </vt:variant>
      <vt:variant>
        <vt:i4>1422</vt:i4>
      </vt:variant>
      <vt:variant>
        <vt:i4>0</vt:i4>
      </vt:variant>
      <vt:variant>
        <vt:i4>5</vt:i4>
      </vt:variant>
      <vt:variant>
        <vt:lpwstr>http://www.westlaw.com/Find/Default.wl?rs=dfa1.0&amp;vr=2.0&amp;DB=708&amp;FindType=Y&amp;SerialNum=1990086713</vt:lpwstr>
      </vt:variant>
      <vt:variant>
        <vt:lpwstr/>
      </vt:variant>
      <vt:variant>
        <vt:i4>8192059</vt:i4>
      </vt:variant>
      <vt:variant>
        <vt:i4>1419</vt:i4>
      </vt:variant>
      <vt:variant>
        <vt:i4>0</vt:i4>
      </vt:variant>
      <vt:variant>
        <vt:i4>5</vt:i4>
      </vt:variant>
      <vt:variant>
        <vt:lpwstr>http://www.westlaw.com/Find/Default.wl?rs=dfa1.0&amp;vr=2.0&amp;DB=708&amp;FindType=Y&amp;SerialNum=1990086713</vt:lpwstr>
      </vt:variant>
      <vt:variant>
        <vt:lpwstr/>
      </vt:variant>
      <vt:variant>
        <vt:i4>8126515</vt:i4>
      </vt:variant>
      <vt:variant>
        <vt:i4>1416</vt:i4>
      </vt:variant>
      <vt:variant>
        <vt:i4>0</vt:i4>
      </vt:variant>
      <vt:variant>
        <vt:i4>5</vt:i4>
      </vt:variant>
      <vt:variant>
        <vt:lpwstr>http://www.westlaw.com/Find/Default.wl?rs=dfa1.0&amp;vr=2.0&amp;DB=708&amp;FindType=Y&amp;SerialNum=1995137604</vt:lpwstr>
      </vt:variant>
      <vt:variant>
        <vt:lpwstr/>
      </vt:variant>
      <vt:variant>
        <vt:i4>8126515</vt:i4>
      </vt:variant>
      <vt:variant>
        <vt:i4>1413</vt:i4>
      </vt:variant>
      <vt:variant>
        <vt:i4>0</vt:i4>
      </vt:variant>
      <vt:variant>
        <vt:i4>5</vt:i4>
      </vt:variant>
      <vt:variant>
        <vt:lpwstr>http://www.westlaw.com/Find/Default.wl?rs=dfa1.0&amp;vr=2.0&amp;DB=708&amp;FindType=Y&amp;SerialNum=1995137604</vt:lpwstr>
      </vt:variant>
      <vt:variant>
        <vt:lpwstr/>
      </vt:variant>
      <vt:variant>
        <vt:i4>4915244</vt:i4>
      </vt:variant>
      <vt:variant>
        <vt:i4>1410</vt:i4>
      </vt:variant>
      <vt:variant>
        <vt:i4>0</vt:i4>
      </vt:variant>
      <vt:variant>
        <vt:i4>5</vt:i4>
      </vt:variant>
      <vt:variant>
        <vt:lpwstr/>
      </vt:variant>
      <vt:variant>
        <vt:lpwstr>Document1zzF32002243889</vt:lpwstr>
      </vt:variant>
      <vt:variant>
        <vt:i4>7602235</vt:i4>
      </vt:variant>
      <vt:variant>
        <vt:i4>1407</vt:i4>
      </vt:variant>
      <vt:variant>
        <vt:i4>0</vt:i4>
      </vt:variant>
      <vt:variant>
        <vt:i4>5</vt:i4>
      </vt:variant>
      <vt:variant>
        <vt:lpwstr>http://www.westlaw.com/Find/Default.wl?rs=dfa1.0&amp;vr=2.0&amp;DB=708&amp;FindType=Y&amp;SerialNum=2000626641</vt:lpwstr>
      </vt:variant>
      <vt:variant>
        <vt:lpwstr/>
      </vt:variant>
      <vt:variant>
        <vt:i4>7536698</vt:i4>
      </vt:variant>
      <vt:variant>
        <vt:i4>1404</vt:i4>
      </vt:variant>
      <vt:variant>
        <vt:i4>0</vt:i4>
      </vt:variant>
      <vt:variant>
        <vt:i4>5</vt:i4>
      </vt:variant>
      <vt:variant>
        <vt:lpwstr>http://www.westlaw.com/Find/Default.wl?rs=dfa1.0&amp;vr=2.0&amp;DB=708&amp;FindType=Y&amp;SerialNum=1999140888</vt:lpwstr>
      </vt:variant>
      <vt:variant>
        <vt:lpwstr/>
      </vt:variant>
      <vt:variant>
        <vt:i4>8323135</vt:i4>
      </vt:variant>
      <vt:variant>
        <vt:i4>1401</vt:i4>
      </vt:variant>
      <vt:variant>
        <vt:i4>0</vt:i4>
      </vt:variant>
      <vt:variant>
        <vt:i4>5</vt:i4>
      </vt:variant>
      <vt:variant>
        <vt:lpwstr>http://www.westlaw.com/Find/Default.wl?rs=dfa1.0&amp;vr=2.0&amp;DB=506&amp;FindType=Y&amp;SerialNum=1999044811</vt:lpwstr>
      </vt:variant>
      <vt:variant>
        <vt:lpwstr/>
      </vt:variant>
      <vt:variant>
        <vt:i4>8323135</vt:i4>
      </vt:variant>
      <vt:variant>
        <vt:i4>1398</vt:i4>
      </vt:variant>
      <vt:variant>
        <vt:i4>0</vt:i4>
      </vt:variant>
      <vt:variant>
        <vt:i4>5</vt:i4>
      </vt:variant>
      <vt:variant>
        <vt:lpwstr>http://www.westlaw.com/Find/Default.wl?rs=dfa1.0&amp;vr=2.0&amp;DB=506&amp;FindType=Y&amp;SerialNum=1999044811</vt:lpwstr>
      </vt:variant>
      <vt:variant>
        <vt:lpwstr/>
      </vt:variant>
      <vt:variant>
        <vt:i4>7340082</vt:i4>
      </vt:variant>
      <vt:variant>
        <vt:i4>1395</vt:i4>
      </vt:variant>
      <vt:variant>
        <vt:i4>0</vt:i4>
      </vt:variant>
      <vt:variant>
        <vt:i4>5</vt:i4>
      </vt:variant>
      <vt:variant>
        <vt:lpwstr>http://www.westlaw.com/Find/Default.wl?rs=dfa1.0&amp;vr=2.0&amp;DB=506&amp;FindType=Y&amp;SerialNum=1999251693</vt:lpwstr>
      </vt:variant>
      <vt:variant>
        <vt:lpwstr/>
      </vt:variant>
      <vt:variant>
        <vt:i4>7340082</vt:i4>
      </vt:variant>
      <vt:variant>
        <vt:i4>1392</vt:i4>
      </vt:variant>
      <vt:variant>
        <vt:i4>0</vt:i4>
      </vt:variant>
      <vt:variant>
        <vt:i4>5</vt:i4>
      </vt:variant>
      <vt:variant>
        <vt:lpwstr>http://www.westlaw.com/Find/Default.wl?rs=dfa1.0&amp;vr=2.0&amp;DB=506&amp;FindType=Y&amp;SerialNum=1999251693</vt:lpwstr>
      </vt:variant>
      <vt:variant>
        <vt:lpwstr/>
      </vt:variant>
      <vt:variant>
        <vt:i4>7536691</vt:i4>
      </vt:variant>
      <vt:variant>
        <vt:i4>1389</vt:i4>
      </vt:variant>
      <vt:variant>
        <vt:i4>0</vt:i4>
      </vt:variant>
      <vt:variant>
        <vt:i4>5</vt:i4>
      </vt:variant>
      <vt:variant>
        <vt:lpwstr>http://www.westlaw.com/Find/Default.wl?rs=dfa1.0&amp;vr=2.0&amp;DB=506&amp;FindType=Y&amp;SerialNum=2000596800</vt:lpwstr>
      </vt:variant>
      <vt:variant>
        <vt:lpwstr/>
      </vt:variant>
      <vt:variant>
        <vt:i4>7536691</vt:i4>
      </vt:variant>
      <vt:variant>
        <vt:i4>1386</vt:i4>
      </vt:variant>
      <vt:variant>
        <vt:i4>0</vt:i4>
      </vt:variant>
      <vt:variant>
        <vt:i4>5</vt:i4>
      </vt:variant>
      <vt:variant>
        <vt:lpwstr>http://www.westlaw.com/Find/Default.wl?rs=dfa1.0&amp;vr=2.0&amp;DB=506&amp;FindType=Y&amp;SerialNum=2000596800</vt:lpwstr>
      </vt:variant>
      <vt:variant>
        <vt:lpwstr/>
      </vt:variant>
      <vt:variant>
        <vt:i4>7536690</vt:i4>
      </vt:variant>
      <vt:variant>
        <vt:i4>1383</vt:i4>
      </vt:variant>
      <vt:variant>
        <vt:i4>0</vt:i4>
      </vt:variant>
      <vt:variant>
        <vt:i4>5</vt:i4>
      </vt:variant>
      <vt:variant>
        <vt:lpwstr>http://www.westlaw.com/Find/Default.wl?rs=dfa1.0&amp;vr=2.0&amp;DB=506&amp;FindType=Y&amp;SerialNum=2001307677</vt:lpwstr>
      </vt:variant>
      <vt:variant>
        <vt:lpwstr/>
      </vt:variant>
      <vt:variant>
        <vt:i4>7536690</vt:i4>
      </vt:variant>
      <vt:variant>
        <vt:i4>1380</vt:i4>
      </vt:variant>
      <vt:variant>
        <vt:i4>0</vt:i4>
      </vt:variant>
      <vt:variant>
        <vt:i4>5</vt:i4>
      </vt:variant>
      <vt:variant>
        <vt:lpwstr>http://www.westlaw.com/Find/Default.wl?rs=dfa1.0&amp;vr=2.0&amp;DB=506&amp;FindType=Y&amp;SerialNum=2001307677</vt:lpwstr>
      </vt:variant>
      <vt:variant>
        <vt:lpwstr/>
      </vt:variant>
      <vt:variant>
        <vt:i4>8126524</vt:i4>
      </vt:variant>
      <vt:variant>
        <vt:i4>1377</vt:i4>
      </vt:variant>
      <vt:variant>
        <vt:i4>0</vt:i4>
      </vt:variant>
      <vt:variant>
        <vt:i4>5</vt:i4>
      </vt:variant>
      <vt:variant>
        <vt:lpwstr>http://www.westlaw.com/Find/Default.wl?rs=dfa1.0&amp;vr=2.0&amp;DB=506&amp;FindType=Y&amp;SerialNum=2000448802</vt:lpwstr>
      </vt:variant>
      <vt:variant>
        <vt:lpwstr/>
      </vt:variant>
      <vt:variant>
        <vt:i4>8126551</vt:i4>
      </vt:variant>
      <vt:variant>
        <vt:i4>1374</vt:i4>
      </vt:variant>
      <vt:variant>
        <vt:i4>0</vt:i4>
      </vt:variant>
      <vt:variant>
        <vt:i4>5</vt:i4>
      </vt:variant>
      <vt:variant>
        <vt:lpwstr>http://www.westlaw.com/Find/Default.wl?rs=dfa1.0&amp;vr=2.0&amp;DB=506&amp;FindType=Y&amp;ReferencePositionType=S&amp;SerialNum=1999277225&amp;ReferencePosition=1097</vt:lpwstr>
      </vt:variant>
      <vt:variant>
        <vt:lpwstr/>
      </vt:variant>
      <vt:variant>
        <vt:i4>8060977</vt:i4>
      </vt:variant>
      <vt:variant>
        <vt:i4>1371</vt:i4>
      </vt:variant>
      <vt:variant>
        <vt:i4>0</vt:i4>
      </vt:variant>
      <vt:variant>
        <vt:i4>5</vt:i4>
      </vt:variant>
      <vt:variant>
        <vt:lpwstr>http://www.westlaw.com/Find/Default.wl?rs=dfa1.0&amp;vr=2.0&amp;DB=708&amp;FindType=Y&amp;SerialNum=1982130116</vt:lpwstr>
      </vt:variant>
      <vt:variant>
        <vt:lpwstr/>
      </vt:variant>
      <vt:variant>
        <vt:i4>8060977</vt:i4>
      </vt:variant>
      <vt:variant>
        <vt:i4>1368</vt:i4>
      </vt:variant>
      <vt:variant>
        <vt:i4>0</vt:i4>
      </vt:variant>
      <vt:variant>
        <vt:i4>5</vt:i4>
      </vt:variant>
      <vt:variant>
        <vt:lpwstr>http://www.westlaw.com/Find/Default.wl?rs=dfa1.0&amp;vr=2.0&amp;DB=708&amp;FindType=Y&amp;SerialNum=1982130116</vt:lpwstr>
      </vt:variant>
      <vt:variant>
        <vt:lpwstr/>
      </vt:variant>
      <vt:variant>
        <vt:i4>8192050</vt:i4>
      </vt:variant>
      <vt:variant>
        <vt:i4>1365</vt:i4>
      </vt:variant>
      <vt:variant>
        <vt:i4>0</vt:i4>
      </vt:variant>
      <vt:variant>
        <vt:i4>5</vt:i4>
      </vt:variant>
      <vt:variant>
        <vt:lpwstr>http://www.westlaw.com/Find/Default.wl?rs=dfa1.0&amp;vr=2.0&amp;DB=506&amp;FindType=Y&amp;SerialNum=1999277225</vt:lpwstr>
      </vt:variant>
      <vt:variant>
        <vt:lpwstr/>
      </vt:variant>
      <vt:variant>
        <vt:i4>7667769</vt:i4>
      </vt:variant>
      <vt:variant>
        <vt:i4>1362</vt:i4>
      </vt:variant>
      <vt:variant>
        <vt:i4>0</vt:i4>
      </vt:variant>
      <vt:variant>
        <vt:i4>5</vt:i4>
      </vt:variant>
      <vt:variant>
        <vt:lpwstr>http://www.westlaw.com/Find/Default.wl?rs=dfa1.0&amp;vr=2.0&amp;DB=0001503&amp;FindType=Y&amp;SerialNum=0106690404</vt:lpwstr>
      </vt:variant>
      <vt:variant>
        <vt:lpwstr/>
      </vt:variant>
      <vt:variant>
        <vt:i4>2752576</vt:i4>
      </vt:variant>
      <vt:variant>
        <vt:i4>1359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2752576</vt:i4>
      </vt:variant>
      <vt:variant>
        <vt:i4>1356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393326</vt:i4>
      </vt:variant>
      <vt:variant>
        <vt:i4>1353</vt:i4>
      </vt:variant>
      <vt:variant>
        <vt:i4>0</vt:i4>
      </vt:variant>
      <vt:variant>
        <vt:i4>5</vt:i4>
      </vt:variant>
      <vt:variant>
        <vt:lpwstr>http://www.westlaw.com/Find/Default.wl?rs=dfa1.0&amp;vr=2.0&amp;FindType=Y&amp;SerialNum=1982130116</vt:lpwstr>
      </vt:variant>
      <vt:variant>
        <vt:lpwstr/>
      </vt:variant>
      <vt:variant>
        <vt:i4>7733276</vt:i4>
      </vt:variant>
      <vt:variant>
        <vt:i4>1350</vt:i4>
      </vt:variant>
      <vt:variant>
        <vt:i4>0</vt:i4>
      </vt:variant>
      <vt:variant>
        <vt:i4>5</vt:i4>
      </vt:variant>
      <vt:variant>
        <vt:lpwstr>http://www.westlaw.com/Find/Default.wl?rs=dfa1.0&amp;vr=2.0&amp;DB=1000546&amp;DocName=18USCAS2256&amp;FindType=L&amp;ReferencePositionType=T&amp;ReferencePosition=SP_306b0000f2c86</vt:lpwstr>
      </vt:variant>
      <vt:variant>
        <vt:lpwstr/>
      </vt:variant>
      <vt:variant>
        <vt:i4>6946905</vt:i4>
      </vt:variant>
      <vt:variant>
        <vt:i4>1347</vt:i4>
      </vt:variant>
      <vt:variant>
        <vt:i4>0</vt:i4>
      </vt:variant>
      <vt:variant>
        <vt:i4>5</vt:i4>
      </vt:variant>
      <vt:variant>
        <vt:lpwstr>http://www.westlaw.com/Find/Default.wl?rs=dfa1.0&amp;vr=2.0&amp;DB=1000546&amp;DocName=18USCAS2251&amp;FindType=L</vt:lpwstr>
      </vt:variant>
      <vt:variant>
        <vt:lpwstr/>
      </vt:variant>
      <vt:variant>
        <vt:i4>7340051</vt:i4>
      </vt:variant>
      <vt:variant>
        <vt:i4>1344</vt:i4>
      </vt:variant>
      <vt:variant>
        <vt:i4>0</vt:i4>
      </vt:variant>
      <vt:variant>
        <vt:i4>5</vt:i4>
      </vt:variant>
      <vt:variant>
        <vt:lpwstr>http://www.westlaw.com/Find/Default.wl?rs=dfa1.0&amp;vr=2.0&amp;DB=1000546&amp;DocName=18USCAS2256&amp;FindType=L&amp;ReferencePositionType=T&amp;ReferencePosition=SP_58730000872b1</vt:lpwstr>
      </vt:variant>
      <vt:variant>
        <vt:lpwstr/>
      </vt:variant>
      <vt:variant>
        <vt:i4>7995459</vt:i4>
      </vt:variant>
      <vt:variant>
        <vt:i4>1341</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1338</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1335</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8192023</vt:i4>
      </vt:variant>
      <vt:variant>
        <vt:i4>1332</vt:i4>
      </vt:variant>
      <vt:variant>
        <vt:i4>0</vt:i4>
      </vt:variant>
      <vt:variant>
        <vt:i4>5</vt:i4>
      </vt:variant>
      <vt:variant>
        <vt:lpwstr>http://www.westlaw.com/Find/Default.wl?rs=dfa1.0&amp;vr=2.0&amp;DB=1000546&amp;DocName=18USCAS2256&amp;FindType=L&amp;ReferencePositionType=T&amp;ReferencePosition=SP_767000000c964</vt:lpwstr>
      </vt:variant>
      <vt:variant>
        <vt:lpwstr/>
      </vt:variant>
      <vt:variant>
        <vt:i4>6946906</vt:i4>
      </vt:variant>
      <vt:variant>
        <vt:i4>1329</vt:i4>
      </vt:variant>
      <vt:variant>
        <vt:i4>0</vt:i4>
      </vt:variant>
      <vt:variant>
        <vt:i4>5</vt:i4>
      </vt:variant>
      <vt:variant>
        <vt:lpwstr>http://www.westlaw.com/Find/Default.wl?rs=dfa1.0&amp;vr=2.0&amp;DB=1000546&amp;DocName=18USCAS2252&amp;FindType=L</vt:lpwstr>
      </vt:variant>
      <vt:variant>
        <vt:lpwstr/>
      </vt:variant>
      <vt:variant>
        <vt:i4>393326</vt:i4>
      </vt:variant>
      <vt:variant>
        <vt:i4>1326</vt:i4>
      </vt:variant>
      <vt:variant>
        <vt:i4>0</vt:i4>
      </vt:variant>
      <vt:variant>
        <vt:i4>5</vt:i4>
      </vt:variant>
      <vt:variant>
        <vt:lpwstr>http://www.westlaw.com/Find/Default.wl?rs=dfa1.0&amp;vr=2.0&amp;FindType=Y&amp;SerialNum=1982130116</vt:lpwstr>
      </vt:variant>
      <vt:variant>
        <vt:lpwstr/>
      </vt:variant>
      <vt:variant>
        <vt:i4>393326</vt:i4>
      </vt:variant>
      <vt:variant>
        <vt:i4>1323</vt:i4>
      </vt:variant>
      <vt:variant>
        <vt:i4>0</vt:i4>
      </vt:variant>
      <vt:variant>
        <vt:i4>5</vt:i4>
      </vt:variant>
      <vt:variant>
        <vt:lpwstr>http://www.westlaw.com/Find/Default.wl?rs=dfa1.0&amp;vr=2.0&amp;FindType=Y&amp;SerialNum=1982130116</vt:lpwstr>
      </vt:variant>
      <vt:variant>
        <vt:lpwstr/>
      </vt:variant>
      <vt:variant>
        <vt:i4>786533</vt:i4>
      </vt:variant>
      <vt:variant>
        <vt:i4>1320</vt:i4>
      </vt:variant>
      <vt:variant>
        <vt:i4>0</vt:i4>
      </vt:variant>
      <vt:variant>
        <vt:i4>5</vt:i4>
      </vt:variant>
      <vt:variant>
        <vt:lpwstr>http://www.westlaw.com/Find/Default.wl?rs=dfa1.0&amp;vr=2.0&amp;FindType=Y&amp;SerialNum=1973126439</vt:lpwstr>
      </vt:variant>
      <vt:variant>
        <vt:lpwstr/>
      </vt:variant>
      <vt:variant>
        <vt:i4>786533</vt:i4>
      </vt:variant>
      <vt:variant>
        <vt:i4>1317</vt:i4>
      </vt:variant>
      <vt:variant>
        <vt:i4>0</vt:i4>
      </vt:variant>
      <vt:variant>
        <vt:i4>5</vt:i4>
      </vt:variant>
      <vt:variant>
        <vt:lpwstr>http://www.westlaw.com/Find/Default.wl?rs=dfa1.0&amp;vr=2.0&amp;FindType=Y&amp;SerialNum=1973126439</vt:lpwstr>
      </vt:variant>
      <vt:variant>
        <vt:lpwstr/>
      </vt:variant>
      <vt:variant>
        <vt:i4>393326</vt:i4>
      </vt:variant>
      <vt:variant>
        <vt:i4>1314</vt:i4>
      </vt:variant>
      <vt:variant>
        <vt:i4>0</vt:i4>
      </vt:variant>
      <vt:variant>
        <vt:i4>5</vt:i4>
      </vt:variant>
      <vt:variant>
        <vt:lpwstr>http://www.westlaw.com/Find/Default.wl?rs=dfa1.0&amp;vr=2.0&amp;FindType=Y&amp;SerialNum=1982130116</vt:lpwstr>
      </vt:variant>
      <vt:variant>
        <vt:lpwstr/>
      </vt:variant>
      <vt:variant>
        <vt:i4>6946904</vt:i4>
      </vt:variant>
      <vt:variant>
        <vt:i4>1311</vt:i4>
      </vt:variant>
      <vt:variant>
        <vt:i4>0</vt:i4>
      </vt:variant>
      <vt:variant>
        <vt:i4>5</vt:i4>
      </vt:variant>
      <vt:variant>
        <vt:lpwstr>http://www.westlaw.com/Find/Default.wl?rs=dfa1.0&amp;vr=2.0&amp;DB=1000546&amp;DocName=18USCAS1466&amp;FindType=L</vt:lpwstr>
      </vt:variant>
      <vt:variant>
        <vt:lpwstr/>
      </vt:variant>
      <vt:variant>
        <vt:i4>6946910</vt:i4>
      </vt:variant>
      <vt:variant>
        <vt:i4>1308</vt:i4>
      </vt:variant>
      <vt:variant>
        <vt:i4>0</vt:i4>
      </vt:variant>
      <vt:variant>
        <vt:i4>5</vt:i4>
      </vt:variant>
      <vt:variant>
        <vt:lpwstr>http://www.westlaw.com/Find/Default.wl?rs=dfa1.0&amp;vr=2.0&amp;DB=1000546&amp;DocName=18USCAS1460&amp;FindType=L</vt:lpwstr>
      </vt:variant>
      <vt:variant>
        <vt:lpwstr/>
      </vt:variant>
      <vt:variant>
        <vt:i4>4849708</vt:i4>
      </vt:variant>
      <vt:variant>
        <vt:i4>1305</vt:i4>
      </vt:variant>
      <vt:variant>
        <vt:i4>0</vt:i4>
      </vt:variant>
      <vt:variant>
        <vt:i4>5</vt:i4>
      </vt:variant>
      <vt:variant>
        <vt:lpwstr/>
      </vt:variant>
      <vt:variant>
        <vt:lpwstr>Document1zzF22002243889</vt:lpwstr>
      </vt:variant>
      <vt:variant>
        <vt:i4>8060977</vt:i4>
      </vt:variant>
      <vt:variant>
        <vt:i4>1302</vt:i4>
      </vt:variant>
      <vt:variant>
        <vt:i4>0</vt:i4>
      </vt:variant>
      <vt:variant>
        <vt:i4>5</vt:i4>
      </vt:variant>
      <vt:variant>
        <vt:lpwstr>http://www.westlaw.com/Find/Default.wl?rs=dfa1.0&amp;vr=2.0&amp;DB=708&amp;FindType=Y&amp;SerialNum=1982130116</vt:lpwstr>
      </vt:variant>
      <vt:variant>
        <vt:lpwstr/>
      </vt:variant>
      <vt:variant>
        <vt:i4>786533</vt:i4>
      </vt:variant>
      <vt:variant>
        <vt:i4>1299</vt:i4>
      </vt:variant>
      <vt:variant>
        <vt:i4>0</vt:i4>
      </vt:variant>
      <vt:variant>
        <vt:i4>5</vt:i4>
      </vt:variant>
      <vt:variant>
        <vt:lpwstr>http://www.westlaw.com/Find/Default.wl?rs=dfa1.0&amp;vr=2.0&amp;FindType=Y&amp;SerialNum=1973126439</vt:lpwstr>
      </vt:variant>
      <vt:variant>
        <vt:lpwstr/>
      </vt:variant>
      <vt:variant>
        <vt:i4>393326</vt:i4>
      </vt:variant>
      <vt:variant>
        <vt:i4>1296</vt:i4>
      </vt:variant>
      <vt:variant>
        <vt:i4>0</vt:i4>
      </vt:variant>
      <vt:variant>
        <vt:i4>5</vt:i4>
      </vt:variant>
      <vt:variant>
        <vt:lpwstr>http://www.westlaw.com/Find/Default.wl?rs=dfa1.0&amp;vr=2.0&amp;FindType=Y&amp;SerialNum=1982130116</vt:lpwstr>
      </vt:variant>
      <vt:variant>
        <vt:lpwstr/>
      </vt:variant>
      <vt:variant>
        <vt:i4>7340091</vt:i4>
      </vt:variant>
      <vt:variant>
        <vt:i4>1293</vt:i4>
      </vt:variant>
      <vt:variant>
        <vt:i4>0</vt:i4>
      </vt:variant>
      <vt:variant>
        <vt:i4>5</vt:i4>
      </vt:variant>
      <vt:variant>
        <vt:lpwstr>http://www.westlaw.com/Find/Default.wl?rs=dfa1.0&amp;vr=2.0&amp;DB=708&amp;FindType=Y&amp;SerialNum=1973126439</vt:lpwstr>
      </vt:variant>
      <vt:variant>
        <vt:lpwstr/>
      </vt:variant>
      <vt:variant>
        <vt:i4>7340091</vt:i4>
      </vt:variant>
      <vt:variant>
        <vt:i4>1290</vt:i4>
      </vt:variant>
      <vt:variant>
        <vt:i4>0</vt:i4>
      </vt:variant>
      <vt:variant>
        <vt:i4>5</vt:i4>
      </vt:variant>
      <vt:variant>
        <vt:lpwstr>http://www.westlaw.com/Find/Default.wl?rs=dfa1.0&amp;vr=2.0&amp;DB=708&amp;FindType=Y&amp;SerialNum=1973126439</vt:lpwstr>
      </vt:variant>
      <vt:variant>
        <vt:lpwstr/>
      </vt:variant>
      <vt:variant>
        <vt:i4>393326</vt:i4>
      </vt:variant>
      <vt:variant>
        <vt:i4>1287</vt:i4>
      </vt:variant>
      <vt:variant>
        <vt:i4>0</vt:i4>
      </vt:variant>
      <vt:variant>
        <vt:i4>5</vt:i4>
      </vt:variant>
      <vt:variant>
        <vt:lpwstr>http://www.westlaw.com/Find/Default.wl?rs=dfa1.0&amp;vr=2.0&amp;FindType=Y&amp;SerialNum=1982130116</vt:lpwstr>
      </vt:variant>
      <vt:variant>
        <vt:lpwstr/>
      </vt:variant>
      <vt:variant>
        <vt:i4>8060977</vt:i4>
      </vt:variant>
      <vt:variant>
        <vt:i4>1284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1281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1278</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1275</vt:i4>
      </vt:variant>
      <vt:variant>
        <vt:i4>0</vt:i4>
      </vt:variant>
      <vt:variant>
        <vt:i4>5</vt:i4>
      </vt:variant>
      <vt:variant>
        <vt:lpwstr>http://www.westlaw.com/Find/Default.wl?rs=dfa1.0&amp;vr=2.0&amp;DB=708&amp;FindType=Y&amp;SerialNum=1982130116</vt:lpwstr>
      </vt:variant>
      <vt:variant>
        <vt:lpwstr/>
      </vt:variant>
      <vt:variant>
        <vt:i4>4784172</vt:i4>
      </vt:variant>
      <vt:variant>
        <vt:i4>1272</vt:i4>
      </vt:variant>
      <vt:variant>
        <vt:i4>0</vt:i4>
      </vt:variant>
      <vt:variant>
        <vt:i4>5</vt:i4>
      </vt:variant>
      <vt:variant>
        <vt:lpwstr/>
      </vt:variant>
      <vt:variant>
        <vt:lpwstr>Document1zzF12002243889</vt:lpwstr>
      </vt:variant>
      <vt:variant>
        <vt:i4>6946905</vt:i4>
      </vt:variant>
      <vt:variant>
        <vt:i4>1269</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1266</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1263</vt:i4>
      </vt:variant>
      <vt:variant>
        <vt:i4>0</vt:i4>
      </vt:variant>
      <vt:variant>
        <vt:i4>5</vt:i4>
      </vt:variant>
      <vt:variant>
        <vt:lpwstr>http://www.westlaw.com/Find/Default.wl?rs=dfa1.0&amp;vr=2.0&amp;DB=1000546&amp;DocName=18USCAS2251&amp;FindType=L</vt:lpwstr>
      </vt:variant>
      <vt:variant>
        <vt:lpwstr/>
      </vt:variant>
      <vt:variant>
        <vt:i4>2752536</vt:i4>
      </vt:variant>
      <vt:variant>
        <vt:i4>1260</vt:i4>
      </vt:variant>
      <vt:variant>
        <vt:i4>0</vt:i4>
      </vt:variant>
      <vt:variant>
        <vt:i4>5</vt:i4>
      </vt:variant>
      <vt:variant>
        <vt:lpwstr>http://www.westlaw.com/Find/Default.wl?rs=dfa1.0&amp;vr=2.0&amp;DB=PROFILER-WLD&amp;DocName=0243105201&amp;FindType=h</vt:lpwstr>
      </vt:variant>
      <vt:variant>
        <vt:lpwstr/>
      </vt:variant>
      <vt:variant>
        <vt:i4>4391022</vt:i4>
      </vt:variant>
      <vt:variant>
        <vt:i4>1257</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1254</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1251</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6094971</vt:i4>
      </vt:variant>
      <vt:variant>
        <vt:i4>1248</vt:i4>
      </vt:variant>
      <vt:variant>
        <vt:i4>0</vt:i4>
      </vt:variant>
      <vt:variant>
        <vt:i4>5</vt:i4>
      </vt:variant>
      <vt:variant>
        <vt:lpwstr>http://www.westlaw.com/Find/Default.wl?rs=dfa1.0&amp;vr=2.0&amp;DB=1000204&amp;DocName=CACRS9142&amp;FindType=L</vt:lpwstr>
      </vt:variant>
      <vt:variant>
        <vt:lpwstr/>
      </vt:variant>
      <vt:variant>
        <vt:i4>3801121</vt:i4>
      </vt:variant>
      <vt:variant>
        <vt:i4>1245</vt:i4>
      </vt:variant>
      <vt:variant>
        <vt:i4>0</vt:i4>
      </vt:variant>
      <vt:variant>
        <vt:i4>5</vt:i4>
      </vt:variant>
      <vt:variant>
        <vt:lpwstr>http://www.westlaw.com/Find/Default.wl?rs=dfa1.0&amp;vr=2.0&amp;DB=1000207&amp;DocName=CAEVS662&amp;FindType=L</vt:lpwstr>
      </vt:variant>
      <vt:variant>
        <vt:lpwstr/>
      </vt:variant>
      <vt:variant>
        <vt:i4>7798843</vt:i4>
      </vt:variant>
      <vt:variant>
        <vt:i4>1242</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1239</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1236</vt:i4>
      </vt:variant>
      <vt:variant>
        <vt:i4>0</vt:i4>
      </vt:variant>
      <vt:variant>
        <vt:i4>5</vt:i4>
      </vt:variant>
      <vt:variant>
        <vt:lpwstr>http://www.westlaw.com/Find/Default.wl?rs=dfa1.0&amp;vr=2.0&amp;DB=708&amp;FindType=Y&amp;SerialNum=1979135177</vt:lpwstr>
      </vt:variant>
      <vt:variant>
        <vt:lpwstr/>
      </vt:variant>
      <vt:variant>
        <vt:i4>6029344</vt:i4>
      </vt:variant>
      <vt:variant>
        <vt:i4>1233</vt:i4>
      </vt:variant>
      <vt:variant>
        <vt:i4>0</vt:i4>
      </vt:variant>
      <vt:variant>
        <vt:i4>5</vt:i4>
      </vt:variant>
      <vt:variant>
        <vt:lpwstr>http://www.westlaw.com/Find/Default.wl?rs=dfa1.0&amp;vr=2.0&amp;DB=4645&amp;FindType=Y&amp;SerialNum=2004170905</vt:lpwstr>
      </vt:variant>
      <vt:variant>
        <vt:lpwstr/>
      </vt:variant>
      <vt:variant>
        <vt:i4>6029344</vt:i4>
      </vt:variant>
      <vt:variant>
        <vt:i4>1230</vt:i4>
      </vt:variant>
      <vt:variant>
        <vt:i4>0</vt:i4>
      </vt:variant>
      <vt:variant>
        <vt:i4>5</vt:i4>
      </vt:variant>
      <vt:variant>
        <vt:lpwstr>http://www.westlaw.com/Find/Default.wl?rs=dfa1.0&amp;vr=2.0&amp;DB=4645&amp;FindType=Y&amp;SerialNum=2004170905</vt:lpwstr>
      </vt:variant>
      <vt:variant>
        <vt:lpwstr/>
      </vt:variant>
      <vt:variant>
        <vt:i4>7798843</vt:i4>
      </vt:variant>
      <vt:variant>
        <vt:i4>1227</vt:i4>
      </vt:variant>
      <vt:variant>
        <vt:i4>0</vt:i4>
      </vt:variant>
      <vt:variant>
        <vt:i4>5</vt:i4>
      </vt:variant>
      <vt:variant>
        <vt:lpwstr>http://www.westlaw.com/Find/Default.wl?rs=dfa1.0&amp;vr=2.0&amp;DB=708&amp;FindType=Y&amp;SerialNum=1979135177</vt:lpwstr>
      </vt:variant>
      <vt:variant>
        <vt:lpwstr/>
      </vt:variant>
      <vt:variant>
        <vt:i4>7798843</vt:i4>
      </vt:variant>
      <vt:variant>
        <vt:i4>1224</vt:i4>
      </vt:variant>
      <vt:variant>
        <vt:i4>0</vt:i4>
      </vt:variant>
      <vt:variant>
        <vt:i4>5</vt:i4>
      </vt:variant>
      <vt:variant>
        <vt:lpwstr>http://www.westlaw.com/Find/Default.wl?rs=dfa1.0&amp;vr=2.0&amp;DB=708&amp;FindType=Y&amp;SerialNum=1979135177</vt:lpwstr>
      </vt:variant>
      <vt:variant>
        <vt:lpwstr/>
      </vt:variant>
      <vt:variant>
        <vt:i4>6094971</vt:i4>
      </vt:variant>
      <vt:variant>
        <vt:i4>1221</vt:i4>
      </vt:variant>
      <vt:variant>
        <vt:i4>0</vt:i4>
      </vt:variant>
      <vt:variant>
        <vt:i4>5</vt:i4>
      </vt:variant>
      <vt:variant>
        <vt:lpwstr>http://www.westlaw.com/Find/Default.wl?rs=dfa1.0&amp;vr=2.0&amp;DB=1000204&amp;DocName=CACRS9142&amp;FindType=L</vt:lpwstr>
      </vt:variant>
      <vt:variant>
        <vt:lpwstr/>
      </vt:variant>
      <vt:variant>
        <vt:i4>6094971</vt:i4>
      </vt:variant>
      <vt:variant>
        <vt:i4>1218</vt:i4>
      </vt:variant>
      <vt:variant>
        <vt:i4>0</vt:i4>
      </vt:variant>
      <vt:variant>
        <vt:i4>5</vt:i4>
      </vt:variant>
      <vt:variant>
        <vt:lpwstr>http://www.westlaw.com/Find/Default.wl?rs=dfa1.0&amp;vr=2.0&amp;DB=1000204&amp;DocName=CACRS9142&amp;FindType=L</vt:lpwstr>
      </vt:variant>
      <vt:variant>
        <vt:lpwstr/>
      </vt:variant>
      <vt:variant>
        <vt:i4>4653073</vt:i4>
      </vt:variant>
      <vt:variant>
        <vt:i4>1215</vt:i4>
      </vt:variant>
      <vt:variant>
        <vt:i4>0</vt:i4>
      </vt:variant>
      <vt:variant>
        <vt:i4>5</vt:i4>
      </vt:variant>
      <vt:variant>
        <vt:lpwstr/>
      </vt:variant>
      <vt:variant>
        <vt:lpwstr>Document1zzF212017819485</vt:lpwstr>
      </vt:variant>
      <vt:variant>
        <vt:i4>6094971</vt:i4>
      </vt:variant>
      <vt:variant>
        <vt:i4>1212</vt:i4>
      </vt:variant>
      <vt:variant>
        <vt:i4>0</vt:i4>
      </vt:variant>
      <vt:variant>
        <vt:i4>5</vt:i4>
      </vt:variant>
      <vt:variant>
        <vt:lpwstr>http://www.westlaw.com/Find/Default.wl?rs=dfa1.0&amp;vr=2.0&amp;DB=1000204&amp;DocName=CACRS9142&amp;FindType=L</vt:lpwstr>
      </vt:variant>
      <vt:variant>
        <vt:lpwstr/>
      </vt:variant>
      <vt:variant>
        <vt:i4>5570605</vt:i4>
      </vt:variant>
      <vt:variant>
        <vt:i4>1209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1203</vt:i4>
      </vt:variant>
      <vt:variant>
        <vt:i4>0</vt:i4>
      </vt:variant>
      <vt:variant>
        <vt:i4>5</vt:i4>
      </vt:variant>
      <vt:variant>
        <vt:lpwstr>http://www.westlaw.com/Find/Default.wl?rs=dfa1.0&amp;vr=2.0&amp;DB=7047&amp;FindType=Y&amp;SerialNum=2004864838</vt:lpwstr>
      </vt:variant>
      <vt:variant>
        <vt:lpwstr/>
      </vt:variant>
      <vt:variant>
        <vt:i4>6094971</vt:i4>
      </vt:variant>
      <vt:variant>
        <vt:i4>1200</vt:i4>
      </vt:variant>
      <vt:variant>
        <vt:i4>0</vt:i4>
      </vt:variant>
      <vt:variant>
        <vt:i4>5</vt:i4>
      </vt:variant>
      <vt:variant>
        <vt:lpwstr>http://www.westlaw.com/Find/Default.wl?rs=dfa1.0&amp;vr=2.0&amp;DB=1000204&amp;DocName=CACRS9142&amp;FindType=L</vt:lpwstr>
      </vt:variant>
      <vt:variant>
        <vt:lpwstr/>
      </vt:variant>
      <vt:variant>
        <vt:i4>721002</vt:i4>
      </vt:variant>
      <vt:variant>
        <vt:i4>1197</vt:i4>
      </vt:variant>
      <vt:variant>
        <vt:i4>0</vt:i4>
      </vt:variant>
      <vt:variant>
        <vt:i4>5</vt:i4>
      </vt:variant>
      <vt:variant>
        <vt:lpwstr>http://www.westlaw.com/Find/Default.wl?rs=dfa1.0&amp;vr=2.0&amp;FindType=Y&amp;SerialNum=2004864838</vt:lpwstr>
      </vt:variant>
      <vt:variant>
        <vt:lpwstr/>
      </vt:variant>
      <vt:variant>
        <vt:i4>4653072</vt:i4>
      </vt:variant>
      <vt:variant>
        <vt:i4>1194</vt:i4>
      </vt:variant>
      <vt:variant>
        <vt:i4>0</vt:i4>
      </vt:variant>
      <vt:variant>
        <vt:i4>5</vt:i4>
      </vt:variant>
      <vt:variant>
        <vt:lpwstr/>
      </vt:variant>
      <vt:variant>
        <vt:lpwstr>Document1zzF202017819485</vt:lpwstr>
      </vt:variant>
      <vt:variant>
        <vt:i4>6094971</vt:i4>
      </vt:variant>
      <vt:variant>
        <vt:i4>1191</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1188</vt:i4>
      </vt:variant>
      <vt:variant>
        <vt:i4>0</vt:i4>
      </vt:variant>
      <vt:variant>
        <vt:i4>5</vt:i4>
      </vt:variant>
      <vt:variant>
        <vt:lpwstr>http://www.westlaw.com/Find/Default.wl?rs=dfa1.0&amp;vr=2.0&amp;FindType=Y&amp;SerialNum=2004864838</vt:lpwstr>
      </vt:variant>
      <vt:variant>
        <vt:lpwstr/>
      </vt:variant>
      <vt:variant>
        <vt:i4>6094971</vt:i4>
      </vt:variant>
      <vt:variant>
        <vt:i4>1185</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1182</vt:i4>
      </vt:variant>
      <vt:variant>
        <vt:i4>0</vt:i4>
      </vt:variant>
      <vt:variant>
        <vt:i4>5</vt:i4>
      </vt:variant>
      <vt:variant>
        <vt:lpwstr>http://www.westlaw.com/Find/Default.wl?rs=dfa1.0&amp;vr=2.0&amp;FindType=Y&amp;SerialNum=2004864838</vt:lpwstr>
      </vt:variant>
      <vt:variant>
        <vt:lpwstr/>
      </vt:variant>
      <vt:variant>
        <vt:i4>5570605</vt:i4>
      </vt:variant>
      <vt:variant>
        <vt:i4>1179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1173</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1170</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1167</vt:i4>
      </vt:variant>
      <vt:variant>
        <vt:i4>0</vt:i4>
      </vt:variant>
      <vt:variant>
        <vt:i4>5</vt:i4>
      </vt:variant>
      <vt:variant>
        <vt:lpwstr>http://www.westlaw.com/Find/Default.wl?rs=dfa1.0&amp;vr=2.0&amp;DB=7047&amp;FindType=Y&amp;SerialNum=2004864838</vt:lpwstr>
      </vt:variant>
      <vt:variant>
        <vt:lpwstr/>
      </vt:variant>
      <vt:variant>
        <vt:i4>6094971</vt:i4>
      </vt:variant>
      <vt:variant>
        <vt:i4>1164</vt:i4>
      </vt:variant>
      <vt:variant>
        <vt:i4>0</vt:i4>
      </vt:variant>
      <vt:variant>
        <vt:i4>5</vt:i4>
      </vt:variant>
      <vt:variant>
        <vt:lpwstr>http://www.westlaw.com/Find/Default.wl?rs=dfa1.0&amp;vr=2.0&amp;DB=1000204&amp;DocName=CACRS9142&amp;FindType=L</vt:lpwstr>
      </vt:variant>
      <vt:variant>
        <vt:lpwstr/>
      </vt:variant>
      <vt:variant>
        <vt:i4>721002</vt:i4>
      </vt:variant>
      <vt:variant>
        <vt:i4>1161</vt:i4>
      </vt:variant>
      <vt:variant>
        <vt:i4>0</vt:i4>
      </vt:variant>
      <vt:variant>
        <vt:i4>5</vt:i4>
      </vt:variant>
      <vt:variant>
        <vt:lpwstr>http://www.westlaw.com/Find/Default.wl?rs=dfa1.0&amp;vr=2.0&amp;FindType=Y&amp;SerialNum=2004864838</vt:lpwstr>
      </vt:variant>
      <vt:variant>
        <vt:lpwstr/>
      </vt:variant>
      <vt:variant>
        <vt:i4>721002</vt:i4>
      </vt:variant>
      <vt:variant>
        <vt:i4>1158</vt:i4>
      </vt:variant>
      <vt:variant>
        <vt:i4>0</vt:i4>
      </vt:variant>
      <vt:variant>
        <vt:i4>5</vt:i4>
      </vt:variant>
      <vt:variant>
        <vt:lpwstr>http://www.westlaw.com/Find/Default.wl?rs=dfa1.0&amp;vr=2.0&amp;FindType=Y&amp;SerialNum=2004864838</vt:lpwstr>
      </vt:variant>
      <vt:variant>
        <vt:lpwstr/>
      </vt:variant>
      <vt:variant>
        <vt:i4>721002</vt:i4>
      </vt:variant>
      <vt:variant>
        <vt:i4>1155</vt:i4>
      </vt:variant>
      <vt:variant>
        <vt:i4>0</vt:i4>
      </vt:variant>
      <vt:variant>
        <vt:i4>5</vt:i4>
      </vt:variant>
      <vt:variant>
        <vt:lpwstr>http://www.westlaw.com/Find/Default.wl?rs=dfa1.0&amp;vr=2.0&amp;FindType=Y&amp;SerialNum=2004864838</vt:lpwstr>
      </vt:variant>
      <vt:variant>
        <vt:lpwstr/>
      </vt:variant>
      <vt:variant>
        <vt:i4>5570605</vt:i4>
      </vt:variant>
      <vt:variant>
        <vt:i4>1152</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1149</vt:i4>
      </vt:variant>
      <vt:variant>
        <vt:i4>0</vt:i4>
      </vt:variant>
      <vt:variant>
        <vt:i4>5</vt:i4>
      </vt:variant>
      <vt:variant>
        <vt:lpwstr>http://www.westlaw.com/Find/Default.wl?rs=dfa1.0&amp;vr=2.0&amp;DB=7047&amp;FindType=Y&amp;SerialNum=2004864838</vt:lpwstr>
      </vt:variant>
      <vt:variant>
        <vt:lpwstr/>
      </vt:variant>
      <vt:variant>
        <vt:i4>4849750</vt:i4>
      </vt:variant>
      <vt:variant>
        <vt:i4>1146</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4849750</vt:i4>
      </vt:variant>
      <vt:variant>
        <vt:i4>1143</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4522078</vt:i4>
      </vt:variant>
      <vt:variant>
        <vt:i4>1140</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4522078</vt:i4>
      </vt:variant>
      <vt:variant>
        <vt:i4>1137</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65635</vt:i4>
      </vt:variant>
      <vt:variant>
        <vt:i4>1134</vt:i4>
      </vt:variant>
      <vt:variant>
        <vt:i4>0</vt:i4>
      </vt:variant>
      <vt:variant>
        <vt:i4>5</vt:i4>
      </vt:variant>
      <vt:variant>
        <vt:lpwstr>http://www.westlaw.com/Find/Default.wl?rs=dfa1.0&amp;vr=2.0&amp;FindType=Y&amp;SerialNum=1981105999</vt:lpwstr>
      </vt:variant>
      <vt:variant>
        <vt:lpwstr/>
      </vt:variant>
      <vt:variant>
        <vt:i4>65635</vt:i4>
      </vt:variant>
      <vt:variant>
        <vt:i4>1131</vt:i4>
      </vt:variant>
      <vt:variant>
        <vt:i4>0</vt:i4>
      </vt:variant>
      <vt:variant>
        <vt:i4>5</vt:i4>
      </vt:variant>
      <vt:variant>
        <vt:lpwstr>http://www.westlaw.com/Find/Default.wl?rs=dfa1.0&amp;vr=2.0&amp;FindType=Y&amp;SerialNum=1981105999</vt:lpwstr>
      </vt:variant>
      <vt:variant>
        <vt:lpwstr/>
      </vt:variant>
      <vt:variant>
        <vt:i4>8061012</vt:i4>
      </vt:variant>
      <vt:variant>
        <vt:i4>1128</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8061012</vt:i4>
      </vt:variant>
      <vt:variant>
        <vt:i4>1125</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65635</vt:i4>
      </vt:variant>
      <vt:variant>
        <vt:i4>1122</vt:i4>
      </vt:variant>
      <vt:variant>
        <vt:i4>0</vt:i4>
      </vt:variant>
      <vt:variant>
        <vt:i4>5</vt:i4>
      </vt:variant>
      <vt:variant>
        <vt:lpwstr>http://www.westlaw.com/Find/Default.wl?rs=dfa1.0&amp;vr=2.0&amp;FindType=Y&amp;SerialNum=1981105999</vt:lpwstr>
      </vt:variant>
      <vt:variant>
        <vt:lpwstr/>
      </vt:variant>
      <vt:variant>
        <vt:i4>196715</vt:i4>
      </vt:variant>
      <vt:variant>
        <vt:i4>1119</vt:i4>
      </vt:variant>
      <vt:variant>
        <vt:i4>0</vt:i4>
      </vt:variant>
      <vt:variant>
        <vt:i4>5</vt:i4>
      </vt:variant>
      <vt:variant>
        <vt:lpwstr>http://www.westlaw.com/Find/Default.wl?rs=dfa1.0&amp;vr=2.0&amp;FindType=Y&amp;SerialNum=1986102065</vt:lpwstr>
      </vt:variant>
      <vt:variant>
        <vt:lpwstr/>
      </vt:variant>
      <vt:variant>
        <vt:i4>196715</vt:i4>
      </vt:variant>
      <vt:variant>
        <vt:i4>1116</vt:i4>
      </vt:variant>
      <vt:variant>
        <vt:i4>0</vt:i4>
      </vt:variant>
      <vt:variant>
        <vt:i4>5</vt:i4>
      </vt:variant>
      <vt:variant>
        <vt:lpwstr>http://www.westlaw.com/Find/Default.wl?rs=dfa1.0&amp;vr=2.0&amp;FindType=Y&amp;SerialNum=1986102065</vt:lpwstr>
      </vt:variant>
      <vt:variant>
        <vt:lpwstr/>
      </vt:variant>
      <vt:variant>
        <vt:i4>5111896</vt:i4>
      </vt:variant>
      <vt:variant>
        <vt:i4>1113</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5111896</vt:i4>
      </vt:variant>
      <vt:variant>
        <vt:i4>1110</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8192040</vt:i4>
      </vt:variant>
      <vt:variant>
        <vt:i4>1107</vt:i4>
      </vt:variant>
      <vt:variant>
        <vt:i4>0</vt:i4>
      </vt:variant>
      <vt:variant>
        <vt:i4>5</vt:i4>
      </vt:variant>
      <vt:variant>
        <vt:lpwstr/>
      </vt:variant>
      <vt:variant>
        <vt:lpwstr>Document1zzF00882017819485</vt:lpwstr>
      </vt:variant>
      <vt:variant>
        <vt:i4>8192044</vt:i4>
      </vt:variant>
      <vt:variant>
        <vt:i4>1104</vt:i4>
      </vt:variant>
      <vt:variant>
        <vt:i4>0</vt:i4>
      </vt:variant>
      <vt:variant>
        <vt:i4>5</vt:i4>
      </vt:variant>
      <vt:variant>
        <vt:lpwstr/>
      </vt:variant>
      <vt:variant>
        <vt:lpwstr>Document1zzB00882017819485</vt:lpwstr>
      </vt:variant>
      <vt:variant>
        <vt:i4>7602236</vt:i4>
      </vt:variant>
      <vt:variant>
        <vt:i4>1101</vt:i4>
      </vt:variant>
      <vt:variant>
        <vt:i4>0</vt:i4>
      </vt:variant>
      <vt:variant>
        <vt:i4>5</vt:i4>
      </vt:variant>
      <vt:variant>
        <vt:lpwstr>http://www.westlaw.com/Find/Default.wl?rs=dfa1.0&amp;vr=2.0&amp;DB=227&amp;FindType=Y&amp;SerialNum=1981105999</vt:lpwstr>
      </vt:variant>
      <vt:variant>
        <vt:lpwstr/>
      </vt:variant>
      <vt:variant>
        <vt:i4>7602236</vt:i4>
      </vt:variant>
      <vt:variant>
        <vt:i4>1098</vt:i4>
      </vt:variant>
      <vt:variant>
        <vt:i4>0</vt:i4>
      </vt:variant>
      <vt:variant>
        <vt:i4>5</vt:i4>
      </vt:variant>
      <vt:variant>
        <vt:lpwstr>http://www.westlaw.com/Find/Default.wl?rs=dfa1.0&amp;vr=2.0&amp;DB=227&amp;FindType=Y&amp;SerialNum=1981105999</vt:lpwstr>
      </vt:variant>
      <vt:variant>
        <vt:lpwstr/>
      </vt:variant>
      <vt:variant>
        <vt:i4>65635</vt:i4>
      </vt:variant>
      <vt:variant>
        <vt:i4>1095</vt:i4>
      </vt:variant>
      <vt:variant>
        <vt:i4>0</vt:i4>
      </vt:variant>
      <vt:variant>
        <vt:i4>5</vt:i4>
      </vt:variant>
      <vt:variant>
        <vt:lpwstr>http://www.westlaw.com/Find/Default.wl?rs=dfa1.0&amp;vr=2.0&amp;FindType=Y&amp;SerialNum=1981105999</vt:lpwstr>
      </vt:variant>
      <vt:variant>
        <vt:lpwstr/>
      </vt:variant>
      <vt:variant>
        <vt:i4>6094971</vt:i4>
      </vt:variant>
      <vt:variant>
        <vt:i4>1092</vt:i4>
      </vt:variant>
      <vt:variant>
        <vt:i4>0</vt:i4>
      </vt:variant>
      <vt:variant>
        <vt:i4>5</vt:i4>
      </vt:variant>
      <vt:variant>
        <vt:lpwstr>http://www.westlaw.com/Find/Default.wl?rs=dfa1.0&amp;vr=2.0&amp;DB=1000204&amp;DocName=CACRS9142&amp;FindType=L</vt:lpwstr>
      </vt:variant>
      <vt:variant>
        <vt:lpwstr/>
      </vt:variant>
      <vt:variant>
        <vt:i4>7798843</vt:i4>
      </vt:variant>
      <vt:variant>
        <vt:i4>1089</vt:i4>
      </vt:variant>
      <vt:variant>
        <vt:i4>0</vt:i4>
      </vt:variant>
      <vt:variant>
        <vt:i4>5</vt:i4>
      </vt:variant>
      <vt:variant>
        <vt:lpwstr>http://www.westlaw.com/Find/Default.wl?rs=dfa1.0&amp;vr=2.0&amp;DB=708&amp;FindType=Y&amp;SerialNum=1979135177</vt:lpwstr>
      </vt:variant>
      <vt:variant>
        <vt:lpwstr/>
      </vt:variant>
      <vt:variant>
        <vt:i4>7798843</vt:i4>
      </vt:variant>
      <vt:variant>
        <vt:i4>1086</vt:i4>
      </vt:variant>
      <vt:variant>
        <vt:i4>0</vt:i4>
      </vt:variant>
      <vt:variant>
        <vt:i4>5</vt:i4>
      </vt:variant>
      <vt:variant>
        <vt:lpwstr>http://www.westlaw.com/Find/Default.wl?rs=dfa1.0&amp;vr=2.0&amp;DB=708&amp;FindType=Y&amp;SerialNum=1979135177</vt:lpwstr>
      </vt:variant>
      <vt:variant>
        <vt:lpwstr/>
      </vt:variant>
      <vt:variant>
        <vt:i4>7602236</vt:i4>
      </vt:variant>
      <vt:variant>
        <vt:i4>1083</vt:i4>
      </vt:variant>
      <vt:variant>
        <vt:i4>0</vt:i4>
      </vt:variant>
      <vt:variant>
        <vt:i4>5</vt:i4>
      </vt:variant>
      <vt:variant>
        <vt:lpwstr>http://www.westlaw.com/Find/Default.wl?rs=dfa1.0&amp;vr=2.0&amp;DB=227&amp;FindType=Y&amp;SerialNum=1981105999</vt:lpwstr>
      </vt:variant>
      <vt:variant>
        <vt:lpwstr/>
      </vt:variant>
      <vt:variant>
        <vt:i4>7602236</vt:i4>
      </vt:variant>
      <vt:variant>
        <vt:i4>1080</vt:i4>
      </vt:variant>
      <vt:variant>
        <vt:i4>0</vt:i4>
      </vt:variant>
      <vt:variant>
        <vt:i4>5</vt:i4>
      </vt:variant>
      <vt:variant>
        <vt:lpwstr>http://www.westlaw.com/Find/Default.wl?rs=dfa1.0&amp;vr=2.0&amp;DB=227&amp;FindType=Y&amp;SerialNum=1981105999</vt:lpwstr>
      </vt:variant>
      <vt:variant>
        <vt:lpwstr/>
      </vt:variant>
      <vt:variant>
        <vt:i4>7798843</vt:i4>
      </vt:variant>
      <vt:variant>
        <vt:i4>1077</vt:i4>
      </vt:variant>
      <vt:variant>
        <vt:i4>0</vt:i4>
      </vt:variant>
      <vt:variant>
        <vt:i4>5</vt:i4>
      </vt:variant>
      <vt:variant>
        <vt:lpwstr>http://www.westlaw.com/Find/Default.wl?rs=dfa1.0&amp;vr=2.0&amp;DB=708&amp;FindType=Y&amp;SerialNum=1979135177</vt:lpwstr>
      </vt:variant>
      <vt:variant>
        <vt:lpwstr/>
      </vt:variant>
      <vt:variant>
        <vt:i4>7798843</vt:i4>
      </vt:variant>
      <vt:variant>
        <vt:i4>1074</vt:i4>
      </vt:variant>
      <vt:variant>
        <vt:i4>0</vt:i4>
      </vt:variant>
      <vt:variant>
        <vt:i4>5</vt:i4>
      </vt:variant>
      <vt:variant>
        <vt:lpwstr>http://www.westlaw.com/Find/Default.wl?rs=dfa1.0&amp;vr=2.0&amp;DB=708&amp;FindType=Y&amp;SerialNum=1979135177</vt:lpwstr>
      </vt:variant>
      <vt:variant>
        <vt:lpwstr/>
      </vt:variant>
      <vt:variant>
        <vt:i4>7667761</vt:i4>
      </vt:variant>
      <vt:variant>
        <vt:i4>1071</vt:i4>
      </vt:variant>
      <vt:variant>
        <vt:i4>0</vt:i4>
      </vt:variant>
      <vt:variant>
        <vt:i4>5</vt:i4>
      </vt:variant>
      <vt:variant>
        <vt:lpwstr>http://www.westlaw.com/Find/Default.wl?rs=dfa1.0&amp;vr=2.0&amp;DB=713&amp;FindType=Y&amp;SerialNum=1988138264</vt:lpwstr>
      </vt:variant>
      <vt:variant>
        <vt:lpwstr/>
      </vt:variant>
      <vt:variant>
        <vt:i4>7667761</vt:i4>
      </vt:variant>
      <vt:variant>
        <vt:i4>1068</vt:i4>
      </vt:variant>
      <vt:variant>
        <vt:i4>0</vt:i4>
      </vt:variant>
      <vt:variant>
        <vt:i4>5</vt:i4>
      </vt:variant>
      <vt:variant>
        <vt:lpwstr>http://www.westlaw.com/Find/Default.wl?rs=dfa1.0&amp;vr=2.0&amp;DB=713&amp;FindType=Y&amp;SerialNum=1988138264</vt:lpwstr>
      </vt:variant>
      <vt:variant>
        <vt:lpwstr/>
      </vt:variant>
      <vt:variant>
        <vt:i4>7995440</vt:i4>
      </vt:variant>
      <vt:variant>
        <vt:i4>1065</vt:i4>
      </vt:variant>
      <vt:variant>
        <vt:i4>0</vt:i4>
      </vt:variant>
      <vt:variant>
        <vt:i4>5</vt:i4>
      </vt:variant>
      <vt:variant>
        <vt:lpwstr>http://www.westlaw.com/Find/Default.wl?rs=dfa1.0&amp;vr=2.0&amp;DB=162&amp;FindType=Y&amp;SerialNum=1993060967</vt:lpwstr>
      </vt:variant>
      <vt:variant>
        <vt:lpwstr/>
      </vt:variant>
      <vt:variant>
        <vt:i4>7995440</vt:i4>
      </vt:variant>
      <vt:variant>
        <vt:i4>1062</vt:i4>
      </vt:variant>
      <vt:variant>
        <vt:i4>0</vt:i4>
      </vt:variant>
      <vt:variant>
        <vt:i4>5</vt:i4>
      </vt:variant>
      <vt:variant>
        <vt:lpwstr>http://www.westlaw.com/Find/Default.wl?rs=dfa1.0&amp;vr=2.0&amp;DB=162&amp;FindType=Y&amp;SerialNum=1993060967</vt:lpwstr>
      </vt:variant>
      <vt:variant>
        <vt:lpwstr/>
      </vt:variant>
      <vt:variant>
        <vt:i4>8257592</vt:i4>
      </vt:variant>
      <vt:variant>
        <vt:i4>1059</vt:i4>
      </vt:variant>
      <vt:variant>
        <vt:i4>0</vt:i4>
      </vt:variant>
      <vt:variant>
        <vt:i4>5</vt:i4>
      </vt:variant>
      <vt:variant>
        <vt:lpwstr>http://www.westlaw.com/Find/Default.wl?rs=dfa1.0&amp;vr=2.0&amp;DB=162&amp;FindType=Y&amp;SerialNum=2007982035</vt:lpwstr>
      </vt:variant>
      <vt:variant>
        <vt:lpwstr/>
      </vt:variant>
      <vt:variant>
        <vt:i4>8257592</vt:i4>
      </vt:variant>
      <vt:variant>
        <vt:i4>1056</vt:i4>
      </vt:variant>
      <vt:variant>
        <vt:i4>0</vt:i4>
      </vt:variant>
      <vt:variant>
        <vt:i4>5</vt:i4>
      </vt:variant>
      <vt:variant>
        <vt:lpwstr>http://www.westlaw.com/Find/Default.wl?rs=dfa1.0&amp;vr=2.0&amp;DB=162&amp;FindType=Y&amp;SerialNum=2007982035</vt:lpwstr>
      </vt:variant>
      <vt:variant>
        <vt:lpwstr/>
      </vt:variant>
      <vt:variant>
        <vt:i4>7602227</vt:i4>
      </vt:variant>
      <vt:variant>
        <vt:i4>1053</vt:i4>
      </vt:variant>
      <vt:variant>
        <vt:i4>0</vt:i4>
      </vt:variant>
      <vt:variant>
        <vt:i4>5</vt:i4>
      </vt:variant>
      <vt:variant>
        <vt:lpwstr>http://www.westlaw.com/Find/Default.wl?rs=dfa1.0&amp;vr=2.0&amp;DB=711&amp;FindType=Y&amp;SerialNum=2003392749</vt:lpwstr>
      </vt:variant>
      <vt:variant>
        <vt:lpwstr/>
      </vt:variant>
      <vt:variant>
        <vt:i4>7602227</vt:i4>
      </vt:variant>
      <vt:variant>
        <vt:i4>1050</vt:i4>
      </vt:variant>
      <vt:variant>
        <vt:i4>0</vt:i4>
      </vt:variant>
      <vt:variant>
        <vt:i4>5</vt:i4>
      </vt:variant>
      <vt:variant>
        <vt:lpwstr>http://www.westlaw.com/Find/Default.wl?rs=dfa1.0&amp;vr=2.0&amp;DB=711&amp;FindType=Y&amp;SerialNum=2003392749</vt:lpwstr>
      </vt:variant>
      <vt:variant>
        <vt:lpwstr/>
      </vt:variant>
      <vt:variant>
        <vt:i4>7995440</vt:i4>
      </vt:variant>
      <vt:variant>
        <vt:i4>1047</vt:i4>
      </vt:variant>
      <vt:variant>
        <vt:i4>0</vt:i4>
      </vt:variant>
      <vt:variant>
        <vt:i4>5</vt:i4>
      </vt:variant>
      <vt:variant>
        <vt:lpwstr>http://www.westlaw.com/Find/Default.wl?rs=dfa1.0&amp;vr=2.0&amp;DB=162&amp;FindType=Y&amp;SerialNum=1993060967</vt:lpwstr>
      </vt:variant>
      <vt:variant>
        <vt:lpwstr/>
      </vt:variant>
      <vt:variant>
        <vt:i4>7995440</vt:i4>
      </vt:variant>
      <vt:variant>
        <vt:i4>1044</vt:i4>
      </vt:variant>
      <vt:variant>
        <vt:i4>0</vt:i4>
      </vt:variant>
      <vt:variant>
        <vt:i4>5</vt:i4>
      </vt:variant>
      <vt:variant>
        <vt:lpwstr>http://www.westlaw.com/Find/Default.wl?rs=dfa1.0&amp;vr=2.0&amp;DB=162&amp;FindType=Y&amp;SerialNum=1993060967</vt:lpwstr>
      </vt:variant>
      <vt:variant>
        <vt:lpwstr/>
      </vt:variant>
      <vt:variant>
        <vt:i4>4849761</vt:i4>
      </vt:variant>
      <vt:variant>
        <vt:i4>1041</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4849761</vt:i4>
      </vt:variant>
      <vt:variant>
        <vt:i4>1038</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7340081</vt:i4>
      </vt:variant>
      <vt:variant>
        <vt:i4>1035</vt:i4>
      </vt:variant>
      <vt:variant>
        <vt:i4>0</vt:i4>
      </vt:variant>
      <vt:variant>
        <vt:i4>5</vt:i4>
      </vt:variant>
      <vt:variant>
        <vt:lpwstr>http://www.westlaw.com/Find/Default.wl?rs=dfa1.0&amp;vr=2.0&amp;DB=162&amp;FindType=Y&amp;SerialNum=1980317992</vt:lpwstr>
      </vt:variant>
      <vt:variant>
        <vt:lpwstr/>
      </vt:variant>
      <vt:variant>
        <vt:i4>7340081</vt:i4>
      </vt:variant>
      <vt:variant>
        <vt:i4>1032</vt:i4>
      </vt:variant>
      <vt:variant>
        <vt:i4>0</vt:i4>
      </vt:variant>
      <vt:variant>
        <vt:i4>5</vt:i4>
      </vt:variant>
      <vt:variant>
        <vt:lpwstr>http://www.westlaw.com/Find/Default.wl?rs=dfa1.0&amp;vr=2.0&amp;DB=162&amp;FindType=Y&amp;SerialNum=1980317992</vt:lpwstr>
      </vt:variant>
      <vt:variant>
        <vt:lpwstr/>
      </vt:variant>
      <vt:variant>
        <vt:i4>8060988</vt:i4>
      </vt:variant>
      <vt:variant>
        <vt:i4>1029</vt:i4>
      </vt:variant>
      <vt:variant>
        <vt:i4>0</vt:i4>
      </vt:variant>
      <vt:variant>
        <vt:i4>5</vt:i4>
      </vt:variant>
      <vt:variant>
        <vt:lpwstr>http://www.westlaw.com/Find/Default.wl?rs=dfa1.0&amp;vr=2.0&amp;DB=595&amp;FindType=Y&amp;SerialNum=1983108700</vt:lpwstr>
      </vt:variant>
      <vt:variant>
        <vt:lpwstr/>
      </vt:variant>
      <vt:variant>
        <vt:i4>8060988</vt:i4>
      </vt:variant>
      <vt:variant>
        <vt:i4>1026</vt:i4>
      </vt:variant>
      <vt:variant>
        <vt:i4>0</vt:i4>
      </vt:variant>
      <vt:variant>
        <vt:i4>5</vt:i4>
      </vt:variant>
      <vt:variant>
        <vt:lpwstr>http://www.westlaw.com/Find/Default.wl?rs=dfa1.0&amp;vr=2.0&amp;DB=595&amp;FindType=Y&amp;SerialNum=1983108700</vt:lpwstr>
      </vt:variant>
      <vt:variant>
        <vt:lpwstr/>
      </vt:variant>
      <vt:variant>
        <vt:i4>7405630</vt:i4>
      </vt:variant>
      <vt:variant>
        <vt:i4>1023</vt:i4>
      </vt:variant>
      <vt:variant>
        <vt:i4>0</vt:i4>
      </vt:variant>
      <vt:variant>
        <vt:i4>5</vt:i4>
      </vt:variant>
      <vt:variant>
        <vt:lpwstr>http://www.westlaw.com/Find/Default.wl?rs=dfa1.0&amp;vr=2.0&amp;DB=578&amp;FindType=Y&amp;SerialNum=2003717262</vt:lpwstr>
      </vt:variant>
      <vt:variant>
        <vt:lpwstr/>
      </vt:variant>
      <vt:variant>
        <vt:i4>7405630</vt:i4>
      </vt:variant>
      <vt:variant>
        <vt:i4>1020</vt:i4>
      </vt:variant>
      <vt:variant>
        <vt:i4>0</vt:i4>
      </vt:variant>
      <vt:variant>
        <vt:i4>5</vt:i4>
      </vt:variant>
      <vt:variant>
        <vt:lpwstr>http://www.westlaw.com/Find/Default.wl?rs=dfa1.0&amp;vr=2.0&amp;DB=578&amp;FindType=Y&amp;SerialNum=2003717262</vt:lpwstr>
      </vt:variant>
      <vt:variant>
        <vt:lpwstr/>
      </vt:variant>
      <vt:variant>
        <vt:i4>7864380</vt:i4>
      </vt:variant>
      <vt:variant>
        <vt:i4>1017</vt:i4>
      </vt:variant>
      <vt:variant>
        <vt:i4>0</vt:i4>
      </vt:variant>
      <vt:variant>
        <vt:i4>5</vt:i4>
      </vt:variant>
      <vt:variant>
        <vt:lpwstr>http://www.westlaw.com/Find/Default.wl?rs=dfa1.0&amp;vr=2.0&amp;DB=661&amp;FindType=Y&amp;SerialNum=1986102065</vt:lpwstr>
      </vt:variant>
      <vt:variant>
        <vt:lpwstr/>
      </vt:variant>
      <vt:variant>
        <vt:i4>7864380</vt:i4>
      </vt:variant>
      <vt:variant>
        <vt:i4>1014</vt:i4>
      </vt:variant>
      <vt:variant>
        <vt:i4>0</vt:i4>
      </vt:variant>
      <vt:variant>
        <vt:i4>5</vt:i4>
      </vt:variant>
      <vt:variant>
        <vt:lpwstr>http://www.westlaw.com/Find/Default.wl?rs=dfa1.0&amp;vr=2.0&amp;DB=661&amp;FindType=Y&amp;SerialNum=1986102065</vt:lpwstr>
      </vt:variant>
      <vt:variant>
        <vt:lpwstr/>
      </vt:variant>
      <vt:variant>
        <vt:i4>721001</vt:i4>
      </vt:variant>
      <vt:variant>
        <vt:i4>1011</vt:i4>
      </vt:variant>
      <vt:variant>
        <vt:i4>0</vt:i4>
      </vt:variant>
      <vt:variant>
        <vt:i4>5</vt:i4>
      </vt:variant>
      <vt:variant>
        <vt:lpwstr>http://www.westlaw.com/Find/Default.wl?rs=dfa1.0&amp;vr=2.0&amp;FindType=Y&amp;SerialNum=1993060967</vt:lpwstr>
      </vt:variant>
      <vt:variant>
        <vt:lpwstr/>
      </vt:variant>
      <vt:variant>
        <vt:i4>721001</vt:i4>
      </vt:variant>
      <vt:variant>
        <vt:i4>1008</vt:i4>
      </vt:variant>
      <vt:variant>
        <vt:i4>0</vt:i4>
      </vt:variant>
      <vt:variant>
        <vt:i4>5</vt:i4>
      </vt:variant>
      <vt:variant>
        <vt:lpwstr>http://www.westlaw.com/Find/Default.wl?rs=dfa1.0&amp;vr=2.0&amp;FindType=Y&amp;SerialNum=1993060967</vt:lpwstr>
      </vt:variant>
      <vt:variant>
        <vt:lpwstr/>
      </vt:variant>
      <vt:variant>
        <vt:i4>721001</vt:i4>
      </vt:variant>
      <vt:variant>
        <vt:i4>1005</vt:i4>
      </vt:variant>
      <vt:variant>
        <vt:i4>0</vt:i4>
      </vt:variant>
      <vt:variant>
        <vt:i4>5</vt:i4>
      </vt:variant>
      <vt:variant>
        <vt:lpwstr>http://www.westlaw.com/Find/Default.wl?rs=dfa1.0&amp;vr=2.0&amp;FindType=Y&amp;SerialNum=1993060967</vt:lpwstr>
      </vt:variant>
      <vt:variant>
        <vt:lpwstr/>
      </vt:variant>
      <vt:variant>
        <vt:i4>721001</vt:i4>
      </vt:variant>
      <vt:variant>
        <vt:i4>1002</vt:i4>
      </vt:variant>
      <vt:variant>
        <vt:i4>0</vt:i4>
      </vt:variant>
      <vt:variant>
        <vt:i4>5</vt:i4>
      </vt:variant>
      <vt:variant>
        <vt:lpwstr>http://www.westlaw.com/Find/Default.wl?rs=dfa1.0&amp;vr=2.0&amp;FindType=Y&amp;SerialNum=1993060967</vt:lpwstr>
      </vt:variant>
      <vt:variant>
        <vt:lpwstr/>
      </vt:variant>
      <vt:variant>
        <vt:i4>721001</vt:i4>
      </vt:variant>
      <vt:variant>
        <vt:i4>999</vt:i4>
      </vt:variant>
      <vt:variant>
        <vt:i4>0</vt:i4>
      </vt:variant>
      <vt:variant>
        <vt:i4>5</vt:i4>
      </vt:variant>
      <vt:variant>
        <vt:lpwstr>http://www.westlaw.com/Find/Default.wl?rs=dfa1.0&amp;vr=2.0&amp;FindType=Y&amp;SerialNum=1993060967</vt:lpwstr>
      </vt:variant>
      <vt:variant>
        <vt:lpwstr/>
      </vt:variant>
      <vt:variant>
        <vt:i4>721001</vt:i4>
      </vt:variant>
      <vt:variant>
        <vt:i4>996</vt:i4>
      </vt:variant>
      <vt:variant>
        <vt:i4>0</vt:i4>
      </vt:variant>
      <vt:variant>
        <vt:i4>5</vt:i4>
      </vt:variant>
      <vt:variant>
        <vt:lpwstr>http://www.westlaw.com/Find/Default.wl?rs=dfa1.0&amp;vr=2.0&amp;FindType=Y&amp;SerialNum=1993060967</vt:lpwstr>
      </vt:variant>
      <vt:variant>
        <vt:lpwstr/>
      </vt:variant>
      <vt:variant>
        <vt:i4>721001</vt:i4>
      </vt:variant>
      <vt:variant>
        <vt:i4>993</vt:i4>
      </vt:variant>
      <vt:variant>
        <vt:i4>0</vt:i4>
      </vt:variant>
      <vt:variant>
        <vt:i4>5</vt:i4>
      </vt:variant>
      <vt:variant>
        <vt:lpwstr>http://www.westlaw.com/Find/Default.wl?rs=dfa1.0&amp;vr=2.0&amp;FindType=Y&amp;SerialNum=1993060967</vt:lpwstr>
      </vt:variant>
      <vt:variant>
        <vt:lpwstr/>
      </vt:variant>
      <vt:variant>
        <vt:i4>721001</vt:i4>
      </vt:variant>
      <vt:variant>
        <vt:i4>990</vt:i4>
      </vt:variant>
      <vt:variant>
        <vt:i4>0</vt:i4>
      </vt:variant>
      <vt:variant>
        <vt:i4>5</vt:i4>
      </vt:variant>
      <vt:variant>
        <vt:lpwstr>http://www.westlaw.com/Find/Default.wl?rs=dfa1.0&amp;vr=2.0&amp;FindType=Y&amp;SerialNum=1993060967</vt:lpwstr>
      </vt:variant>
      <vt:variant>
        <vt:lpwstr/>
      </vt:variant>
      <vt:variant>
        <vt:i4>721001</vt:i4>
      </vt:variant>
      <vt:variant>
        <vt:i4>987</vt:i4>
      </vt:variant>
      <vt:variant>
        <vt:i4>0</vt:i4>
      </vt:variant>
      <vt:variant>
        <vt:i4>5</vt:i4>
      </vt:variant>
      <vt:variant>
        <vt:lpwstr>http://www.westlaw.com/Find/Default.wl?rs=dfa1.0&amp;vr=2.0&amp;FindType=Y&amp;SerialNum=1993060967</vt:lpwstr>
      </vt:variant>
      <vt:variant>
        <vt:lpwstr/>
      </vt:variant>
      <vt:variant>
        <vt:i4>7995440</vt:i4>
      </vt:variant>
      <vt:variant>
        <vt:i4>984</vt:i4>
      </vt:variant>
      <vt:variant>
        <vt:i4>0</vt:i4>
      </vt:variant>
      <vt:variant>
        <vt:i4>5</vt:i4>
      </vt:variant>
      <vt:variant>
        <vt:lpwstr>http://www.westlaw.com/Find/Default.wl?rs=dfa1.0&amp;vr=2.0&amp;DB=162&amp;FindType=Y&amp;SerialNum=1993060967</vt:lpwstr>
      </vt:variant>
      <vt:variant>
        <vt:lpwstr/>
      </vt:variant>
      <vt:variant>
        <vt:i4>7995440</vt:i4>
      </vt:variant>
      <vt:variant>
        <vt:i4>981</vt:i4>
      </vt:variant>
      <vt:variant>
        <vt:i4>0</vt:i4>
      </vt:variant>
      <vt:variant>
        <vt:i4>5</vt:i4>
      </vt:variant>
      <vt:variant>
        <vt:lpwstr>http://www.westlaw.com/Find/Default.wl?rs=dfa1.0&amp;vr=2.0&amp;DB=162&amp;FindType=Y&amp;SerialNum=1993060967</vt:lpwstr>
      </vt:variant>
      <vt:variant>
        <vt:lpwstr/>
      </vt:variant>
      <vt:variant>
        <vt:i4>6094971</vt:i4>
      </vt:variant>
      <vt:variant>
        <vt:i4>978</vt:i4>
      </vt:variant>
      <vt:variant>
        <vt:i4>0</vt:i4>
      </vt:variant>
      <vt:variant>
        <vt:i4>5</vt:i4>
      </vt:variant>
      <vt:variant>
        <vt:lpwstr>http://www.westlaw.com/Find/Default.wl?rs=dfa1.0&amp;vr=2.0&amp;DB=1000204&amp;DocName=CACRS9142&amp;FindType=L</vt:lpwstr>
      </vt:variant>
      <vt:variant>
        <vt:lpwstr/>
      </vt:variant>
      <vt:variant>
        <vt:i4>8060978</vt:i4>
      </vt:variant>
      <vt:variant>
        <vt:i4>975</vt:i4>
      </vt:variant>
      <vt:variant>
        <vt:i4>0</vt:i4>
      </vt:variant>
      <vt:variant>
        <vt:i4>5</vt:i4>
      </vt:variant>
      <vt:variant>
        <vt:lpwstr>http://www.westlaw.com/Find/Default.wl?rs=dfa1.0&amp;vr=2.0&amp;DB=227&amp;FindType=Y&amp;SerialNum=1991097047</vt:lpwstr>
      </vt:variant>
      <vt:variant>
        <vt:lpwstr/>
      </vt:variant>
      <vt:variant>
        <vt:i4>8060978</vt:i4>
      </vt:variant>
      <vt:variant>
        <vt:i4>972</vt:i4>
      </vt:variant>
      <vt:variant>
        <vt:i4>0</vt:i4>
      </vt:variant>
      <vt:variant>
        <vt:i4>5</vt:i4>
      </vt:variant>
      <vt:variant>
        <vt:lpwstr>http://www.westlaw.com/Find/Default.wl?rs=dfa1.0&amp;vr=2.0&amp;DB=227&amp;FindType=Y&amp;SerialNum=1991097047</vt:lpwstr>
      </vt:variant>
      <vt:variant>
        <vt:lpwstr/>
      </vt:variant>
      <vt:variant>
        <vt:i4>5439525</vt:i4>
      </vt:variant>
      <vt:variant>
        <vt:i4>969</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966</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963</vt:i4>
      </vt:variant>
      <vt:variant>
        <vt:i4>0</vt:i4>
      </vt:variant>
      <vt:variant>
        <vt:i4>5</vt:i4>
      </vt:variant>
      <vt:variant>
        <vt:lpwstr>http://www.westlaw.com/Find/Default.wl?rs=dfa1.0&amp;vr=2.0&amp;DB=7047&amp;FindType=Y&amp;SerialNum=2004376423</vt:lpwstr>
      </vt:variant>
      <vt:variant>
        <vt:lpwstr/>
      </vt:variant>
      <vt:variant>
        <vt:i4>6094971</vt:i4>
      </vt:variant>
      <vt:variant>
        <vt:i4>960</vt:i4>
      </vt:variant>
      <vt:variant>
        <vt:i4>0</vt:i4>
      </vt:variant>
      <vt:variant>
        <vt:i4>5</vt:i4>
      </vt:variant>
      <vt:variant>
        <vt:lpwstr>http://www.westlaw.com/Find/Default.wl?rs=dfa1.0&amp;vr=2.0&amp;DB=1000204&amp;DocName=CACRS9142&amp;FindType=L</vt:lpwstr>
      </vt:variant>
      <vt:variant>
        <vt:lpwstr/>
      </vt:variant>
      <vt:variant>
        <vt:i4>7798843</vt:i4>
      </vt:variant>
      <vt:variant>
        <vt:i4>957</vt:i4>
      </vt:variant>
      <vt:variant>
        <vt:i4>0</vt:i4>
      </vt:variant>
      <vt:variant>
        <vt:i4>5</vt:i4>
      </vt:variant>
      <vt:variant>
        <vt:lpwstr>http://www.westlaw.com/Find/Default.wl?rs=dfa1.0&amp;vr=2.0&amp;DB=708&amp;FindType=Y&amp;SerialNum=1979135177</vt:lpwstr>
      </vt:variant>
      <vt:variant>
        <vt:lpwstr/>
      </vt:variant>
      <vt:variant>
        <vt:i4>7798843</vt:i4>
      </vt:variant>
      <vt:variant>
        <vt:i4>954</vt:i4>
      </vt:variant>
      <vt:variant>
        <vt:i4>0</vt:i4>
      </vt:variant>
      <vt:variant>
        <vt:i4>5</vt:i4>
      </vt:variant>
      <vt:variant>
        <vt:lpwstr>http://www.westlaw.com/Find/Default.wl?rs=dfa1.0&amp;vr=2.0&amp;DB=708&amp;FindType=Y&amp;SerialNum=1979135177</vt:lpwstr>
      </vt:variant>
      <vt:variant>
        <vt:lpwstr/>
      </vt:variant>
      <vt:variant>
        <vt:i4>4456473</vt:i4>
      </vt:variant>
      <vt:variant>
        <vt:i4>951</vt:i4>
      </vt:variant>
      <vt:variant>
        <vt:i4>0</vt:i4>
      </vt:variant>
      <vt:variant>
        <vt:i4>5</vt:i4>
      </vt:variant>
      <vt:variant>
        <vt:lpwstr/>
      </vt:variant>
      <vt:variant>
        <vt:lpwstr>Document1zzF192017819485</vt:lpwstr>
      </vt:variant>
      <vt:variant>
        <vt:i4>6094971</vt:i4>
      </vt:variant>
      <vt:variant>
        <vt:i4>948</vt:i4>
      </vt:variant>
      <vt:variant>
        <vt:i4>0</vt:i4>
      </vt:variant>
      <vt:variant>
        <vt:i4>5</vt:i4>
      </vt:variant>
      <vt:variant>
        <vt:lpwstr>http://www.westlaw.com/Find/Default.wl?rs=dfa1.0&amp;vr=2.0&amp;DB=1000204&amp;DocName=CACRS9142&amp;FindType=L</vt:lpwstr>
      </vt:variant>
      <vt:variant>
        <vt:lpwstr/>
      </vt:variant>
      <vt:variant>
        <vt:i4>6094971</vt:i4>
      </vt:variant>
      <vt:variant>
        <vt:i4>945</vt:i4>
      </vt:variant>
      <vt:variant>
        <vt:i4>0</vt:i4>
      </vt:variant>
      <vt:variant>
        <vt:i4>5</vt:i4>
      </vt:variant>
      <vt:variant>
        <vt:lpwstr>http://www.westlaw.com/Find/Default.wl?rs=dfa1.0&amp;vr=2.0&amp;DB=1000204&amp;DocName=CACRS9142&amp;FindType=L</vt:lpwstr>
      </vt:variant>
      <vt:variant>
        <vt:lpwstr/>
      </vt:variant>
      <vt:variant>
        <vt:i4>4456472</vt:i4>
      </vt:variant>
      <vt:variant>
        <vt:i4>942</vt:i4>
      </vt:variant>
      <vt:variant>
        <vt:i4>0</vt:i4>
      </vt:variant>
      <vt:variant>
        <vt:i4>5</vt:i4>
      </vt:variant>
      <vt:variant>
        <vt:lpwstr/>
      </vt:variant>
      <vt:variant>
        <vt:lpwstr>Document1zzF182017819485</vt:lpwstr>
      </vt:variant>
      <vt:variant>
        <vt:i4>6094971</vt:i4>
      </vt:variant>
      <vt:variant>
        <vt:i4>939</vt:i4>
      </vt:variant>
      <vt:variant>
        <vt:i4>0</vt:i4>
      </vt:variant>
      <vt:variant>
        <vt:i4>5</vt:i4>
      </vt:variant>
      <vt:variant>
        <vt:lpwstr>http://www.westlaw.com/Find/Default.wl?rs=dfa1.0&amp;vr=2.0&amp;DB=1000204&amp;DocName=CACRS9142&amp;FindType=L</vt:lpwstr>
      </vt:variant>
      <vt:variant>
        <vt:lpwstr/>
      </vt:variant>
      <vt:variant>
        <vt:i4>7798835</vt:i4>
      </vt:variant>
      <vt:variant>
        <vt:i4>936</vt:i4>
      </vt:variant>
      <vt:variant>
        <vt:i4>0</vt:i4>
      </vt:variant>
      <vt:variant>
        <vt:i4>5</vt:i4>
      </vt:variant>
      <vt:variant>
        <vt:lpwstr>http://www.westlaw.com/Find/Default.wl?rs=dfa1.0&amp;vr=2.0&amp;DB=708&amp;FindType=Y&amp;SerialNum=1970134166</vt:lpwstr>
      </vt:variant>
      <vt:variant>
        <vt:lpwstr/>
      </vt:variant>
      <vt:variant>
        <vt:i4>7798835</vt:i4>
      </vt:variant>
      <vt:variant>
        <vt:i4>933</vt:i4>
      </vt:variant>
      <vt:variant>
        <vt:i4>0</vt:i4>
      </vt:variant>
      <vt:variant>
        <vt:i4>5</vt:i4>
      </vt:variant>
      <vt:variant>
        <vt:lpwstr>http://www.westlaw.com/Find/Default.wl?rs=dfa1.0&amp;vr=2.0&amp;DB=708&amp;FindType=Y&amp;SerialNum=1970134166</vt:lpwstr>
      </vt:variant>
      <vt:variant>
        <vt:lpwstr/>
      </vt:variant>
      <vt:variant>
        <vt:i4>7798835</vt:i4>
      </vt:variant>
      <vt:variant>
        <vt:i4>930</vt:i4>
      </vt:variant>
      <vt:variant>
        <vt:i4>0</vt:i4>
      </vt:variant>
      <vt:variant>
        <vt:i4>5</vt:i4>
      </vt:variant>
      <vt:variant>
        <vt:lpwstr>http://www.westlaw.com/Find/Default.wl?rs=dfa1.0&amp;vr=2.0&amp;DB=708&amp;FindType=Y&amp;SerialNum=1970134166</vt:lpwstr>
      </vt:variant>
      <vt:variant>
        <vt:lpwstr/>
      </vt:variant>
      <vt:variant>
        <vt:i4>7798835</vt:i4>
      </vt:variant>
      <vt:variant>
        <vt:i4>927</vt:i4>
      </vt:variant>
      <vt:variant>
        <vt:i4>0</vt:i4>
      </vt:variant>
      <vt:variant>
        <vt:i4>5</vt:i4>
      </vt:variant>
      <vt:variant>
        <vt:lpwstr>http://www.westlaw.com/Find/Default.wl?rs=dfa1.0&amp;vr=2.0&amp;DB=708&amp;FindType=Y&amp;SerialNum=1970134166</vt:lpwstr>
      </vt:variant>
      <vt:variant>
        <vt:lpwstr/>
      </vt:variant>
      <vt:variant>
        <vt:i4>7798835</vt:i4>
      </vt:variant>
      <vt:variant>
        <vt:i4>924</vt:i4>
      </vt:variant>
      <vt:variant>
        <vt:i4>0</vt:i4>
      </vt:variant>
      <vt:variant>
        <vt:i4>5</vt:i4>
      </vt:variant>
      <vt:variant>
        <vt:lpwstr>http://www.westlaw.com/Find/Default.wl?rs=dfa1.0&amp;vr=2.0&amp;DB=708&amp;FindType=Y&amp;SerialNum=1970134166</vt:lpwstr>
      </vt:variant>
      <vt:variant>
        <vt:lpwstr/>
      </vt:variant>
      <vt:variant>
        <vt:i4>7798835</vt:i4>
      </vt:variant>
      <vt:variant>
        <vt:i4>921</vt:i4>
      </vt:variant>
      <vt:variant>
        <vt:i4>0</vt:i4>
      </vt:variant>
      <vt:variant>
        <vt:i4>5</vt:i4>
      </vt:variant>
      <vt:variant>
        <vt:lpwstr>http://www.westlaw.com/Find/Default.wl?rs=dfa1.0&amp;vr=2.0&amp;DB=708&amp;FindType=Y&amp;SerialNum=1970134166</vt:lpwstr>
      </vt:variant>
      <vt:variant>
        <vt:lpwstr/>
      </vt:variant>
      <vt:variant>
        <vt:i4>6094971</vt:i4>
      </vt:variant>
      <vt:variant>
        <vt:i4>918</vt:i4>
      </vt:variant>
      <vt:variant>
        <vt:i4>0</vt:i4>
      </vt:variant>
      <vt:variant>
        <vt:i4>5</vt:i4>
      </vt:variant>
      <vt:variant>
        <vt:lpwstr>http://www.westlaw.com/Find/Default.wl?rs=dfa1.0&amp;vr=2.0&amp;DB=1000204&amp;DocName=CACRS9142&amp;FindType=L</vt:lpwstr>
      </vt:variant>
      <vt:variant>
        <vt:lpwstr/>
      </vt:variant>
      <vt:variant>
        <vt:i4>7798843</vt:i4>
      </vt:variant>
      <vt:variant>
        <vt:i4>915</vt:i4>
      </vt:variant>
      <vt:variant>
        <vt:i4>0</vt:i4>
      </vt:variant>
      <vt:variant>
        <vt:i4>5</vt:i4>
      </vt:variant>
      <vt:variant>
        <vt:lpwstr>http://www.westlaw.com/Find/Default.wl?rs=dfa1.0&amp;vr=2.0&amp;DB=708&amp;FindType=Y&amp;SerialNum=1979135177</vt:lpwstr>
      </vt:variant>
      <vt:variant>
        <vt:lpwstr/>
      </vt:variant>
      <vt:variant>
        <vt:i4>7798843</vt:i4>
      </vt:variant>
      <vt:variant>
        <vt:i4>912</vt:i4>
      </vt:variant>
      <vt:variant>
        <vt:i4>0</vt:i4>
      </vt:variant>
      <vt:variant>
        <vt:i4>5</vt:i4>
      </vt:variant>
      <vt:variant>
        <vt:lpwstr>http://www.westlaw.com/Find/Default.wl?rs=dfa1.0&amp;vr=2.0&amp;DB=708&amp;FindType=Y&amp;SerialNum=1979135177</vt:lpwstr>
      </vt:variant>
      <vt:variant>
        <vt:lpwstr/>
      </vt:variant>
      <vt:variant>
        <vt:i4>7798843</vt:i4>
      </vt:variant>
      <vt:variant>
        <vt:i4>909</vt:i4>
      </vt:variant>
      <vt:variant>
        <vt:i4>0</vt:i4>
      </vt:variant>
      <vt:variant>
        <vt:i4>5</vt:i4>
      </vt:variant>
      <vt:variant>
        <vt:lpwstr>http://www.westlaw.com/Find/Default.wl?rs=dfa1.0&amp;vr=2.0&amp;DB=708&amp;FindType=Y&amp;SerialNum=1979135177</vt:lpwstr>
      </vt:variant>
      <vt:variant>
        <vt:lpwstr/>
      </vt:variant>
      <vt:variant>
        <vt:i4>7798843</vt:i4>
      </vt:variant>
      <vt:variant>
        <vt:i4>906</vt:i4>
      </vt:variant>
      <vt:variant>
        <vt:i4>0</vt:i4>
      </vt:variant>
      <vt:variant>
        <vt:i4>5</vt:i4>
      </vt:variant>
      <vt:variant>
        <vt:lpwstr>http://www.westlaw.com/Find/Default.wl?rs=dfa1.0&amp;vr=2.0&amp;DB=708&amp;FindType=Y&amp;SerialNum=1979135177</vt:lpwstr>
      </vt:variant>
      <vt:variant>
        <vt:lpwstr/>
      </vt:variant>
      <vt:variant>
        <vt:i4>7798843</vt:i4>
      </vt:variant>
      <vt:variant>
        <vt:i4>903</vt:i4>
      </vt:variant>
      <vt:variant>
        <vt:i4>0</vt:i4>
      </vt:variant>
      <vt:variant>
        <vt:i4>5</vt:i4>
      </vt:variant>
      <vt:variant>
        <vt:lpwstr>http://www.westlaw.com/Find/Default.wl?rs=dfa1.0&amp;vr=2.0&amp;DB=708&amp;FindType=Y&amp;SerialNum=1979135177</vt:lpwstr>
      </vt:variant>
      <vt:variant>
        <vt:lpwstr/>
      </vt:variant>
      <vt:variant>
        <vt:i4>7798843</vt:i4>
      </vt:variant>
      <vt:variant>
        <vt:i4>900</vt:i4>
      </vt:variant>
      <vt:variant>
        <vt:i4>0</vt:i4>
      </vt:variant>
      <vt:variant>
        <vt:i4>5</vt:i4>
      </vt:variant>
      <vt:variant>
        <vt:lpwstr>http://www.westlaw.com/Find/Default.wl?rs=dfa1.0&amp;vr=2.0&amp;DB=708&amp;FindType=Y&amp;SerialNum=1979135177</vt:lpwstr>
      </vt:variant>
      <vt:variant>
        <vt:lpwstr/>
      </vt:variant>
      <vt:variant>
        <vt:i4>7798843</vt:i4>
      </vt:variant>
      <vt:variant>
        <vt:i4>897</vt:i4>
      </vt:variant>
      <vt:variant>
        <vt:i4>0</vt:i4>
      </vt:variant>
      <vt:variant>
        <vt:i4>5</vt:i4>
      </vt:variant>
      <vt:variant>
        <vt:lpwstr>http://www.westlaw.com/Find/Default.wl?rs=dfa1.0&amp;vr=2.0&amp;DB=708&amp;FindType=Y&amp;SerialNum=1979135177</vt:lpwstr>
      </vt:variant>
      <vt:variant>
        <vt:lpwstr/>
      </vt:variant>
      <vt:variant>
        <vt:i4>4456471</vt:i4>
      </vt:variant>
      <vt:variant>
        <vt:i4>894</vt:i4>
      </vt:variant>
      <vt:variant>
        <vt:i4>0</vt:i4>
      </vt:variant>
      <vt:variant>
        <vt:i4>5</vt:i4>
      </vt:variant>
      <vt:variant>
        <vt:lpwstr/>
      </vt:variant>
      <vt:variant>
        <vt:lpwstr>Document1zzF172017819485</vt:lpwstr>
      </vt:variant>
      <vt:variant>
        <vt:i4>4456470</vt:i4>
      </vt:variant>
      <vt:variant>
        <vt:i4>891</vt:i4>
      </vt:variant>
      <vt:variant>
        <vt:i4>0</vt:i4>
      </vt:variant>
      <vt:variant>
        <vt:i4>5</vt:i4>
      </vt:variant>
      <vt:variant>
        <vt:lpwstr/>
      </vt:variant>
      <vt:variant>
        <vt:lpwstr>Document1zzF162017819485</vt:lpwstr>
      </vt:variant>
      <vt:variant>
        <vt:i4>7798843</vt:i4>
      </vt:variant>
      <vt:variant>
        <vt:i4>888</vt:i4>
      </vt:variant>
      <vt:variant>
        <vt:i4>0</vt:i4>
      </vt:variant>
      <vt:variant>
        <vt:i4>5</vt:i4>
      </vt:variant>
      <vt:variant>
        <vt:lpwstr>http://www.westlaw.com/Find/Default.wl?rs=dfa1.0&amp;vr=2.0&amp;DB=708&amp;FindType=Y&amp;SerialNum=1979135177</vt:lpwstr>
      </vt:variant>
      <vt:variant>
        <vt:lpwstr/>
      </vt:variant>
      <vt:variant>
        <vt:i4>7798843</vt:i4>
      </vt:variant>
      <vt:variant>
        <vt:i4>885</vt:i4>
      </vt:variant>
      <vt:variant>
        <vt:i4>0</vt:i4>
      </vt:variant>
      <vt:variant>
        <vt:i4>5</vt:i4>
      </vt:variant>
      <vt:variant>
        <vt:lpwstr>http://www.westlaw.com/Find/Default.wl?rs=dfa1.0&amp;vr=2.0&amp;DB=708&amp;FindType=Y&amp;SerialNum=1979135177</vt:lpwstr>
      </vt:variant>
      <vt:variant>
        <vt:lpwstr/>
      </vt:variant>
      <vt:variant>
        <vt:i4>7798843</vt:i4>
      </vt:variant>
      <vt:variant>
        <vt:i4>882</vt:i4>
      </vt:variant>
      <vt:variant>
        <vt:i4>0</vt:i4>
      </vt:variant>
      <vt:variant>
        <vt:i4>5</vt:i4>
      </vt:variant>
      <vt:variant>
        <vt:lpwstr>http://www.westlaw.com/Find/Default.wl?rs=dfa1.0&amp;vr=2.0&amp;DB=708&amp;FindType=Y&amp;SerialNum=1979135177</vt:lpwstr>
      </vt:variant>
      <vt:variant>
        <vt:lpwstr/>
      </vt:variant>
      <vt:variant>
        <vt:i4>786530</vt:i4>
      </vt:variant>
      <vt:variant>
        <vt:i4>879</vt:i4>
      </vt:variant>
      <vt:variant>
        <vt:i4>0</vt:i4>
      </vt:variant>
      <vt:variant>
        <vt:i4>5</vt:i4>
      </vt:variant>
      <vt:variant>
        <vt:lpwstr>http://www.westlaw.com/Find/Default.wl?rs=dfa1.0&amp;vr=2.0&amp;FindType=Y&amp;SerialNum=1979135177</vt:lpwstr>
      </vt:variant>
      <vt:variant>
        <vt:lpwstr/>
      </vt:variant>
      <vt:variant>
        <vt:i4>7798843</vt:i4>
      </vt:variant>
      <vt:variant>
        <vt:i4>876</vt:i4>
      </vt:variant>
      <vt:variant>
        <vt:i4>0</vt:i4>
      </vt:variant>
      <vt:variant>
        <vt:i4>5</vt:i4>
      </vt:variant>
      <vt:variant>
        <vt:lpwstr>http://www.westlaw.com/Find/Default.wl?rs=dfa1.0&amp;vr=2.0&amp;DB=708&amp;FindType=Y&amp;SerialNum=1979135177</vt:lpwstr>
      </vt:variant>
      <vt:variant>
        <vt:lpwstr/>
      </vt:variant>
      <vt:variant>
        <vt:i4>7798843</vt:i4>
      </vt:variant>
      <vt:variant>
        <vt:i4>873</vt:i4>
      </vt:variant>
      <vt:variant>
        <vt:i4>0</vt:i4>
      </vt:variant>
      <vt:variant>
        <vt:i4>5</vt:i4>
      </vt:variant>
      <vt:variant>
        <vt:lpwstr>http://www.westlaw.com/Find/Default.wl?rs=dfa1.0&amp;vr=2.0&amp;DB=708&amp;FindType=Y&amp;SerialNum=1979135177</vt:lpwstr>
      </vt:variant>
      <vt:variant>
        <vt:lpwstr/>
      </vt:variant>
      <vt:variant>
        <vt:i4>7798843</vt:i4>
      </vt:variant>
      <vt:variant>
        <vt:i4>870</vt:i4>
      </vt:variant>
      <vt:variant>
        <vt:i4>0</vt:i4>
      </vt:variant>
      <vt:variant>
        <vt:i4>5</vt:i4>
      </vt:variant>
      <vt:variant>
        <vt:lpwstr>http://www.westlaw.com/Find/Default.wl?rs=dfa1.0&amp;vr=2.0&amp;DB=708&amp;FindType=Y&amp;SerialNum=1979135177</vt:lpwstr>
      </vt:variant>
      <vt:variant>
        <vt:lpwstr/>
      </vt:variant>
      <vt:variant>
        <vt:i4>7798843</vt:i4>
      </vt:variant>
      <vt:variant>
        <vt:i4>867</vt:i4>
      </vt:variant>
      <vt:variant>
        <vt:i4>0</vt:i4>
      </vt:variant>
      <vt:variant>
        <vt:i4>5</vt:i4>
      </vt:variant>
      <vt:variant>
        <vt:lpwstr>http://www.westlaw.com/Find/Default.wl?rs=dfa1.0&amp;vr=2.0&amp;DB=708&amp;FindType=Y&amp;SerialNum=1979135177</vt:lpwstr>
      </vt:variant>
      <vt:variant>
        <vt:lpwstr/>
      </vt:variant>
      <vt:variant>
        <vt:i4>7798843</vt:i4>
      </vt:variant>
      <vt:variant>
        <vt:i4>864</vt:i4>
      </vt:variant>
      <vt:variant>
        <vt:i4>0</vt:i4>
      </vt:variant>
      <vt:variant>
        <vt:i4>5</vt:i4>
      </vt:variant>
      <vt:variant>
        <vt:lpwstr>http://www.westlaw.com/Find/Default.wl?rs=dfa1.0&amp;vr=2.0&amp;DB=708&amp;FindType=Y&amp;SerialNum=1979135177</vt:lpwstr>
      </vt:variant>
      <vt:variant>
        <vt:lpwstr/>
      </vt:variant>
      <vt:variant>
        <vt:i4>7798843</vt:i4>
      </vt:variant>
      <vt:variant>
        <vt:i4>861</vt:i4>
      </vt:variant>
      <vt:variant>
        <vt:i4>0</vt:i4>
      </vt:variant>
      <vt:variant>
        <vt:i4>5</vt:i4>
      </vt:variant>
      <vt:variant>
        <vt:lpwstr>http://www.westlaw.com/Find/Default.wl?rs=dfa1.0&amp;vr=2.0&amp;DB=708&amp;FindType=Y&amp;SerialNum=1979135177</vt:lpwstr>
      </vt:variant>
      <vt:variant>
        <vt:lpwstr/>
      </vt:variant>
      <vt:variant>
        <vt:i4>7536702</vt:i4>
      </vt:variant>
      <vt:variant>
        <vt:i4>858</vt:i4>
      </vt:variant>
      <vt:variant>
        <vt:i4>0</vt:i4>
      </vt:variant>
      <vt:variant>
        <vt:i4>5</vt:i4>
      </vt:variant>
      <vt:variant>
        <vt:lpwstr>http://www.westlaw.com/Find/Default.wl?rs=dfa1.0&amp;vr=2.0&amp;DB=780&amp;FindType=Y&amp;SerialNum=1871197890</vt:lpwstr>
      </vt:variant>
      <vt:variant>
        <vt:lpwstr/>
      </vt:variant>
      <vt:variant>
        <vt:i4>7536702</vt:i4>
      </vt:variant>
      <vt:variant>
        <vt:i4>855</vt:i4>
      </vt:variant>
      <vt:variant>
        <vt:i4>0</vt:i4>
      </vt:variant>
      <vt:variant>
        <vt:i4>5</vt:i4>
      </vt:variant>
      <vt:variant>
        <vt:lpwstr>http://www.westlaw.com/Find/Default.wl?rs=dfa1.0&amp;vr=2.0&amp;DB=780&amp;FindType=Y&amp;SerialNum=1871197890</vt:lpwstr>
      </vt:variant>
      <vt:variant>
        <vt:lpwstr/>
      </vt:variant>
      <vt:variant>
        <vt:i4>786530</vt:i4>
      </vt:variant>
      <vt:variant>
        <vt:i4>852</vt:i4>
      </vt:variant>
      <vt:variant>
        <vt:i4>0</vt:i4>
      </vt:variant>
      <vt:variant>
        <vt:i4>5</vt:i4>
      </vt:variant>
      <vt:variant>
        <vt:lpwstr>http://www.westlaw.com/Find/Default.wl?rs=dfa1.0&amp;vr=2.0&amp;FindType=Y&amp;SerialNum=1979135177</vt:lpwstr>
      </vt:variant>
      <vt:variant>
        <vt:lpwstr/>
      </vt:variant>
      <vt:variant>
        <vt:i4>7798843</vt:i4>
      </vt:variant>
      <vt:variant>
        <vt:i4>849</vt:i4>
      </vt:variant>
      <vt:variant>
        <vt:i4>0</vt:i4>
      </vt:variant>
      <vt:variant>
        <vt:i4>5</vt:i4>
      </vt:variant>
      <vt:variant>
        <vt:lpwstr>http://www.westlaw.com/Find/Default.wl?rs=dfa1.0&amp;vr=2.0&amp;DB=708&amp;FindType=Y&amp;SerialNum=1979135177</vt:lpwstr>
      </vt:variant>
      <vt:variant>
        <vt:lpwstr/>
      </vt:variant>
      <vt:variant>
        <vt:i4>7798843</vt:i4>
      </vt:variant>
      <vt:variant>
        <vt:i4>846</vt:i4>
      </vt:variant>
      <vt:variant>
        <vt:i4>0</vt:i4>
      </vt:variant>
      <vt:variant>
        <vt:i4>5</vt:i4>
      </vt:variant>
      <vt:variant>
        <vt:lpwstr>http://www.westlaw.com/Find/Default.wl?rs=dfa1.0&amp;vr=2.0&amp;DB=708&amp;FindType=Y&amp;SerialNum=1979135177</vt:lpwstr>
      </vt:variant>
      <vt:variant>
        <vt:lpwstr/>
      </vt:variant>
      <vt:variant>
        <vt:i4>7602236</vt:i4>
      </vt:variant>
      <vt:variant>
        <vt:i4>843</vt:i4>
      </vt:variant>
      <vt:variant>
        <vt:i4>0</vt:i4>
      </vt:variant>
      <vt:variant>
        <vt:i4>5</vt:i4>
      </vt:variant>
      <vt:variant>
        <vt:lpwstr>http://www.westlaw.com/Find/Default.wl?rs=dfa1.0&amp;vr=2.0&amp;DB=227&amp;FindType=Y&amp;SerialNum=1981105999</vt:lpwstr>
      </vt:variant>
      <vt:variant>
        <vt:lpwstr/>
      </vt:variant>
      <vt:variant>
        <vt:i4>7602236</vt:i4>
      </vt:variant>
      <vt:variant>
        <vt:i4>840</vt:i4>
      </vt:variant>
      <vt:variant>
        <vt:i4>0</vt:i4>
      </vt:variant>
      <vt:variant>
        <vt:i4>5</vt:i4>
      </vt:variant>
      <vt:variant>
        <vt:lpwstr>http://www.westlaw.com/Find/Default.wl?rs=dfa1.0&amp;vr=2.0&amp;DB=227&amp;FindType=Y&amp;SerialNum=1981105999</vt:lpwstr>
      </vt:variant>
      <vt:variant>
        <vt:lpwstr/>
      </vt:variant>
      <vt:variant>
        <vt:i4>7798835</vt:i4>
      </vt:variant>
      <vt:variant>
        <vt:i4>837</vt:i4>
      </vt:variant>
      <vt:variant>
        <vt:i4>0</vt:i4>
      </vt:variant>
      <vt:variant>
        <vt:i4>5</vt:i4>
      </vt:variant>
      <vt:variant>
        <vt:lpwstr>http://www.westlaw.com/Find/Default.wl?rs=dfa1.0&amp;vr=2.0&amp;DB=708&amp;FindType=Y&amp;SerialNum=1970134166</vt:lpwstr>
      </vt:variant>
      <vt:variant>
        <vt:lpwstr/>
      </vt:variant>
      <vt:variant>
        <vt:i4>7798835</vt:i4>
      </vt:variant>
      <vt:variant>
        <vt:i4>834</vt:i4>
      </vt:variant>
      <vt:variant>
        <vt:i4>0</vt:i4>
      </vt:variant>
      <vt:variant>
        <vt:i4>5</vt:i4>
      </vt:variant>
      <vt:variant>
        <vt:lpwstr>http://www.westlaw.com/Find/Default.wl?rs=dfa1.0&amp;vr=2.0&amp;DB=708&amp;FindType=Y&amp;SerialNum=1970134166</vt:lpwstr>
      </vt:variant>
      <vt:variant>
        <vt:lpwstr/>
      </vt:variant>
      <vt:variant>
        <vt:i4>7798843</vt:i4>
      </vt:variant>
      <vt:variant>
        <vt:i4>831</vt:i4>
      </vt:variant>
      <vt:variant>
        <vt:i4>0</vt:i4>
      </vt:variant>
      <vt:variant>
        <vt:i4>5</vt:i4>
      </vt:variant>
      <vt:variant>
        <vt:lpwstr>http://www.westlaw.com/Find/Default.wl?rs=dfa1.0&amp;vr=2.0&amp;DB=708&amp;FindType=Y&amp;SerialNum=1979135177</vt:lpwstr>
      </vt:variant>
      <vt:variant>
        <vt:lpwstr/>
      </vt:variant>
      <vt:variant>
        <vt:i4>7798843</vt:i4>
      </vt:variant>
      <vt:variant>
        <vt:i4>828</vt:i4>
      </vt:variant>
      <vt:variant>
        <vt:i4>0</vt:i4>
      </vt:variant>
      <vt:variant>
        <vt:i4>5</vt:i4>
      </vt:variant>
      <vt:variant>
        <vt:lpwstr>http://www.westlaw.com/Find/Default.wl?rs=dfa1.0&amp;vr=2.0&amp;DB=708&amp;FindType=Y&amp;SerialNum=1979135177</vt:lpwstr>
      </vt:variant>
      <vt:variant>
        <vt:lpwstr/>
      </vt:variant>
      <vt:variant>
        <vt:i4>6094971</vt:i4>
      </vt:variant>
      <vt:variant>
        <vt:i4>825</vt:i4>
      </vt:variant>
      <vt:variant>
        <vt:i4>0</vt:i4>
      </vt:variant>
      <vt:variant>
        <vt:i4>5</vt:i4>
      </vt:variant>
      <vt:variant>
        <vt:lpwstr>http://www.westlaw.com/Find/Default.wl?rs=dfa1.0&amp;vr=2.0&amp;DB=1000204&amp;DocName=CACRS9142&amp;FindType=L</vt:lpwstr>
      </vt:variant>
      <vt:variant>
        <vt:lpwstr/>
      </vt:variant>
      <vt:variant>
        <vt:i4>4456469</vt:i4>
      </vt:variant>
      <vt:variant>
        <vt:i4>822</vt:i4>
      </vt:variant>
      <vt:variant>
        <vt:i4>0</vt:i4>
      </vt:variant>
      <vt:variant>
        <vt:i4>5</vt:i4>
      </vt:variant>
      <vt:variant>
        <vt:lpwstr/>
      </vt:variant>
      <vt:variant>
        <vt:lpwstr>Document1zzF152017819485</vt:lpwstr>
      </vt:variant>
      <vt:variant>
        <vt:i4>8323122</vt:i4>
      </vt:variant>
      <vt:variant>
        <vt:i4>819</vt:i4>
      </vt:variant>
      <vt:variant>
        <vt:i4>0</vt:i4>
      </vt:variant>
      <vt:variant>
        <vt:i4>5</vt:i4>
      </vt:variant>
      <vt:variant>
        <vt:lpwstr>http://www.westlaw.com/Find/Default.wl?rs=dfa1.0&amp;vr=2.0&amp;DB=227&amp;FindType=Y&amp;SerialNum=1979101096</vt:lpwstr>
      </vt:variant>
      <vt:variant>
        <vt:lpwstr/>
      </vt:variant>
      <vt:variant>
        <vt:i4>8323122</vt:i4>
      </vt:variant>
      <vt:variant>
        <vt:i4>816</vt:i4>
      </vt:variant>
      <vt:variant>
        <vt:i4>0</vt:i4>
      </vt:variant>
      <vt:variant>
        <vt:i4>5</vt:i4>
      </vt:variant>
      <vt:variant>
        <vt:lpwstr>http://www.westlaw.com/Find/Default.wl?rs=dfa1.0&amp;vr=2.0&amp;DB=227&amp;FindType=Y&amp;SerialNum=1979101096</vt:lpwstr>
      </vt:variant>
      <vt:variant>
        <vt:lpwstr/>
      </vt:variant>
      <vt:variant>
        <vt:i4>7602236</vt:i4>
      </vt:variant>
      <vt:variant>
        <vt:i4>813</vt:i4>
      </vt:variant>
      <vt:variant>
        <vt:i4>0</vt:i4>
      </vt:variant>
      <vt:variant>
        <vt:i4>5</vt:i4>
      </vt:variant>
      <vt:variant>
        <vt:lpwstr>http://www.westlaw.com/Find/Default.wl?rs=dfa1.0&amp;vr=2.0&amp;DB=227&amp;FindType=Y&amp;SerialNum=1981105999</vt:lpwstr>
      </vt:variant>
      <vt:variant>
        <vt:lpwstr/>
      </vt:variant>
      <vt:variant>
        <vt:i4>7602236</vt:i4>
      </vt:variant>
      <vt:variant>
        <vt:i4>810</vt:i4>
      </vt:variant>
      <vt:variant>
        <vt:i4>0</vt:i4>
      </vt:variant>
      <vt:variant>
        <vt:i4>5</vt:i4>
      </vt:variant>
      <vt:variant>
        <vt:lpwstr>http://www.westlaw.com/Find/Default.wl?rs=dfa1.0&amp;vr=2.0&amp;DB=227&amp;FindType=Y&amp;SerialNum=1981105999</vt:lpwstr>
      </vt:variant>
      <vt:variant>
        <vt:lpwstr/>
      </vt:variant>
      <vt:variant>
        <vt:i4>8323122</vt:i4>
      </vt:variant>
      <vt:variant>
        <vt:i4>807</vt:i4>
      </vt:variant>
      <vt:variant>
        <vt:i4>0</vt:i4>
      </vt:variant>
      <vt:variant>
        <vt:i4>5</vt:i4>
      </vt:variant>
      <vt:variant>
        <vt:lpwstr>http://www.westlaw.com/Find/Default.wl?rs=dfa1.0&amp;vr=2.0&amp;DB=227&amp;FindType=Y&amp;SerialNum=1979101096</vt:lpwstr>
      </vt:variant>
      <vt:variant>
        <vt:lpwstr/>
      </vt:variant>
      <vt:variant>
        <vt:i4>8323122</vt:i4>
      </vt:variant>
      <vt:variant>
        <vt:i4>804</vt:i4>
      </vt:variant>
      <vt:variant>
        <vt:i4>0</vt:i4>
      </vt:variant>
      <vt:variant>
        <vt:i4>5</vt:i4>
      </vt:variant>
      <vt:variant>
        <vt:lpwstr>http://www.westlaw.com/Find/Default.wl?rs=dfa1.0&amp;vr=2.0&amp;DB=227&amp;FindType=Y&amp;SerialNum=1979101096</vt:lpwstr>
      </vt:variant>
      <vt:variant>
        <vt:lpwstr/>
      </vt:variant>
      <vt:variant>
        <vt:i4>8323122</vt:i4>
      </vt:variant>
      <vt:variant>
        <vt:i4>801</vt:i4>
      </vt:variant>
      <vt:variant>
        <vt:i4>0</vt:i4>
      </vt:variant>
      <vt:variant>
        <vt:i4>5</vt:i4>
      </vt:variant>
      <vt:variant>
        <vt:lpwstr>http://www.westlaw.com/Find/Default.wl?rs=dfa1.0&amp;vr=2.0&amp;DB=227&amp;FindType=Y&amp;SerialNum=1979101096</vt:lpwstr>
      </vt:variant>
      <vt:variant>
        <vt:lpwstr/>
      </vt:variant>
      <vt:variant>
        <vt:i4>7536702</vt:i4>
      </vt:variant>
      <vt:variant>
        <vt:i4>798</vt:i4>
      </vt:variant>
      <vt:variant>
        <vt:i4>0</vt:i4>
      </vt:variant>
      <vt:variant>
        <vt:i4>5</vt:i4>
      </vt:variant>
      <vt:variant>
        <vt:lpwstr>http://www.westlaw.com/Find/Default.wl?rs=dfa1.0&amp;vr=2.0&amp;DB=780&amp;FindType=Y&amp;SerialNum=1871197890</vt:lpwstr>
      </vt:variant>
      <vt:variant>
        <vt:lpwstr/>
      </vt:variant>
      <vt:variant>
        <vt:i4>7536702</vt:i4>
      </vt:variant>
      <vt:variant>
        <vt:i4>795</vt:i4>
      </vt:variant>
      <vt:variant>
        <vt:i4>0</vt:i4>
      </vt:variant>
      <vt:variant>
        <vt:i4>5</vt:i4>
      </vt:variant>
      <vt:variant>
        <vt:lpwstr>http://www.westlaw.com/Find/Default.wl?rs=dfa1.0&amp;vr=2.0&amp;DB=780&amp;FindType=Y&amp;SerialNum=1871197890</vt:lpwstr>
      </vt:variant>
      <vt:variant>
        <vt:lpwstr/>
      </vt:variant>
      <vt:variant>
        <vt:i4>983144</vt:i4>
      </vt:variant>
      <vt:variant>
        <vt:i4>792</vt:i4>
      </vt:variant>
      <vt:variant>
        <vt:i4>0</vt:i4>
      </vt:variant>
      <vt:variant>
        <vt:i4>5</vt:i4>
      </vt:variant>
      <vt:variant>
        <vt:lpwstr>http://www.westlaw.com/Find/Default.wl?rs=dfa1.0&amp;vr=2.0&amp;FindType=Y&amp;SerialNum=1979101096</vt:lpwstr>
      </vt:variant>
      <vt:variant>
        <vt:lpwstr/>
      </vt:variant>
      <vt:variant>
        <vt:i4>4456468</vt:i4>
      </vt:variant>
      <vt:variant>
        <vt:i4>789</vt:i4>
      </vt:variant>
      <vt:variant>
        <vt:i4>0</vt:i4>
      </vt:variant>
      <vt:variant>
        <vt:i4>5</vt:i4>
      </vt:variant>
      <vt:variant>
        <vt:lpwstr/>
      </vt:variant>
      <vt:variant>
        <vt:lpwstr>Document1zzF142017819485</vt:lpwstr>
      </vt:variant>
      <vt:variant>
        <vt:i4>8323122</vt:i4>
      </vt:variant>
      <vt:variant>
        <vt:i4>786</vt:i4>
      </vt:variant>
      <vt:variant>
        <vt:i4>0</vt:i4>
      </vt:variant>
      <vt:variant>
        <vt:i4>5</vt:i4>
      </vt:variant>
      <vt:variant>
        <vt:lpwstr>http://www.westlaw.com/Find/Default.wl?rs=dfa1.0&amp;vr=2.0&amp;DB=227&amp;FindType=Y&amp;SerialNum=1979101096</vt:lpwstr>
      </vt:variant>
      <vt:variant>
        <vt:lpwstr/>
      </vt:variant>
      <vt:variant>
        <vt:i4>8323122</vt:i4>
      </vt:variant>
      <vt:variant>
        <vt:i4>783</vt:i4>
      </vt:variant>
      <vt:variant>
        <vt:i4>0</vt:i4>
      </vt:variant>
      <vt:variant>
        <vt:i4>5</vt:i4>
      </vt:variant>
      <vt:variant>
        <vt:lpwstr>http://www.westlaw.com/Find/Default.wl?rs=dfa1.0&amp;vr=2.0&amp;DB=227&amp;FindType=Y&amp;SerialNum=1979101096</vt:lpwstr>
      </vt:variant>
      <vt:variant>
        <vt:lpwstr/>
      </vt:variant>
      <vt:variant>
        <vt:i4>8323122</vt:i4>
      </vt:variant>
      <vt:variant>
        <vt:i4>780</vt:i4>
      </vt:variant>
      <vt:variant>
        <vt:i4>0</vt:i4>
      </vt:variant>
      <vt:variant>
        <vt:i4>5</vt:i4>
      </vt:variant>
      <vt:variant>
        <vt:lpwstr>http://www.westlaw.com/Find/Default.wl?rs=dfa1.0&amp;vr=2.0&amp;DB=227&amp;FindType=Y&amp;SerialNum=1979101096</vt:lpwstr>
      </vt:variant>
      <vt:variant>
        <vt:lpwstr/>
      </vt:variant>
      <vt:variant>
        <vt:i4>7798832</vt:i4>
      </vt:variant>
      <vt:variant>
        <vt:i4>777</vt:i4>
      </vt:variant>
      <vt:variant>
        <vt:i4>0</vt:i4>
      </vt:variant>
      <vt:variant>
        <vt:i4>5</vt:i4>
      </vt:variant>
      <vt:variant>
        <vt:lpwstr>http://www.westlaw.com/Find/Default.wl?rs=dfa1.0&amp;vr=2.0&amp;DB=708&amp;FindType=Y&amp;SerialNum=1969132914</vt:lpwstr>
      </vt:variant>
      <vt:variant>
        <vt:lpwstr/>
      </vt:variant>
      <vt:variant>
        <vt:i4>7798832</vt:i4>
      </vt:variant>
      <vt:variant>
        <vt:i4>774</vt:i4>
      </vt:variant>
      <vt:variant>
        <vt:i4>0</vt:i4>
      </vt:variant>
      <vt:variant>
        <vt:i4>5</vt:i4>
      </vt:variant>
      <vt:variant>
        <vt:lpwstr>http://www.westlaw.com/Find/Default.wl?rs=dfa1.0&amp;vr=2.0&amp;DB=708&amp;FindType=Y&amp;SerialNum=1969132914</vt:lpwstr>
      </vt:variant>
      <vt:variant>
        <vt:lpwstr/>
      </vt:variant>
      <vt:variant>
        <vt:i4>65646</vt:i4>
      </vt:variant>
      <vt:variant>
        <vt:i4>771</vt:i4>
      </vt:variant>
      <vt:variant>
        <vt:i4>0</vt:i4>
      </vt:variant>
      <vt:variant>
        <vt:i4>5</vt:i4>
      </vt:variant>
      <vt:variant>
        <vt:lpwstr>http://www.westlaw.com/Find/Default.wl?rs=dfa1.0&amp;vr=2.0&amp;FindType=Y&amp;SerialNum=1871197890</vt:lpwstr>
      </vt:variant>
      <vt:variant>
        <vt:lpwstr/>
      </vt:variant>
      <vt:variant>
        <vt:i4>983144</vt:i4>
      </vt:variant>
      <vt:variant>
        <vt:i4>768</vt:i4>
      </vt:variant>
      <vt:variant>
        <vt:i4>0</vt:i4>
      </vt:variant>
      <vt:variant>
        <vt:i4>5</vt:i4>
      </vt:variant>
      <vt:variant>
        <vt:lpwstr>http://www.westlaw.com/Find/Default.wl?rs=dfa1.0&amp;vr=2.0&amp;FindType=Y&amp;SerialNum=1979101096</vt:lpwstr>
      </vt:variant>
      <vt:variant>
        <vt:lpwstr/>
      </vt:variant>
      <vt:variant>
        <vt:i4>8323122</vt:i4>
      </vt:variant>
      <vt:variant>
        <vt:i4>765</vt:i4>
      </vt:variant>
      <vt:variant>
        <vt:i4>0</vt:i4>
      </vt:variant>
      <vt:variant>
        <vt:i4>5</vt:i4>
      </vt:variant>
      <vt:variant>
        <vt:lpwstr>http://www.westlaw.com/Find/Default.wl?rs=dfa1.0&amp;vr=2.0&amp;DB=227&amp;FindType=Y&amp;SerialNum=1979101096</vt:lpwstr>
      </vt:variant>
      <vt:variant>
        <vt:lpwstr/>
      </vt:variant>
      <vt:variant>
        <vt:i4>8323122</vt:i4>
      </vt:variant>
      <vt:variant>
        <vt:i4>762</vt:i4>
      </vt:variant>
      <vt:variant>
        <vt:i4>0</vt:i4>
      </vt:variant>
      <vt:variant>
        <vt:i4>5</vt:i4>
      </vt:variant>
      <vt:variant>
        <vt:lpwstr>http://www.westlaw.com/Find/Default.wl?rs=dfa1.0&amp;vr=2.0&amp;DB=227&amp;FindType=Y&amp;SerialNum=1979101096</vt:lpwstr>
      </vt:variant>
      <vt:variant>
        <vt:lpwstr/>
      </vt:variant>
      <vt:variant>
        <vt:i4>8323122</vt:i4>
      </vt:variant>
      <vt:variant>
        <vt:i4>759</vt:i4>
      </vt:variant>
      <vt:variant>
        <vt:i4>0</vt:i4>
      </vt:variant>
      <vt:variant>
        <vt:i4>5</vt:i4>
      </vt:variant>
      <vt:variant>
        <vt:lpwstr>http://www.westlaw.com/Find/Default.wl?rs=dfa1.0&amp;vr=2.0&amp;DB=227&amp;FindType=Y&amp;SerialNum=1979101096</vt:lpwstr>
      </vt:variant>
      <vt:variant>
        <vt:lpwstr/>
      </vt:variant>
      <vt:variant>
        <vt:i4>7798843</vt:i4>
      </vt:variant>
      <vt:variant>
        <vt:i4>756</vt:i4>
      </vt:variant>
      <vt:variant>
        <vt:i4>0</vt:i4>
      </vt:variant>
      <vt:variant>
        <vt:i4>5</vt:i4>
      </vt:variant>
      <vt:variant>
        <vt:lpwstr>http://www.westlaw.com/Find/Default.wl?rs=dfa1.0&amp;vr=2.0&amp;DB=708&amp;FindType=Y&amp;SerialNum=1979135177</vt:lpwstr>
      </vt:variant>
      <vt:variant>
        <vt:lpwstr/>
      </vt:variant>
      <vt:variant>
        <vt:i4>7798843</vt:i4>
      </vt:variant>
      <vt:variant>
        <vt:i4>753</vt:i4>
      </vt:variant>
      <vt:variant>
        <vt:i4>0</vt:i4>
      </vt:variant>
      <vt:variant>
        <vt:i4>5</vt:i4>
      </vt:variant>
      <vt:variant>
        <vt:lpwstr>http://www.westlaw.com/Find/Default.wl?rs=dfa1.0&amp;vr=2.0&amp;DB=708&amp;FindType=Y&amp;SerialNum=1979135177</vt:lpwstr>
      </vt:variant>
      <vt:variant>
        <vt:lpwstr/>
      </vt:variant>
      <vt:variant>
        <vt:i4>4653139</vt:i4>
      </vt:variant>
      <vt:variant>
        <vt:i4>750</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747</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4456467</vt:i4>
      </vt:variant>
      <vt:variant>
        <vt:i4>744</vt:i4>
      </vt:variant>
      <vt:variant>
        <vt:i4>0</vt:i4>
      </vt:variant>
      <vt:variant>
        <vt:i4>5</vt:i4>
      </vt:variant>
      <vt:variant>
        <vt:lpwstr/>
      </vt:variant>
      <vt:variant>
        <vt:lpwstr>Document1zzF132017819485</vt:lpwstr>
      </vt:variant>
      <vt:variant>
        <vt:i4>8323122</vt:i4>
      </vt:variant>
      <vt:variant>
        <vt:i4>741</vt:i4>
      </vt:variant>
      <vt:variant>
        <vt:i4>0</vt:i4>
      </vt:variant>
      <vt:variant>
        <vt:i4>5</vt:i4>
      </vt:variant>
      <vt:variant>
        <vt:lpwstr>http://www.westlaw.com/Find/Default.wl?rs=dfa1.0&amp;vr=2.0&amp;DB=227&amp;FindType=Y&amp;SerialNum=1979101096</vt:lpwstr>
      </vt:variant>
      <vt:variant>
        <vt:lpwstr/>
      </vt:variant>
      <vt:variant>
        <vt:i4>8323122</vt:i4>
      </vt:variant>
      <vt:variant>
        <vt:i4>738</vt:i4>
      </vt:variant>
      <vt:variant>
        <vt:i4>0</vt:i4>
      </vt:variant>
      <vt:variant>
        <vt:i4>5</vt:i4>
      </vt:variant>
      <vt:variant>
        <vt:lpwstr>http://www.westlaw.com/Find/Default.wl?rs=dfa1.0&amp;vr=2.0&amp;DB=227&amp;FindType=Y&amp;SerialNum=1979101096</vt:lpwstr>
      </vt:variant>
      <vt:variant>
        <vt:lpwstr/>
      </vt:variant>
      <vt:variant>
        <vt:i4>8323122</vt:i4>
      </vt:variant>
      <vt:variant>
        <vt:i4>735</vt:i4>
      </vt:variant>
      <vt:variant>
        <vt:i4>0</vt:i4>
      </vt:variant>
      <vt:variant>
        <vt:i4>5</vt:i4>
      </vt:variant>
      <vt:variant>
        <vt:lpwstr>http://www.westlaw.com/Find/Default.wl?rs=dfa1.0&amp;vr=2.0&amp;DB=227&amp;FindType=Y&amp;SerialNum=1979101096</vt:lpwstr>
      </vt:variant>
      <vt:variant>
        <vt:lpwstr/>
      </vt:variant>
      <vt:variant>
        <vt:i4>7798832</vt:i4>
      </vt:variant>
      <vt:variant>
        <vt:i4>732</vt:i4>
      </vt:variant>
      <vt:variant>
        <vt:i4>0</vt:i4>
      </vt:variant>
      <vt:variant>
        <vt:i4>5</vt:i4>
      </vt:variant>
      <vt:variant>
        <vt:lpwstr>http://www.westlaw.com/Find/Default.wl?rs=dfa1.0&amp;vr=2.0&amp;DB=708&amp;FindType=Y&amp;SerialNum=1969132914</vt:lpwstr>
      </vt:variant>
      <vt:variant>
        <vt:lpwstr/>
      </vt:variant>
      <vt:variant>
        <vt:i4>7798832</vt:i4>
      </vt:variant>
      <vt:variant>
        <vt:i4>729</vt:i4>
      </vt:variant>
      <vt:variant>
        <vt:i4>0</vt:i4>
      </vt:variant>
      <vt:variant>
        <vt:i4>5</vt:i4>
      </vt:variant>
      <vt:variant>
        <vt:lpwstr>http://www.westlaw.com/Find/Default.wl?rs=dfa1.0&amp;vr=2.0&amp;DB=708&amp;FindType=Y&amp;SerialNum=1969132914</vt:lpwstr>
      </vt:variant>
      <vt:variant>
        <vt:lpwstr/>
      </vt:variant>
      <vt:variant>
        <vt:i4>7798843</vt:i4>
      </vt:variant>
      <vt:variant>
        <vt:i4>726</vt:i4>
      </vt:variant>
      <vt:variant>
        <vt:i4>0</vt:i4>
      </vt:variant>
      <vt:variant>
        <vt:i4>5</vt:i4>
      </vt:variant>
      <vt:variant>
        <vt:lpwstr>http://www.westlaw.com/Find/Default.wl?rs=dfa1.0&amp;vr=2.0&amp;DB=708&amp;FindType=Y&amp;SerialNum=1979135177</vt:lpwstr>
      </vt:variant>
      <vt:variant>
        <vt:lpwstr/>
      </vt:variant>
      <vt:variant>
        <vt:i4>7798843</vt:i4>
      </vt:variant>
      <vt:variant>
        <vt:i4>723</vt:i4>
      </vt:variant>
      <vt:variant>
        <vt:i4>0</vt:i4>
      </vt:variant>
      <vt:variant>
        <vt:i4>5</vt:i4>
      </vt:variant>
      <vt:variant>
        <vt:lpwstr>http://www.westlaw.com/Find/Default.wl?rs=dfa1.0&amp;vr=2.0&amp;DB=708&amp;FindType=Y&amp;SerialNum=1979135177</vt:lpwstr>
      </vt:variant>
      <vt:variant>
        <vt:lpwstr/>
      </vt:variant>
      <vt:variant>
        <vt:i4>8323122</vt:i4>
      </vt:variant>
      <vt:variant>
        <vt:i4>720</vt:i4>
      </vt:variant>
      <vt:variant>
        <vt:i4>0</vt:i4>
      </vt:variant>
      <vt:variant>
        <vt:i4>5</vt:i4>
      </vt:variant>
      <vt:variant>
        <vt:lpwstr>http://www.westlaw.com/Find/Default.wl?rs=dfa1.0&amp;vr=2.0&amp;DB=227&amp;FindType=Y&amp;SerialNum=1979101096</vt:lpwstr>
      </vt:variant>
      <vt:variant>
        <vt:lpwstr/>
      </vt:variant>
      <vt:variant>
        <vt:i4>8323122</vt:i4>
      </vt:variant>
      <vt:variant>
        <vt:i4>717</vt:i4>
      </vt:variant>
      <vt:variant>
        <vt:i4>0</vt:i4>
      </vt:variant>
      <vt:variant>
        <vt:i4>5</vt:i4>
      </vt:variant>
      <vt:variant>
        <vt:lpwstr>http://www.westlaw.com/Find/Default.wl?rs=dfa1.0&amp;vr=2.0&amp;DB=227&amp;FindType=Y&amp;SerialNum=1979101096</vt:lpwstr>
      </vt:variant>
      <vt:variant>
        <vt:lpwstr/>
      </vt:variant>
      <vt:variant>
        <vt:i4>7471143</vt:i4>
      </vt:variant>
      <vt:variant>
        <vt:i4>714</vt:i4>
      </vt:variant>
      <vt:variant>
        <vt:i4>0</vt:i4>
      </vt:variant>
      <vt:variant>
        <vt:i4>5</vt:i4>
      </vt:variant>
      <vt:variant>
        <vt:lpwstr/>
      </vt:variant>
      <vt:variant>
        <vt:lpwstr>Document1zzF00772017819485</vt:lpwstr>
      </vt:variant>
      <vt:variant>
        <vt:i4>7471139</vt:i4>
      </vt:variant>
      <vt:variant>
        <vt:i4>711</vt:i4>
      </vt:variant>
      <vt:variant>
        <vt:i4>0</vt:i4>
      </vt:variant>
      <vt:variant>
        <vt:i4>5</vt:i4>
      </vt:variant>
      <vt:variant>
        <vt:lpwstr/>
      </vt:variant>
      <vt:variant>
        <vt:lpwstr>Document1zzB00772017819485</vt:lpwstr>
      </vt:variant>
      <vt:variant>
        <vt:i4>7798843</vt:i4>
      </vt:variant>
      <vt:variant>
        <vt:i4>708</vt:i4>
      </vt:variant>
      <vt:variant>
        <vt:i4>0</vt:i4>
      </vt:variant>
      <vt:variant>
        <vt:i4>5</vt:i4>
      </vt:variant>
      <vt:variant>
        <vt:lpwstr>http://www.westlaw.com/Find/Default.wl?rs=dfa1.0&amp;vr=2.0&amp;DB=708&amp;FindType=Y&amp;SerialNum=1979135177</vt:lpwstr>
      </vt:variant>
      <vt:variant>
        <vt:lpwstr/>
      </vt:variant>
      <vt:variant>
        <vt:i4>7798843</vt:i4>
      </vt:variant>
      <vt:variant>
        <vt:i4>705</vt:i4>
      </vt:variant>
      <vt:variant>
        <vt:i4>0</vt:i4>
      </vt:variant>
      <vt:variant>
        <vt:i4>5</vt:i4>
      </vt:variant>
      <vt:variant>
        <vt:lpwstr>http://www.westlaw.com/Find/Default.wl?rs=dfa1.0&amp;vr=2.0&amp;DB=708&amp;FindType=Y&amp;SerialNum=1979135177</vt:lpwstr>
      </vt:variant>
      <vt:variant>
        <vt:lpwstr/>
      </vt:variant>
      <vt:variant>
        <vt:i4>7536702</vt:i4>
      </vt:variant>
      <vt:variant>
        <vt:i4>702</vt:i4>
      </vt:variant>
      <vt:variant>
        <vt:i4>0</vt:i4>
      </vt:variant>
      <vt:variant>
        <vt:i4>5</vt:i4>
      </vt:variant>
      <vt:variant>
        <vt:lpwstr>http://www.westlaw.com/Find/Default.wl?rs=dfa1.0&amp;vr=2.0&amp;DB=780&amp;FindType=Y&amp;SerialNum=1871197890</vt:lpwstr>
      </vt:variant>
      <vt:variant>
        <vt:lpwstr/>
      </vt:variant>
      <vt:variant>
        <vt:i4>7536702</vt:i4>
      </vt:variant>
      <vt:variant>
        <vt:i4>699</vt:i4>
      </vt:variant>
      <vt:variant>
        <vt:i4>0</vt:i4>
      </vt:variant>
      <vt:variant>
        <vt:i4>5</vt:i4>
      </vt:variant>
      <vt:variant>
        <vt:lpwstr>http://www.westlaw.com/Find/Default.wl?rs=dfa1.0&amp;vr=2.0&amp;DB=780&amp;FindType=Y&amp;SerialNum=1871197890</vt:lpwstr>
      </vt:variant>
      <vt:variant>
        <vt:lpwstr/>
      </vt:variant>
      <vt:variant>
        <vt:i4>8323122</vt:i4>
      </vt:variant>
      <vt:variant>
        <vt:i4>696</vt:i4>
      </vt:variant>
      <vt:variant>
        <vt:i4>0</vt:i4>
      </vt:variant>
      <vt:variant>
        <vt:i4>5</vt:i4>
      </vt:variant>
      <vt:variant>
        <vt:lpwstr>http://www.westlaw.com/Find/Default.wl?rs=dfa1.0&amp;vr=2.0&amp;DB=227&amp;FindType=Y&amp;SerialNum=1979101096</vt:lpwstr>
      </vt:variant>
      <vt:variant>
        <vt:lpwstr/>
      </vt:variant>
      <vt:variant>
        <vt:i4>8323122</vt:i4>
      </vt:variant>
      <vt:variant>
        <vt:i4>693</vt:i4>
      </vt:variant>
      <vt:variant>
        <vt:i4>0</vt:i4>
      </vt:variant>
      <vt:variant>
        <vt:i4>5</vt:i4>
      </vt:variant>
      <vt:variant>
        <vt:lpwstr>http://www.westlaw.com/Find/Default.wl?rs=dfa1.0&amp;vr=2.0&amp;DB=227&amp;FindType=Y&amp;SerialNum=1979101096</vt:lpwstr>
      </vt:variant>
      <vt:variant>
        <vt:lpwstr/>
      </vt:variant>
      <vt:variant>
        <vt:i4>8323122</vt:i4>
      </vt:variant>
      <vt:variant>
        <vt:i4>690</vt:i4>
      </vt:variant>
      <vt:variant>
        <vt:i4>0</vt:i4>
      </vt:variant>
      <vt:variant>
        <vt:i4>5</vt:i4>
      </vt:variant>
      <vt:variant>
        <vt:lpwstr>http://www.westlaw.com/Find/Default.wl?rs=dfa1.0&amp;vr=2.0&amp;DB=227&amp;FindType=Y&amp;SerialNum=1979101096</vt:lpwstr>
      </vt:variant>
      <vt:variant>
        <vt:lpwstr/>
      </vt:variant>
      <vt:variant>
        <vt:i4>4456466</vt:i4>
      </vt:variant>
      <vt:variant>
        <vt:i4>687</vt:i4>
      </vt:variant>
      <vt:variant>
        <vt:i4>0</vt:i4>
      </vt:variant>
      <vt:variant>
        <vt:i4>5</vt:i4>
      </vt:variant>
      <vt:variant>
        <vt:lpwstr/>
      </vt:variant>
      <vt:variant>
        <vt:lpwstr>Document1zzF122017819485</vt:lpwstr>
      </vt:variant>
      <vt:variant>
        <vt:i4>393316</vt:i4>
      </vt:variant>
      <vt:variant>
        <vt:i4>684</vt:i4>
      </vt:variant>
      <vt:variant>
        <vt:i4>0</vt:i4>
      </vt:variant>
      <vt:variant>
        <vt:i4>5</vt:i4>
      </vt:variant>
      <vt:variant>
        <vt:lpwstr>http://www.westlaw.com/Find/Default.wl?rs=dfa1.0&amp;vr=2.0&amp;FindType=Y&amp;SerialNum=2004170905</vt:lpwstr>
      </vt:variant>
      <vt:variant>
        <vt:lpwstr/>
      </vt:variant>
      <vt:variant>
        <vt:i4>7798843</vt:i4>
      </vt:variant>
      <vt:variant>
        <vt:i4>681</vt:i4>
      </vt:variant>
      <vt:variant>
        <vt:i4>0</vt:i4>
      </vt:variant>
      <vt:variant>
        <vt:i4>5</vt:i4>
      </vt:variant>
      <vt:variant>
        <vt:lpwstr>http://www.westlaw.com/Find/Default.wl?rs=dfa1.0&amp;vr=2.0&amp;DB=708&amp;FindType=Y&amp;SerialNum=1979135177</vt:lpwstr>
      </vt:variant>
      <vt:variant>
        <vt:lpwstr/>
      </vt:variant>
      <vt:variant>
        <vt:i4>7798843</vt:i4>
      </vt:variant>
      <vt:variant>
        <vt:i4>678</vt:i4>
      </vt:variant>
      <vt:variant>
        <vt:i4>0</vt:i4>
      </vt:variant>
      <vt:variant>
        <vt:i4>5</vt:i4>
      </vt:variant>
      <vt:variant>
        <vt:lpwstr>http://www.westlaw.com/Find/Default.wl?rs=dfa1.0&amp;vr=2.0&amp;DB=708&amp;FindType=Y&amp;SerialNum=1979135177</vt:lpwstr>
      </vt:variant>
      <vt:variant>
        <vt:lpwstr/>
      </vt:variant>
      <vt:variant>
        <vt:i4>6029344</vt:i4>
      </vt:variant>
      <vt:variant>
        <vt:i4>675</vt:i4>
      </vt:variant>
      <vt:variant>
        <vt:i4>0</vt:i4>
      </vt:variant>
      <vt:variant>
        <vt:i4>5</vt:i4>
      </vt:variant>
      <vt:variant>
        <vt:lpwstr>http://www.westlaw.com/Find/Default.wl?rs=dfa1.0&amp;vr=2.0&amp;DB=4645&amp;FindType=Y&amp;SerialNum=2004170905</vt:lpwstr>
      </vt:variant>
      <vt:variant>
        <vt:lpwstr/>
      </vt:variant>
      <vt:variant>
        <vt:i4>6029344</vt:i4>
      </vt:variant>
      <vt:variant>
        <vt:i4>672</vt:i4>
      </vt:variant>
      <vt:variant>
        <vt:i4>0</vt:i4>
      </vt:variant>
      <vt:variant>
        <vt:i4>5</vt:i4>
      </vt:variant>
      <vt:variant>
        <vt:lpwstr>http://www.westlaw.com/Find/Default.wl?rs=dfa1.0&amp;vr=2.0&amp;DB=4645&amp;FindType=Y&amp;SerialNum=2004170905</vt:lpwstr>
      </vt:variant>
      <vt:variant>
        <vt:lpwstr/>
      </vt:variant>
      <vt:variant>
        <vt:i4>6029344</vt:i4>
      </vt:variant>
      <vt:variant>
        <vt:i4>669</vt:i4>
      </vt:variant>
      <vt:variant>
        <vt:i4>0</vt:i4>
      </vt:variant>
      <vt:variant>
        <vt:i4>5</vt:i4>
      </vt:variant>
      <vt:variant>
        <vt:lpwstr>http://www.westlaw.com/Find/Default.wl?rs=dfa1.0&amp;vr=2.0&amp;DB=4645&amp;FindType=Y&amp;SerialNum=2004170905</vt:lpwstr>
      </vt:variant>
      <vt:variant>
        <vt:lpwstr/>
      </vt:variant>
      <vt:variant>
        <vt:i4>7536678</vt:i4>
      </vt:variant>
      <vt:variant>
        <vt:i4>666</vt:i4>
      </vt:variant>
      <vt:variant>
        <vt:i4>0</vt:i4>
      </vt:variant>
      <vt:variant>
        <vt:i4>5</vt:i4>
      </vt:variant>
      <vt:variant>
        <vt:lpwstr/>
      </vt:variant>
      <vt:variant>
        <vt:lpwstr>Document1zzF00662017819485</vt:lpwstr>
      </vt:variant>
      <vt:variant>
        <vt:i4>5242919</vt:i4>
      </vt:variant>
      <vt:variant>
        <vt:i4>663</vt:i4>
      </vt:variant>
      <vt:variant>
        <vt:i4>0</vt:i4>
      </vt:variant>
      <vt:variant>
        <vt:i4>5</vt:i4>
      </vt:variant>
      <vt:variant>
        <vt:lpwstr>http://www.westlaw.com/Find/Default.wl?rs=dfa1.0&amp;vr=2.0&amp;DB=3484&amp;FindType=Y&amp;SerialNum=2000459005</vt:lpwstr>
      </vt:variant>
      <vt:variant>
        <vt:lpwstr/>
      </vt:variant>
      <vt:variant>
        <vt:i4>5242919</vt:i4>
      </vt:variant>
      <vt:variant>
        <vt:i4>660</vt:i4>
      </vt:variant>
      <vt:variant>
        <vt:i4>0</vt:i4>
      </vt:variant>
      <vt:variant>
        <vt:i4>5</vt:i4>
      </vt:variant>
      <vt:variant>
        <vt:lpwstr>http://www.westlaw.com/Find/Default.wl?rs=dfa1.0&amp;vr=2.0&amp;DB=3484&amp;FindType=Y&amp;SerialNum=2000459005</vt:lpwstr>
      </vt:variant>
      <vt:variant>
        <vt:lpwstr/>
      </vt:variant>
      <vt:variant>
        <vt:i4>8060984</vt:i4>
      </vt:variant>
      <vt:variant>
        <vt:i4>657</vt:i4>
      </vt:variant>
      <vt:variant>
        <vt:i4>0</vt:i4>
      </vt:variant>
      <vt:variant>
        <vt:i4>5</vt:i4>
      </vt:variant>
      <vt:variant>
        <vt:lpwstr>http://www.westlaw.com/Find/Default.wl?rs=dfa1.0&amp;vr=2.0&amp;DB=227&amp;FindType=Y&amp;SerialNum=1975104282</vt:lpwstr>
      </vt:variant>
      <vt:variant>
        <vt:lpwstr/>
      </vt:variant>
      <vt:variant>
        <vt:i4>8060984</vt:i4>
      </vt:variant>
      <vt:variant>
        <vt:i4>654</vt:i4>
      </vt:variant>
      <vt:variant>
        <vt:i4>0</vt:i4>
      </vt:variant>
      <vt:variant>
        <vt:i4>5</vt:i4>
      </vt:variant>
      <vt:variant>
        <vt:lpwstr>http://www.westlaw.com/Find/Default.wl?rs=dfa1.0&amp;vr=2.0&amp;DB=227&amp;FindType=Y&amp;SerialNum=1975104282</vt:lpwstr>
      </vt:variant>
      <vt:variant>
        <vt:lpwstr/>
      </vt:variant>
      <vt:variant>
        <vt:i4>983144</vt:i4>
      </vt:variant>
      <vt:variant>
        <vt:i4>651</vt:i4>
      </vt:variant>
      <vt:variant>
        <vt:i4>0</vt:i4>
      </vt:variant>
      <vt:variant>
        <vt:i4>5</vt:i4>
      </vt:variant>
      <vt:variant>
        <vt:lpwstr>http://www.westlaw.com/Find/Default.wl?rs=dfa1.0&amp;vr=2.0&amp;FindType=Y&amp;SerialNum=1979101096</vt:lpwstr>
      </vt:variant>
      <vt:variant>
        <vt:lpwstr/>
      </vt:variant>
      <vt:variant>
        <vt:i4>983144</vt:i4>
      </vt:variant>
      <vt:variant>
        <vt:i4>648</vt:i4>
      </vt:variant>
      <vt:variant>
        <vt:i4>0</vt:i4>
      </vt:variant>
      <vt:variant>
        <vt:i4>5</vt:i4>
      </vt:variant>
      <vt:variant>
        <vt:lpwstr>http://www.westlaw.com/Find/Default.wl?rs=dfa1.0&amp;vr=2.0&amp;FindType=Y&amp;SerialNum=1979101096</vt:lpwstr>
      </vt:variant>
      <vt:variant>
        <vt:lpwstr/>
      </vt:variant>
      <vt:variant>
        <vt:i4>983144</vt:i4>
      </vt:variant>
      <vt:variant>
        <vt:i4>645</vt:i4>
      </vt:variant>
      <vt:variant>
        <vt:i4>0</vt:i4>
      </vt:variant>
      <vt:variant>
        <vt:i4>5</vt:i4>
      </vt:variant>
      <vt:variant>
        <vt:lpwstr>http://www.westlaw.com/Find/Default.wl?rs=dfa1.0&amp;vr=2.0&amp;FindType=Y&amp;SerialNum=1979101096</vt:lpwstr>
      </vt:variant>
      <vt:variant>
        <vt:lpwstr/>
      </vt:variant>
      <vt:variant>
        <vt:i4>8323122</vt:i4>
      </vt:variant>
      <vt:variant>
        <vt:i4>642</vt:i4>
      </vt:variant>
      <vt:variant>
        <vt:i4>0</vt:i4>
      </vt:variant>
      <vt:variant>
        <vt:i4>5</vt:i4>
      </vt:variant>
      <vt:variant>
        <vt:lpwstr>http://www.westlaw.com/Find/Default.wl?rs=dfa1.0&amp;vr=2.0&amp;DB=227&amp;FindType=Y&amp;SerialNum=1979101096</vt:lpwstr>
      </vt:variant>
      <vt:variant>
        <vt:lpwstr/>
      </vt:variant>
      <vt:variant>
        <vt:i4>8323122</vt:i4>
      </vt:variant>
      <vt:variant>
        <vt:i4>639</vt:i4>
      </vt:variant>
      <vt:variant>
        <vt:i4>0</vt:i4>
      </vt:variant>
      <vt:variant>
        <vt:i4>5</vt:i4>
      </vt:variant>
      <vt:variant>
        <vt:lpwstr>http://www.westlaw.com/Find/Default.wl?rs=dfa1.0&amp;vr=2.0&amp;DB=227&amp;FindType=Y&amp;SerialNum=1979101096</vt:lpwstr>
      </vt:variant>
      <vt:variant>
        <vt:lpwstr/>
      </vt:variant>
      <vt:variant>
        <vt:i4>7602236</vt:i4>
      </vt:variant>
      <vt:variant>
        <vt:i4>636</vt:i4>
      </vt:variant>
      <vt:variant>
        <vt:i4>0</vt:i4>
      </vt:variant>
      <vt:variant>
        <vt:i4>5</vt:i4>
      </vt:variant>
      <vt:variant>
        <vt:lpwstr>http://www.westlaw.com/Find/Default.wl?rs=dfa1.0&amp;vr=2.0&amp;DB=227&amp;FindType=Y&amp;SerialNum=1981105999</vt:lpwstr>
      </vt:variant>
      <vt:variant>
        <vt:lpwstr/>
      </vt:variant>
      <vt:variant>
        <vt:i4>7602236</vt:i4>
      </vt:variant>
      <vt:variant>
        <vt:i4>633</vt:i4>
      </vt:variant>
      <vt:variant>
        <vt:i4>0</vt:i4>
      </vt:variant>
      <vt:variant>
        <vt:i4>5</vt:i4>
      </vt:variant>
      <vt:variant>
        <vt:lpwstr>http://www.westlaw.com/Find/Default.wl?rs=dfa1.0&amp;vr=2.0&amp;DB=227&amp;FindType=Y&amp;SerialNum=1981105999</vt:lpwstr>
      </vt:variant>
      <vt:variant>
        <vt:lpwstr/>
      </vt:variant>
      <vt:variant>
        <vt:i4>8060978</vt:i4>
      </vt:variant>
      <vt:variant>
        <vt:i4>630</vt:i4>
      </vt:variant>
      <vt:variant>
        <vt:i4>0</vt:i4>
      </vt:variant>
      <vt:variant>
        <vt:i4>5</vt:i4>
      </vt:variant>
      <vt:variant>
        <vt:lpwstr>http://www.westlaw.com/Find/Default.wl?rs=dfa1.0&amp;vr=2.0&amp;DB=227&amp;FindType=Y&amp;SerialNum=1991097047</vt:lpwstr>
      </vt:variant>
      <vt:variant>
        <vt:lpwstr/>
      </vt:variant>
      <vt:variant>
        <vt:i4>8060978</vt:i4>
      </vt:variant>
      <vt:variant>
        <vt:i4>627</vt:i4>
      </vt:variant>
      <vt:variant>
        <vt:i4>0</vt:i4>
      </vt:variant>
      <vt:variant>
        <vt:i4>5</vt:i4>
      </vt:variant>
      <vt:variant>
        <vt:lpwstr>http://www.westlaw.com/Find/Default.wl?rs=dfa1.0&amp;vr=2.0&amp;DB=227&amp;FindType=Y&amp;SerialNum=1991097047</vt:lpwstr>
      </vt:variant>
      <vt:variant>
        <vt:lpwstr/>
      </vt:variant>
      <vt:variant>
        <vt:i4>5242914</vt:i4>
      </vt:variant>
      <vt:variant>
        <vt:i4>624</vt:i4>
      </vt:variant>
      <vt:variant>
        <vt:i4>0</vt:i4>
      </vt:variant>
      <vt:variant>
        <vt:i4>5</vt:i4>
      </vt:variant>
      <vt:variant>
        <vt:lpwstr>http://www.westlaw.com/Find/Default.wl?rs=dfa1.0&amp;vr=2.0&amp;DB=7047&amp;FindType=Y&amp;SerialNum=2004074440</vt:lpwstr>
      </vt:variant>
      <vt:variant>
        <vt:lpwstr/>
      </vt:variant>
      <vt:variant>
        <vt:i4>5242914</vt:i4>
      </vt:variant>
      <vt:variant>
        <vt:i4>621</vt:i4>
      </vt:variant>
      <vt:variant>
        <vt:i4>0</vt:i4>
      </vt:variant>
      <vt:variant>
        <vt:i4>5</vt:i4>
      </vt:variant>
      <vt:variant>
        <vt:lpwstr>http://www.westlaw.com/Find/Default.wl?rs=dfa1.0&amp;vr=2.0&amp;DB=7047&amp;FindType=Y&amp;SerialNum=2004074440</vt:lpwstr>
      </vt:variant>
      <vt:variant>
        <vt:lpwstr/>
      </vt:variant>
      <vt:variant>
        <vt:i4>5439525</vt:i4>
      </vt:variant>
      <vt:variant>
        <vt:i4>618</vt:i4>
      </vt:variant>
      <vt:variant>
        <vt:i4>0</vt:i4>
      </vt:variant>
      <vt:variant>
        <vt:i4>5</vt:i4>
      </vt:variant>
      <vt:variant>
        <vt:lpwstr>http://www.westlaw.com/Find/Default.wl?rs=dfa1.0&amp;vr=2.0&amp;DB=7047&amp;FindType=Y&amp;SerialNum=2004376423</vt:lpwstr>
      </vt:variant>
      <vt:variant>
        <vt:lpwstr/>
      </vt:variant>
      <vt:variant>
        <vt:i4>5439525</vt:i4>
      </vt:variant>
      <vt:variant>
        <vt:i4>615</vt:i4>
      </vt:variant>
      <vt:variant>
        <vt:i4>0</vt:i4>
      </vt:variant>
      <vt:variant>
        <vt:i4>5</vt:i4>
      </vt:variant>
      <vt:variant>
        <vt:lpwstr>http://www.westlaw.com/Find/Default.wl?rs=dfa1.0&amp;vr=2.0&amp;DB=7047&amp;FindType=Y&amp;SerialNum=2004376423</vt:lpwstr>
      </vt:variant>
      <vt:variant>
        <vt:lpwstr/>
      </vt:variant>
      <vt:variant>
        <vt:i4>5570605</vt:i4>
      </vt:variant>
      <vt:variant>
        <vt:i4>612</vt:i4>
      </vt:variant>
      <vt:variant>
        <vt:i4>0</vt:i4>
      </vt:variant>
      <vt:variant>
        <vt:i4>5</vt:i4>
      </vt:variant>
      <vt:variant>
        <vt:lpwstr>http://www.westlaw.com/Find/Default.wl?rs=dfa1.0&amp;vr=2.0&amp;DB=7047&amp;FindType=Y&amp;SerialNum=2004864838</vt:lpwstr>
      </vt:variant>
      <vt:variant>
        <vt:lpwstr/>
      </vt:variant>
      <vt:variant>
        <vt:i4>5570605</vt:i4>
      </vt:variant>
      <vt:variant>
        <vt:i4>609</vt:i4>
      </vt:variant>
      <vt:variant>
        <vt:i4>0</vt:i4>
      </vt:variant>
      <vt:variant>
        <vt:i4>5</vt:i4>
      </vt:variant>
      <vt:variant>
        <vt:lpwstr>http://www.westlaw.com/Find/Default.wl?rs=dfa1.0&amp;vr=2.0&amp;DB=7047&amp;FindType=Y&amp;SerialNum=2004864838</vt:lpwstr>
      </vt:variant>
      <vt:variant>
        <vt:lpwstr/>
      </vt:variant>
      <vt:variant>
        <vt:i4>5570593</vt:i4>
      </vt:variant>
      <vt:variant>
        <vt:i4>606</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603</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600</vt:i4>
      </vt:variant>
      <vt:variant>
        <vt:i4>0</vt:i4>
      </vt:variant>
      <vt:variant>
        <vt:i4>5</vt:i4>
      </vt:variant>
      <vt:variant>
        <vt:lpwstr>http://www.westlaw.com/Find/Default.wl?rs=dfa1.0&amp;vr=2.0&amp;DB=7047&amp;FindType=Y&amp;SerialNum=2007215642</vt:lpwstr>
      </vt:variant>
      <vt:variant>
        <vt:lpwstr/>
      </vt:variant>
      <vt:variant>
        <vt:i4>7536674</vt:i4>
      </vt:variant>
      <vt:variant>
        <vt:i4>597</vt:i4>
      </vt:variant>
      <vt:variant>
        <vt:i4>0</vt:i4>
      </vt:variant>
      <vt:variant>
        <vt:i4>5</vt:i4>
      </vt:variant>
      <vt:variant>
        <vt:lpwstr/>
      </vt:variant>
      <vt:variant>
        <vt:lpwstr>Document1zzB00662017819485</vt:lpwstr>
      </vt:variant>
      <vt:variant>
        <vt:i4>8323120</vt:i4>
      </vt:variant>
      <vt:variant>
        <vt:i4>594</vt:i4>
      </vt:variant>
      <vt:variant>
        <vt:i4>0</vt:i4>
      </vt:variant>
      <vt:variant>
        <vt:i4>5</vt:i4>
      </vt:variant>
      <vt:variant>
        <vt:lpwstr>http://www.westlaw.com/Find/Default.wl?rs=dfa1.0&amp;vr=2.0&amp;DB=660&amp;FindType=Y&amp;SerialNum=1889003412</vt:lpwstr>
      </vt:variant>
      <vt:variant>
        <vt:lpwstr/>
      </vt:variant>
      <vt:variant>
        <vt:i4>8323120</vt:i4>
      </vt:variant>
      <vt:variant>
        <vt:i4>591</vt:i4>
      </vt:variant>
      <vt:variant>
        <vt:i4>0</vt:i4>
      </vt:variant>
      <vt:variant>
        <vt:i4>5</vt:i4>
      </vt:variant>
      <vt:variant>
        <vt:lpwstr>http://www.westlaw.com/Find/Default.wl?rs=dfa1.0&amp;vr=2.0&amp;DB=660&amp;FindType=Y&amp;SerialNum=1889003412</vt:lpwstr>
      </vt:variant>
      <vt:variant>
        <vt:lpwstr/>
      </vt:variant>
      <vt:variant>
        <vt:i4>8192056</vt:i4>
      </vt:variant>
      <vt:variant>
        <vt:i4>588</vt:i4>
      </vt:variant>
      <vt:variant>
        <vt:i4>0</vt:i4>
      </vt:variant>
      <vt:variant>
        <vt:i4>5</vt:i4>
      </vt:variant>
      <vt:variant>
        <vt:lpwstr>http://www.westlaw.com/Find/Default.wl?rs=dfa1.0&amp;vr=2.0&amp;DB=660&amp;FindType=Y&amp;SerialNum=1897003020</vt:lpwstr>
      </vt:variant>
      <vt:variant>
        <vt:lpwstr/>
      </vt:variant>
      <vt:variant>
        <vt:i4>8192056</vt:i4>
      </vt:variant>
      <vt:variant>
        <vt:i4>585</vt:i4>
      </vt:variant>
      <vt:variant>
        <vt:i4>0</vt:i4>
      </vt:variant>
      <vt:variant>
        <vt:i4>5</vt:i4>
      </vt:variant>
      <vt:variant>
        <vt:lpwstr>http://www.westlaw.com/Find/Default.wl?rs=dfa1.0&amp;vr=2.0&amp;DB=660&amp;FindType=Y&amp;SerialNum=1897003020</vt:lpwstr>
      </vt:variant>
      <vt:variant>
        <vt:lpwstr/>
      </vt:variant>
      <vt:variant>
        <vt:i4>7864379</vt:i4>
      </vt:variant>
      <vt:variant>
        <vt:i4>582</vt:i4>
      </vt:variant>
      <vt:variant>
        <vt:i4>0</vt:i4>
      </vt:variant>
      <vt:variant>
        <vt:i4>5</vt:i4>
      </vt:variant>
      <vt:variant>
        <vt:lpwstr>http://www.westlaw.com/Find/Default.wl?rs=dfa1.0&amp;vr=2.0&amp;DB=660&amp;FindType=Y&amp;SerialNum=1900005085</vt:lpwstr>
      </vt:variant>
      <vt:variant>
        <vt:lpwstr/>
      </vt:variant>
      <vt:variant>
        <vt:i4>7864379</vt:i4>
      </vt:variant>
      <vt:variant>
        <vt:i4>579</vt:i4>
      </vt:variant>
      <vt:variant>
        <vt:i4>0</vt:i4>
      </vt:variant>
      <vt:variant>
        <vt:i4>5</vt:i4>
      </vt:variant>
      <vt:variant>
        <vt:lpwstr>http://www.westlaw.com/Find/Default.wl?rs=dfa1.0&amp;vr=2.0&amp;DB=660&amp;FindType=Y&amp;SerialNum=1900005085</vt:lpwstr>
      </vt:variant>
      <vt:variant>
        <vt:lpwstr/>
      </vt:variant>
      <vt:variant>
        <vt:i4>7405622</vt:i4>
      </vt:variant>
      <vt:variant>
        <vt:i4>576</vt:i4>
      </vt:variant>
      <vt:variant>
        <vt:i4>0</vt:i4>
      </vt:variant>
      <vt:variant>
        <vt:i4>5</vt:i4>
      </vt:variant>
      <vt:variant>
        <vt:lpwstr>http://www.westlaw.com/Find/Default.wl?rs=dfa1.0&amp;vr=2.0&amp;DB=660&amp;FindType=Y&amp;SerialNum=1909006021</vt:lpwstr>
      </vt:variant>
      <vt:variant>
        <vt:lpwstr/>
      </vt:variant>
      <vt:variant>
        <vt:i4>7405622</vt:i4>
      </vt:variant>
      <vt:variant>
        <vt:i4>573</vt:i4>
      </vt:variant>
      <vt:variant>
        <vt:i4>0</vt:i4>
      </vt:variant>
      <vt:variant>
        <vt:i4>5</vt:i4>
      </vt:variant>
      <vt:variant>
        <vt:lpwstr>http://www.westlaw.com/Find/Default.wl?rs=dfa1.0&amp;vr=2.0&amp;DB=660&amp;FindType=Y&amp;SerialNum=1909006021</vt:lpwstr>
      </vt:variant>
      <vt:variant>
        <vt:lpwstr/>
      </vt:variant>
      <vt:variant>
        <vt:i4>7733311</vt:i4>
      </vt:variant>
      <vt:variant>
        <vt:i4>570</vt:i4>
      </vt:variant>
      <vt:variant>
        <vt:i4>0</vt:i4>
      </vt:variant>
      <vt:variant>
        <vt:i4>5</vt:i4>
      </vt:variant>
      <vt:variant>
        <vt:lpwstr>http://www.westlaw.com/Find/Default.wl?rs=dfa1.0&amp;vr=2.0&amp;DB=661&amp;FindType=Y&amp;SerialNum=1952112152</vt:lpwstr>
      </vt:variant>
      <vt:variant>
        <vt:lpwstr/>
      </vt:variant>
      <vt:variant>
        <vt:i4>7733311</vt:i4>
      </vt:variant>
      <vt:variant>
        <vt:i4>567</vt:i4>
      </vt:variant>
      <vt:variant>
        <vt:i4>0</vt:i4>
      </vt:variant>
      <vt:variant>
        <vt:i4>5</vt:i4>
      </vt:variant>
      <vt:variant>
        <vt:lpwstr>http://www.westlaw.com/Find/Default.wl?rs=dfa1.0&amp;vr=2.0&amp;DB=661&amp;FindType=Y&amp;SerialNum=1952112152</vt:lpwstr>
      </vt:variant>
      <vt:variant>
        <vt:lpwstr/>
      </vt:variant>
      <vt:variant>
        <vt:i4>7536702</vt:i4>
      </vt:variant>
      <vt:variant>
        <vt:i4>564</vt:i4>
      </vt:variant>
      <vt:variant>
        <vt:i4>0</vt:i4>
      </vt:variant>
      <vt:variant>
        <vt:i4>5</vt:i4>
      </vt:variant>
      <vt:variant>
        <vt:lpwstr>http://www.westlaw.com/Find/Default.wl?rs=dfa1.0&amp;vr=2.0&amp;DB=780&amp;FindType=Y&amp;SerialNum=1871197890</vt:lpwstr>
      </vt:variant>
      <vt:variant>
        <vt:lpwstr/>
      </vt:variant>
      <vt:variant>
        <vt:i4>7536702</vt:i4>
      </vt:variant>
      <vt:variant>
        <vt:i4>561</vt:i4>
      </vt:variant>
      <vt:variant>
        <vt:i4>0</vt:i4>
      </vt:variant>
      <vt:variant>
        <vt:i4>5</vt:i4>
      </vt:variant>
      <vt:variant>
        <vt:lpwstr>http://www.westlaw.com/Find/Default.wl?rs=dfa1.0&amp;vr=2.0&amp;DB=780&amp;FindType=Y&amp;SerialNum=1871197890</vt:lpwstr>
      </vt:variant>
      <vt:variant>
        <vt:lpwstr/>
      </vt:variant>
      <vt:variant>
        <vt:i4>7798832</vt:i4>
      </vt:variant>
      <vt:variant>
        <vt:i4>558</vt:i4>
      </vt:variant>
      <vt:variant>
        <vt:i4>0</vt:i4>
      </vt:variant>
      <vt:variant>
        <vt:i4>5</vt:i4>
      </vt:variant>
      <vt:variant>
        <vt:lpwstr>http://www.westlaw.com/Find/Default.wl?rs=dfa1.0&amp;vr=2.0&amp;DB=708&amp;FindType=Y&amp;SerialNum=1969132914</vt:lpwstr>
      </vt:variant>
      <vt:variant>
        <vt:lpwstr/>
      </vt:variant>
      <vt:variant>
        <vt:i4>7798832</vt:i4>
      </vt:variant>
      <vt:variant>
        <vt:i4>555</vt:i4>
      </vt:variant>
      <vt:variant>
        <vt:i4>0</vt:i4>
      </vt:variant>
      <vt:variant>
        <vt:i4>5</vt:i4>
      </vt:variant>
      <vt:variant>
        <vt:lpwstr>http://www.westlaw.com/Find/Default.wl?rs=dfa1.0&amp;vr=2.0&amp;DB=708&amp;FindType=Y&amp;SerialNum=1969132914</vt:lpwstr>
      </vt:variant>
      <vt:variant>
        <vt:lpwstr/>
      </vt:variant>
      <vt:variant>
        <vt:i4>7798843</vt:i4>
      </vt:variant>
      <vt:variant>
        <vt:i4>552</vt:i4>
      </vt:variant>
      <vt:variant>
        <vt:i4>0</vt:i4>
      </vt:variant>
      <vt:variant>
        <vt:i4>5</vt:i4>
      </vt:variant>
      <vt:variant>
        <vt:lpwstr>http://www.westlaw.com/Find/Default.wl?rs=dfa1.0&amp;vr=2.0&amp;DB=708&amp;FindType=Y&amp;SerialNum=1979135177</vt:lpwstr>
      </vt:variant>
      <vt:variant>
        <vt:lpwstr/>
      </vt:variant>
      <vt:variant>
        <vt:i4>7798843</vt:i4>
      </vt:variant>
      <vt:variant>
        <vt:i4>549</vt:i4>
      </vt:variant>
      <vt:variant>
        <vt:i4>0</vt:i4>
      </vt:variant>
      <vt:variant>
        <vt:i4>5</vt:i4>
      </vt:variant>
      <vt:variant>
        <vt:lpwstr>http://www.westlaw.com/Find/Default.wl?rs=dfa1.0&amp;vr=2.0&amp;DB=708&amp;FindType=Y&amp;SerialNum=1979135177</vt:lpwstr>
      </vt:variant>
      <vt:variant>
        <vt:lpwstr/>
      </vt:variant>
      <vt:variant>
        <vt:i4>7798843</vt:i4>
      </vt:variant>
      <vt:variant>
        <vt:i4>546</vt:i4>
      </vt:variant>
      <vt:variant>
        <vt:i4>0</vt:i4>
      </vt:variant>
      <vt:variant>
        <vt:i4>5</vt:i4>
      </vt:variant>
      <vt:variant>
        <vt:lpwstr>http://www.westlaw.com/Find/Default.wl?rs=dfa1.0&amp;vr=2.0&amp;DB=708&amp;FindType=Y&amp;SerialNum=1979135177</vt:lpwstr>
      </vt:variant>
      <vt:variant>
        <vt:lpwstr/>
      </vt:variant>
      <vt:variant>
        <vt:i4>7798843</vt:i4>
      </vt:variant>
      <vt:variant>
        <vt:i4>543</vt:i4>
      </vt:variant>
      <vt:variant>
        <vt:i4>0</vt:i4>
      </vt:variant>
      <vt:variant>
        <vt:i4>5</vt:i4>
      </vt:variant>
      <vt:variant>
        <vt:lpwstr>http://www.westlaw.com/Find/Default.wl?rs=dfa1.0&amp;vr=2.0&amp;DB=708&amp;FindType=Y&amp;SerialNum=1979135177</vt:lpwstr>
      </vt:variant>
      <vt:variant>
        <vt:lpwstr/>
      </vt:variant>
      <vt:variant>
        <vt:i4>7798843</vt:i4>
      </vt:variant>
      <vt:variant>
        <vt:i4>540</vt:i4>
      </vt:variant>
      <vt:variant>
        <vt:i4>0</vt:i4>
      </vt:variant>
      <vt:variant>
        <vt:i4>5</vt:i4>
      </vt:variant>
      <vt:variant>
        <vt:lpwstr>http://www.westlaw.com/Find/Default.wl?rs=dfa1.0&amp;vr=2.0&amp;DB=708&amp;FindType=Y&amp;SerialNum=1979135177</vt:lpwstr>
      </vt:variant>
      <vt:variant>
        <vt:lpwstr/>
      </vt:variant>
      <vt:variant>
        <vt:i4>7798843</vt:i4>
      </vt:variant>
      <vt:variant>
        <vt:i4>537</vt:i4>
      </vt:variant>
      <vt:variant>
        <vt:i4>0</vt:i4>
      </vt:variant>
      <vt:variant>
        <vt:i4>5</vt:i4>
      </vt:variant>
      <vt:variant>
        <vt:lpwstr>http://www.westlaw.com/Find/Default.wl?rs=dfa1.0&amp;vr=2.0&amp;DB=708&amp;FindType=Y&amp;SerialNum=1979135177</vt:lpwstr>
      </vt:variant>
      <vt:variant>
        <vt:lpwstr/>
      </vt:variant>
      <vt:variant>
        <vt:i4>7798843</vt:i4>
      </vt:variant>
      <vt:variant>
        <vt:i4>534</vt:i4>
      </vt:variant>
      <vt:variant>
        <vt:i4>0</vt:i4>
      </vt:variant>
      <vt:variant>
        <vt:i4>5</vt:i4>
      </vt:variant>
      <vt:variant>
        <vt:lpwstr>http://www.westlaw.com/Find/Default.wl?rs=dfa1.0&amp;vr=2.0&amp;DB=708&amp;FindType=Y&amp;SerialNum=1979135177</vt:lpwstr>
      </vt:variant>
      <vt:variant>
        <vt:lpwstr/>
      </vt:variant>
      <vt:variant>
        <vt:i4>7798843</vt:i4>
      </vt:variant>
      <vt:variant>
        <vt:i4>531</vt:i4>
      </vt:variant>
      <vt:variant>
        <vt:i4>0</vt:i4>
      </vt:variant>
      <vt:variant>
        <vt:i4>5</vt:i4>
      </vt:variant>
      <vt:variant>
        <vt:lpwstr>http://www.westlaw.com/Find/Default.wl?rs=dfa1.0&amp;vr=2.0&amp;DB=708&amp;FindType=Y&amp;SerialNum=1979135177</vt:lpwstr>
      </vt:variant>
      <vt:variant>
        <vt:lpwstr/>
      </vt:variant>
      <vt:variant>
        <vt:i4>7798843</vt:i4>
      </vt:variant>
      <vt:variant>
        <vt:i4>528</vt:i4>
      </vt:variant>
      <vt:variant>
        <vt:i4>0</vt:i4>
      </vt:variant>
      <vt:variant>
        <vt:i4>5</vt:i4>
      </vt:variant>
      <vt:variant>
        <vt:lpwstr>http://www.westlaw.com/Find/Default.wl?rs=dfa1.0&amp;vr=2.0&amp;DB=708&amp;FindType=Y&amp;SerialNum=1979135177</vt:lpwstr>
      </vt:variant>
      <vt:variant>
        <vt:lpwstr/>
      </vt:variant>
      <vt:variant>
        <vt:i4>7798843</vt:i4>
      </vt:variant>
      <vt:variant>
        <vt:i4>525</vt:i4>
      </vt:variant>
      <vt:variant>
        <vt:i4>0</vt:i4>
      </vt:variant>
      <vt:variant>
        <vt:i4>5</vt:i4>
      </vt:variant>
      <vt:variant>
        <vt:lpwstr>http://www.westlaw.com/Find/Default.wl?rs=dfa1.0&amp;vr=2.0&amp;DB=708&amp;FindType=Y&amp;SerialNum=1979135177</vt:lpwstr>
      </vt:variant>
      <vt:variant>
        <vt:lpwstr/>
      </vt:variant>
      <vt:variant>
        <vt:i4>7798843</vt:i4>
      </vt:variant>
      <vt:variant>
        <vt:i4>522</vt:i4>
      </vt:variant>
      <vt:variant>
        <vt:i4>0</vt:i4>
      </vt:variant>
      <vt:variant>
        <vt:i4>5</vt:i4>
      </vt:variant>
      <vt:variant>
        <vt:lpwstr>http://www.westlaw.com/Find/Default.wl?rs=dfa1.0&amp;vr=2.0&amp;DB=708&amp;FindType=Y&amp;SerialNum=1979135177</vt:lpwstr>
      </vt:variant>
      <vt:variant>
        <vt:lpwstr/>
      </vt:variant>
      <vt:variant>
        <vt:i4>7798843</vt:i4>
      </vt:variant>
      <vt:variant>
        <vt:i4>519</vt:i4>
      </vt:variant>
      <vt:variant>
        <vt:i4>0</vt:i4>
      </vt:variant>
      <vt:variant>
        <vt:i4>5</vt:i4>
      </vt:variant>
      <vt:variant>
        <vt:lpwstr>http://www.westlaw.com/Find/Default.wl?rs=dfa1.0&amp;vr=2.0&amp;DB=708&amp;FindType=Y&amp;SerialNum=1979135177</vt:lpwstr>
      </vt:variant>
      <vt:variant>
        <vt:lpwstr/>
      </vt:variant>
      <vt:variant>
        <vt:i4>7340069</vt:i4>
      </vt:variant>
      <vt:variant>
        <vt:i4>516</vt:i4>
      </vt:variant>
      <vt:variant>
        <vt:i4>0</vt:i4>
      </vt:variant>
      <vt:variant>
        <vt:i4>5</vt:i4>
      </vt:variant>
      <vt:variant>
        <vt:lpwstr/>
      </vt:variant>
      <vt:variant>
        <vt:lpwstr>Document1zzF00552017819485</vt:lpwstr>
      </vt:variant>
      <vt:variant>
        <vt:i4>7798843</vt:i4>
      </vt:variant>
      <vt:variant>
        <vt:i4>513</vt:i4>
      </vt:variant>
      <vt:variant>
        <vt:i4>0</vt:i4>
      </vt:variant>
      <vt:variant>
        <vt:i4>5</vt:i4>
      </vt:variant>
      <vt:variant>
        <vt:lpwstr>http://www.westlaw.com/Find/Default.wl?rs=dfa1.0&amp;vr=2.0&amp;DB=708&amp;FindType=Y&amp;SerialNum=1979135177</vt:lpwstr>
      </vt:variant>
      <vt:variant>
        <vt:lpwstr/>
      </vt:variant>
      <vt:variant>
        <vt:i4>7798843</vt:i4>
      </vt:variant>
      <vt:variant>
        <vt:i4>510</vt:i4>
      </vt:variant>
      <vt:variant>
        <vt:i4>0</vt:i4>
      </vt:variant>
      <vt:variant>
        <vt:i4>5</vt:i4>
      </vt:variant>
      <vt:variant>
        <vt:lpwstr>http://www.westlaw.com/Find/Default.wl?rs=dfa1.0&amp;vr=2.0&amp;DB=708&amp;FindType=Y&amp;SerialNum=1979135177</vt:lpwstr>
      </vt:variant>
      <vt:variant>
        <vt:lpwstr/>
      </vt:variant>
      <vt:variant>
        <vt:i4>7798843</vt:i4>
      </vt:variant>
      <vt:variant>
        <vt:i4>507</vt:i4>
      </vt:variant>
      <vt:variant>
        <vt:i4>0</vt:i4>
      </vt:variant>
      <vt:variant>
        <vt:i4>5</vt:i4>
      </vt:variant>
      <vt:variant>
        <vt:lpwstr>http://www.westlaw.com/Find/Default.wl?rs=dfa1.0&amp;vr=2.0&amp;DB=708&amp;FindType=Y&amp;SerialNum=1979135177</vt:lpwstr>
      </vt:variant>
      <vt:variant>
        <vt:lpwstr/>
      </vt:variant>
      <vt:variant>
        <vt:i4>7340065</vt:i4>
      </vt:variant>
      <vt:variant>
        <vt:i4>504</vt:i4>
      </vt:variant>
      <vt:variant>
        <vt:i4>0</vt:i4>
      </vt:variant>
      <vt:variant>
        <vt:i4>5</vt:i4>
      </vt:variant>
      <vt:variant>
        <vt:lpwstr/>
      </vt:variant>
      <vt:variant>
        <vt:lpwstr>Document1zzB00552017819485</vt:lpwstr>
      </vt:variant>
      <vt:variant>
        <vt:i4>786530</vt:i4>
      </vt:variant>
      <vt:variant>
        <vt:i4>501</vt:i4>
      </vt:variant>
      <vt:variant>
        <vt:i4>0</vt:i4>
      </vt:variant>
      <vt:variant>
        <vt:i4>5</vt:i4>
      </vt:variant>
      <vt:variant>
        <vt:lpwstr>http://www.westlaw.com/Find/Default.wl?rs=dfa1.0&amp;vr=2.0&amp;FindType=Y&amp;SerialNum=1979135177</vt:lpwstr>
      </vt:variant>
      <vt:variant>
        <vt:lpwstr/>
      </vt:variant>
      <vt:variant>
        <vt:i4>786530</vt:i4>
      </vt:variant>
      <vt:variant>
        <vt:i4>498</vt:i4>
      </vt:variant>
      <vt:variant>
        <vt:i4>0</vt:i4>
      </vt:variant>
      <vt:variant>
        <vt:i4>5</vt:i4>
      </vt:variant>
      <vt:variant>
        <vt:lpwstr>http://www.westlaw.com/Find/Default.wl?rs=dfa1.0&amp;vr=2.0&amp;FindType=Y&amp;SerialNum=1979135177</vt:lpwstr>
      </vt:variant>
      <vt:variant>
        <vt:lpwstr/>
      </vt:variant>
      <vt:variant>
        <vt:i4>786530</vt:i4>
      </vt:variant>
      <vt:variant>
        <vt:i4>495</vt:i4>
      </vt:variant>
      <vt:variant>
        <vt:i4>0</vt:i4>
      </vt:variant>
      <vt:variant>
        <vt:i4>5</vt:i4>
      </vt:variant>
      <vt:variant>
        <vt:lpwstr>http://www.westlaw.com/Find/Default.wl?rs=dfa1.0&amp;vr=2.0&amp;FindType=Y&amp;SerialNum=1979135177</vt:lpwstr>
      </vt:variant>
      <vt:variant>
        <vt:lpwstr/>
      </vt:variant>
      <vt:variant>
        <vt:i4>7798843</vt:i4>
      </vt:variant>
      <vt:variant>
        <vt:i4>492</vt:i4>
      </vt:variant>
      <vt:variant>
        <vt:i4>0</vt:i4>
      </vt:variant>
      <vt:variant>
        <vt:i4>5</vt:i4>
      </vt:variant>
      <vt:variant>
        <vt:lpwstr>http://www.westlaw.com/Find/Default.wl?rs=dfa1.0&amp;vr=2.0&amp;DB=708&amp;FindType=Y&amp;SerialNum=1979135177</vt:lpwstr>
      </vt:variant>
      <vt:variant>
        <vt:lpwstr/>
      </vt:variant>
      <vt:variant>
        <vt:i4>7798843</vt:i4>
      </vt:variant>
      <vt:variant>
        <vt:i4>489</vt:i4>
      </vt:variant>
      <vt:variant>
        <vt:i4>0</vt:i4>
      </vt:variant>
      <vt:variant>
        <vt:i4>5</vt:i4>
      </vt:variant>
      <vt:variant>
        <vt:lpwstr>http://www.westlaw.com/Find/Default.wl?rs=dfa1.0&amp;vr=2.0&amp;DB=708&amp;FindType=Y&amp;SerialNum=1979135177</vt:lpwstr>
      </vt:variant>
      <vt:variant>
        <vt:lpwstr/>
      </vt:variant>
      <vt:variant>
        <vt:i4>7798843</vt:i4>
      </vt:variant>
      <vt:variant>
        <vt:i4>486</vt:i4>
      </vt:variant>
      <vt:variant>
        <vt:i4>0</vt:i4>
      </vt:variant>
      <vt:variant>
        <vt:i4>5</vt:i4>
      </vt:variant>
      <vt:variant>
        <vt:lpwstr>http://www.westlaw.com/Find/Default.wl?rs=dfa1.0&amp;vr=2.0&amp;DB=708&amp;FindType=Y&amp;SerialNum=1979135177</vt:lpwstr>
      </vt:variant>
      <vt:variant>
        <vt:lpwstr/>
      </vt:variant>
      <vt:variant>
        <vt:i4>786530</vt:i4>
      </vt:variant>
      <vt:variant>
        <vt:i4>483</vt:i4>
      </vt:variant>
      <vt:variant>
        <vt:i4>0</vt:i4>
      </vt:variant>
      <vt:variant>
        <vt:i4>5</vt:i4>
      </vt:variant>
      <vt:variant>
        <vt:lpwstr>http://www.westlaw.com/Find/Default.wl?rs=dfa1.0&amp;vr=2.0&amp;FindType=Y&amp;SerialNum=1979135177</vt:lpwstr>
      </vt:variant>
      <vt:variant>
        <vt:lpwstr/>
      </vt:variant>
      <vt:variant>
        <vt:i4>7798843</vt:i4>
      </vt:variant>
      <vt:variant>
        <vt:i4>480</vt:i4>
      </vt:variant>
      <vt:variant>
        <vt:i4>0</vt:i4>
      </vt:variant>
      <vt:variant>
        <vt:i4>5</vt:i4>
      </vt:variant>
      <vt:variant>
        <vt:lpwstr>http://www.westlaw.com/Find/Default.wl?rs=dfa1.0&amp;vr=2.0&amp;DB=708&amp;FindType=Y&amp;SerialNum=1979135177</vt:lpwstr>
      </vt:variant>
      <vt:variant>
        <vt:lpwstr/>
      </vt:variant>
      <vt:variant>
        <vt:i4>7798843</vt:i4>
      </vt:variant>
      <vt:variant>
        <vt:i4>477</vt:i4>
      </vt:variant>
      <vt:variant>
        <vt:i4>0</vt:i4>
      </vt:variant>
      <vt:variant>
        <vt:i4>5</vt:i4>
      </vt:variant>
      <vt:variant>
        <vt:lpwstr>http://www.westlaw.com/Find/Default.wl?rs=dfa1.0&amp;vr=2.0&amp;DB=708&amp;FindType=Y&amp;SerialNum=1979135177</vt:lpwstr>
      </vt:variant>
      <vt:variant>
        <vt:lpwstr/>
      </vt:variant>
      <vt:variant>
        <vt:i4>7798843</vt:i4>
      </vt:variant>
      <vt:variant>
        <vt:i4>474</vt:i4>
      </vt:variant>
      <vt:variant>
        <vt:i4>0</vt:i4>
      </vt:variant>
      <vt:variant>
        <vt:i4>5</vt:i4>
      </vt:variant>
      <vt:variant>
        <vt:lpwstr>http://www.westlaw.com/Find/Default.wl?rs=dfa1.0&amp;vr=2.0&amp;DB=708&amp;FindType=Y&amp;SerialNum=1979135177</vt:lpwstr>
      </vt:variant>
      <vt:variant>
        <vt:lpwstr/>
      </vt:variant>
      <vt:variant>
        <vt:i4>7798832</vt:i4>
      </vt:variant>
      <vt:variant>
        <vt:i4>471</vt:i4>
      </vt:variant>
      <vt:variant>
        <vt:i4>0</vt:i4>
      </vt:variant>
      <vt:variant>
        <vt:i4>5</vt:i4>
      </vt:variant>
      <vt:variant>
        <vt:lpwstr>http://www.westlaw.com/Find/Default.wl?rs=dfa1.0&amp;vr=2.0&amp;DB=708&amp;FindType=Y&amp;SerialNum=1969132914</vt:lpwstr>
      </vt:variant>
      <vt:variant>
        <vt:lpwstr/>
      </vt:variant>
      <vt:variant>
        <vt:i4>7798832</vt:i4>
      </vt:variant>
      <vt:variant>
        <vt:i4>468</vt:i4>
      </vt:variant>
      <vt:variant>
        <vt:i4>0</vt:i4>
      </vt:variant>
      <vt:variant>
        <vt:i4>5</vt:i4>
      </vt:variant>
      <vt:variant>
        <vt:lpwstr>http://www.westlaw.com/Find/Default.wl?rs=dfa1.0&amp;vr=2.0&amp;DB=708&amp;FindType=Y&amp;SerialNum=1969132914</vt:lpwstr>
      </vt:variant>
      <vt:variant>
        <vt:lpwstr/>
      </vt:variant>
      <vt:variant>
        <vt:i4>7798843</vt:i4>
      </vt:variant>
      <vt:variant>
        <vt:i4>465</vt:i4>
      </vt:variant>
      <vt:variant>
        <vt:i4>0</vt:i4>
      </vt:variant>
      <vt:variant>
        <vt:i4>5</vt:i4>
      </vt:variant>
      <vt:variant>
        <vt:lpwstr>http://www.westlaw.com/Find/Default.wl?rs=dfa1.0&amp;vr=2.0&amp;DB=708&amp;FindType=Y&amp;SerialNum=1979135177</vt:lpwstr>
      </vt:variant>
      <vt:variant>
        <vt:lpwstr/>
      </vt:variant>
      <vt:variant>
        <vt:i4>7798843</vt:i4>
      </vt:variant>
      <vt:variant>
        <vt:i4>462</vt:i4>
      </vt:variant>
      <vt:variant>
        <vt:i4>0</vt:i4>
      </vt:variant>
      <vt:variant>
        <vt:i4>5</vt:i4>
      </vt:variant>
      <vt:variant>
        <vt:lpwstr>http://www.westlaw.com/Find/Default.wl?rs=dfa1.0&amp;vr=2.0&amp;DB=708&amp;FindType=Y&amp;SerialNum=1979135177</vt:lpwstr>
      </vt:variant>
      <vt:variant>
        <vt:lpwstr/>
      </vt:variant>
      <vt:variant>
        <vt:i4>7798843</vt:i4>
      </vt:variant>
      <vt:variant>
        <vt:i4>459</vt:i4>
      </vt:variant>
      <vt:variant>
        <vt:i4>0</vt:i4>
      </vt:variant>
      <vt:variant>
        <vt:i4>5</vt:i4>
      </vt:variant>
      <vt:variant>
        <vt:lpwstr>http://www.westlaw.com/Find/Default.wl?rs=dfa1.0&amp;vr=2.0&amp;DB=708&amp;FindType=Y&amp;SerialNum=1979135177</vt:lpwstr>
      </vt:variant>
      <vt:variant>
        <vt:lpwstr/>
      </vt:variant>
      <vt:variant>
        <vt:i4>7798843</vt:i4>
      </vt:variant>
      <vt:variant>
        <vt:i4>456</vt:i4>
      </vt:variant>
      <vt:variant>
        <vt:i4>0</vt:i4>
      </vt:variant>
      <vt:variant>
        <vt:i4>5</vt:i4>
      </vt:variant>
      <vt:variant>
        <vt:lpwstr>http://www.westlaw.com/Find/Default.wl?rs=dfa1.0&amp;vr=2.0&amp;DB=708&amp;FindType=Y&amp;SerialNum=1979135177</vt:lpwstr>
      </vt:variant>
      <vt:variant>
        <vt:lpwstr/>
      </vt:variant>
      <vt:variant>
        <vt:i4>7798843</vt:i4>
      </vt:variant>
      <vt:variant>
        <vt:i4>453</vt:i4>
      </vt:variant>
      <vt:variant>
        <vt:i4>0</vt:i4>
      </vt:variant>
      <vt:variant>
        <vt:i4>5</vt:i4>
      </vt:variant>
      <vt:variant>
        <vt:lpwstr>http://www.westlaw.com/Find/Default.wl?rs=dfa1.0&amp;vr=2.0&amp;DB=708&amp;FindType=Y&amp;SerialNum=1979135177</vt:lpwstr>
      </vt:variant>
      <vt:variant>
        <vt:lpwstr/>
      </vt:variant>
      <vt:variant>
        <vt:i4>7798832</vt:i4>
      </vt:variant>
      <vt:variant>
        <vt:i4>450</vt:i4>
      </vt:variant>
      <vt:variant>
        <vt:i4>0</vt:i4>
      </vt:variant>
      <vt:variant>
        <vt:i4>5</vt:i4>
      </vt:variant>
      <vt:variant>
        <vt:lpwstr>http://www.westlaw.com/Find/Default.wl?rs=dfa1.0&amp;vr=2.0&amp;DB=708&amp;FindType=Y&amp;SerialNum=1969132914</vt:lpwstr>
      </vt:variant>
      <vt:variant>
        <vt:lpwstr/>
      </vt:variant>
      <vt:variant>
        <vt:i4>7798832</vt:i4>
      </vt:variant>
      <vt:variant>
        <vt:i4>447</vt:i4>
      </vt:variant>
      <vt:variant>
        <vt:i4>0</vt:i4>
      </vt:variant>
      <vt:variant>
        <vt:i4>5</vt:i4>
      </vt:variant>
      <vt:variant>
        <vt:lpwstr>http://www.westlaw.com/Find/Default.wl?rs=dfa1.0&amp;vr=2.0&amp;DB=708&amp;FindType=Y&amp;SerialNum=1969132914</vt:lpwstr>
      </vt:variant>
      <vt:variant>
        <vt:lpwstr/>
      </vt:variant>
      <vt:variant>
        <vt:i4>7798832</vt:i4>
      </vt:variant>
      <vt:variant>
        <vt:i4>444</vt:i4>
      </vt:variant>
      <vt:variant>
        <vt:i4>0</vt:i4>
      </vt:variant>
      <vt:variant>
        <vt:i4>5</vt:i4>
      </vt:variant>
      <vt:variant>
        <vt:lpwstr>http://www.westlaw.com/Find/Default.wl?rs=dfa1.0&amp;vr=2.0&amp;DB=708&amp;FindType=Y&amp;SerialNum=1969132914</vt:lpwstr>
      </vt:variant>
      <vt:variant>
        <vt:lpwstr/>
      </vt:variant>
      <vt:variant>
        <vt:i4>7798843</vt:i4>
      </vt:variant>
      <vt:variant>
        <vt:i4>441</vt:i4>
      </vt:variant>
      <vt:variant>
        <vt:i4>0</vt:i4>
      </vt:variant>
      <vt:variant>
        <vt:i4>5</vt:i4>
      </vt:variant>
      <vt:variant>
        <vt:lpwstr>http://www.westlaw.com/Find/Default.wl?rs=dfa1.0&amp;vr=2.0&amp;DB=708&amp;FindType=Y&amp;SerialNum=1979135177</vt:lpwstr>
      </vt:variant>
      <vt:variant>
        <vt:lpwstr/>
      </vt:variant>
      <vt:variant>
        <vt:i4>7798843</vt:i4>
      </vt:variant>
      <vt:variant>
        <vt:i4>438</vt:i4>
      </vt:variant>
      <vt:variant>
        <vt:i4>0</vt:i4>
      </vt:variant>
      <vt:variant>
        <vt:i4>5</vt:i4>
      </vt:variant>
      <vt:variant>
        <vt:lpwstr>http://www.westlaw.com/Find/Default.wl?rs=dfa1.0&amp;vr=2.0&amp;DB=708&amp;FindType=Y&amp;SerialNum=1979135177</vt:lpwstr>
      </vt:variant>
      <vt:variant>
        <vt:lpwstr/>
      </vt:variant>
      <vt:variant>
        <vt:i4>262242</vt:i4>
      </vt:variant>
      <vt:variant>
        <vt:i4>435</vt:i4>
      </vt:variant>
      <vt:variant>
        <vt:i4>0</vt:i4>
      </vt:variant>
      <vt:variant>
        <vt:i4>5</vt:i4>
      </vt:variant>
      <vt:variant>
        <vt:lpwstr>http://www.westlaw.com/Find/Default.wl?rs=dfa1.0&amp;vr=2.0&amp;FindType=Y&amp;SerialNum=1970134166</vt:lpwstr>
      </vt:variant>
      <vt:variant>
        <vt:lpwstr/>
      </vt:variant>
      <vt:variant>
        <vt:i4>7798843</vt:i4>
      </vt:variant>
      <vt:variant>
        <vt:i4>432</vt:i4>
      </vt:variant>
      <vt:variant>
        <vt:i4>0</vt:i4>
      </vt:variant>
      <vt:variant>
        <vt:i4>5</vt:i4>
      </vt:variant>
      <vt:variant>
        <vt:lpwstr>http://www.westlaw.com/Find/Default.wl?rs=dfa1.0&amp;vr=2.0&amp;DB=708&amp;FindType=Y&amp;SerialNum=1979135177</vt:lpwstr>
      </vt:variant>
      <vt:variant>
        <vt:lpwstr/>
      </vt:variant>
      <vt:variant>
        <vt:i4>7798843</vt:i4>
      </vt:variant>
      <vt:variant>
        <vt:i4>429</vt:i4>
      </vt:variant>
      <vt:variant>
        <vt:i4>0</vt:i4>
      </vt:variant>
      <vt:variant>
        <vt:i4>5</vt:i4>
      </vt:variant>
      <vt:variant>
        <vt:lpwstr>http://www.westlaw.com/Find/Default.wl?rs=dfa1.0&amp;vr=2.0&amp;DB=708&amp;FindType=Y&amp;SerialNum=1979135177</vt:lpwstr>
      </vt:variant>
      <vt:variant>
        <vt:lpwstr/>
      </vt:variant>
      <vt:variant>
        <vt:i4>7798835</vt:i4>
      </vt:variant>
      <vt:variant>
        <vt:i4>426</vt:i4>
      </vt:variant>
      <vt:variant>
        <vt:i4>0</vt:i4>
      </vt:variant>
      <vt:variant>
        <vt:i4>5</vt:i4>
      </vt:variant>
      <vt:variant>
        <vt:lpwstr>http://www.westlaw.com/Find/Default.wl?rs=dfa1.0&amp;vr=2.0&amp;DB=708&amp;FindType=Y&amp;SerialNum=1970134166</vt:lpwstr>
      </vt:variant>
      <vt:variant>
        <vt:lpwstr/>
      </vt:variant>
      <vt:variant>
        <vt:i4>7798835</vt:i4>
      </vt:variant>
      <vt:variant>
        <vt:i4>423</vt:i4>
      </vt:variant>
      <vt:variant>
        <vt:i4>0</vt:i4>
      </vt:variant>
      <vt:variant>
        <vt:i4>5</vt:i4>
      </vt:variant>
      <vt:variant>
        <vt:lpwstr>http://www.westlaw.com/Find/Default.wl?rs=dfa1.0&amp;vr=2.0&amp;DB=708&amp;FindType=Y&amp;SerialNum=1970134166</vt:lpwstr>
      </vt:variant>
      <vt:variant>
        <vt:lpwstr/>
      </vt:variant>
      <vt:variant>
        <vt:i4>7798835</vt:i4>
      </vt:variant>
      <vt:variant>
        <vt:i4>420</vt:i4>
      </vt:variant>
      <vt:variant>
        <vt:i4>0</vt:i4>
      </vt:variant>
      <vt:variant>
        <vt:i4>5</vt:i4>
      </vt:variant>
      <vt:variant>
        <vt:lpwstr>http://www.westlaw.com/Find/Default.wl?rs=dfa1.0&amp;vr=2.0&amp;DB=708&amp;FindType=Y&amp;SerialNum=1970134166</vt:lpwstr>
      </vt:variant>
      <vt:variant>
        <vt:lpwstr/>
      </vt:variant>
      <vt:variant>
        <vt:i4>7798835</vt:i4>
      </vt:variant>
      <vt:variant>
        <vt:i4>417</vt:i4>
      </vt:variant>
      <vt:variant>
        <vt:i4>0</vt:i4>
      </vt:variant>
      <vt:variant>
        <vt:i4>5</vt:i4>
      </vt:variant>
      <vt:variant>
        <vt:lpwstr>http://www.westlaw.com/Find/Default.wl?rs=dfa1.0&amp;vr=2.0&amp;DB=708&amp;FindType=Y&amp;SerialNum=1970134166</vt:lpwstr>
      </vt:variant>
      <vt:variant>
        <vt:lpwstr/>
      </vt:variant>
      <vt:variant>
        <vt:i4>7798835</vt:i4>
      </vt:variant>
      <vt:variant>
        <vt:i4>414</vt:i4>
      </vt:variant>
      <vt:variant>
        <vt:i4>0</vt:i4>
      </vt:variant>
      <vt:variant>
        <vt:i4>5</vt:i4>
      </vt:variant>
      <vt:variant>
        <vt:lpwstr>http://www.westlaw.com/Find/Default.wl?rs=dfa1.0&amp;vr=2.0&amp;DB=708&amp;FindType=Y&amp;SerialNum=1970134166</vt:lpwstr>
      </vt:variant>
      <vt:variant>
        <vt:lpwstr/>
      </vt:variant>
      <vt:variant>
        <vt:i4>7798832</vt:i4>
      </vt:variant>
      <vt:variant>
        <vt:i4>411</vt:i4>
      </vt:variant>
      <vt:variant>
        <vt:i4>0</vt:i4>
      </vt:variant>
      <vt:variant>
        <vt:i4>5</vt:i4>
      </vt:variant>
      <vt:variant>
        <vt:lpwstr>http://www.westlaw.com/Find/Default.wl?rs=dfa1.0&amp;vr=2.0&amp;DB=708&amp;FindType=Y&amp;SerialNum=1969132914</vt:lpwstr>
      </vt:variant>
      <vt:variant>
        <vt:lpwstr/>
      </vt:variant>
      <vt:variant>
        <vt:i4>7798832</vt:i4>
      </vt:variant>
      <vt:variant>
        <vt:i4>408</vt:i4>
      </vt:variant>
      <vt:variant>
        <vt:i4>0</vt:i4>
      </vt:variant>
      <vt:variant>
        <vt:i4>5</vt:i4>
      </vt:variant>
      <vt:variant>
        <vt:lpwstr>http://www.westlaw.com/Find/Default.wl?rs=dfa1.0&amp;vr=2.0&amp;DB=708&amp;FindType=Y&amp;SerialNum=1969132914</vt:lpwstr>
      </vt:variant>
      <vt:variant>
        <vt:lpwstr/>
      </vt:variant>
      <vt:variant>
        <vt:i4>7798832</vt:i4>
      </vt:variant>
      <vt:variant>
        <vt:i4>405</vt:i4>
      </vt:variant>
      <vt:variant>
        <vt:i4>0</vt:i4>
      </vt:variant>
      <vt:variant>
        <vt:i4>5</vt:i4>
      </vt:variant>
      <vt:variant>
        <vt:lpwstr>http://www.westlaw.com/Find/Default.wl?rs=dfa1.0&amp;vr=2.0&amp;DB=708&amp;FindType=Y&amp;SerialNum=1969132914</vt:lpwstr>
      </vt:variant>
      <vt:variant>
        <vt:lpwstr/>
      </vt:variant>
      <vt:variant>
        <vt:i4>7405604</vt:i4>
      </vt:variant>
      <vt:variant>
        <vt:i4>402</vt:i4>
      </vt:variant>
      <vt:variant>
        <vt:i4>0</vt:i4>
      </vt:variant>
      <vt:variant>
        <vt:i4>5</vt:i4>
      </vt:variant>
      <vt:variant>
        <vt:lpwstr/>
      </vt:variant>
      <vt:variant>
        <vt:lpwstr>Document1zzF00442017819485</vt:lpwstr>
      </vt:variant>
      <vt:variant>
        <vt:i4>7798835</vt:i4>
      </vt:variant>
      <vt:variant>
        <vt:i4>399</vt:i4>
      </vt:variant>
      <vt:variant>
        <vt:i4>0</vt:i4>
      </vt:variant>
      <vt:variant>
        <vt:i4>5</vt:i4>
      </vt:variant>
      <vt:variant>
        <vt:lpwstr>http://www.westlaw.com/Find/Default.wl?rs=dfa1.0&amp;vr=2.0&amp;DB=708&amp;FindType=Y&amp;SerialNum=1970134166</vt:lpwstr>
      </vt:variant>
      <vt:variant>
        <vt:lpwstr/>
      </vt:variant>
      <vt:variant>
        <vt:i4>7798835</vt:i4>
      </vt:variant>
      <vt:variant>
        <vt:i4>396</vt:i4>
      </vt:variant>
      <vt:variant>
        <vt:i4>0</vt:i4>
      </vt:variant>
      <vt:variant>
        <vt:i4>5</vt:i4>
      </vt:variant>
      <vt:variant>
        <vt:lpwstr>http://www.westlaw.com/Find/Default.wl?rs=dfa1.0&amp;vr=2.0&amp;DB=708&amp;FindType=Y&amp;SerialNum=1970134166</vt:lpwstr>
      </vt:variant>
      <vt:variant>
        <vt:lpwstr/>
      </vt:variant>
      <vt:variant>
        <vt:i4>7798835</vt:i4>
      </vt:variant>
      <vt:variant>
        <vt:i4>393</vt:i4>
      </vt:variant>
      <vt:variant>
        <vt:i4>0</vt:i4>
      </vt:variant>
      <vt:variant>
        <vt:i4>5</vt:i4>
      </vt:variant>
      <vt:variant>
        <vt:lpwstr>http://www.westlaw.com/Find/Default.wl?rs=dfa1.0&amp;vr=2.0&amp;DB=708&amp;FindType=Y&amp;SerialNum=1970134166</vt:lpwstr>
      </vt:variant>
      <vt:variant>
        <vt:lpwstr/>
      </vt:variant>
      <vt:variant>
        <vt:i4>7405600</vt:i4>
      </vt:variant>
      <vt:variant>
        <vt:i4>390</vt:i4>
      </vt:variant>
      <vt:variant>
        <vt:i4>0</vt:i4>
      </vt:variant>
      <vt:variant>
        <vt:i4>5</vt:i4>
      </vt:variant>
      <vt:variant>
        <vt:lpwstr/>
      </vt:variant>
      <vt:variant>
        <vt:lpwstr>Document1zzB00442017819485</vt:lpwstr>
      </vt:variant>
      <vt:variant>
        <vt:i4>7798835</vt:i4>
      </vt:variant>
      <vt:variant>
        <vt:i4>387</vt:i4>
      </vt:variant>
      <vt:variant>
        <vt:i4>0</vt:i4>
      </vt:variant>
      <vt:variant>
        <vt:i4>5</vt:i4>
      </vt:variant>
      <vt:variant>
        <vt:lpwstr>http://www.westlaw.com/Find/Default.wl?rs=dfa1.0&amp;vr=2.0&amp;DB=708&amp;FindType=Y&amp;SerialNum=1970134166</vt:lpwstr>
      </vt:variant>
      <vt:variant>
        <vt:lpwstr/>
      </vt:variant>
      <vt:variant>
        <vt:i4>7798835</vt:i4>
      </vt:variant>
      <vt:variant>
        <vt:i4>384</vt:i4>
      </vt:variant>
      <vt:variant>
        <vt:i4>0</vt:i4>
      </vt:variant>
      <vt:variant>
        <vt:i4>5</vt:i4>
      </vt:variant>
      <vt:variant>
        <vt:lpwstr>http://www.westlaw.com/Find/Default.wl?rs=dfa1.0&amp;vr=2.0&amp;DB=708&amp;FindType=Y&amp;SerialNum=1970134166</vt:lpwstr>
      </vt:variant>
      <vt:variant>
        <vt:lpwstr/>
      </vt:variant>
      <vt:variant>
        <vt:i4>7798835</vt:i4>
      </vt:variant>
      <vt:variant>
        <vt:i4>381</vt:i4>
      </vt:variant>
      <vt:variant>
        <vt:i4>0</vt:i4>
      </vt:variant>
      <vt:variant>
        <vt:i4>5</vt:i4>
      </vt:variant>
      <vt:variant>
        <vt:lpwstr>http://www.westlaw.com/Find/Default.wl?rs=dfa1.0&amp;vr=2.0&amp;DB=708&amp;FindType=Y&amp;SerialNum=1970134166</vt:lpwstr>
      </vt:variant>
      <vt:variant>
        <vt:lpwstr/>
      </vt:variant>
      <vt:variant>
        <vt:i4>7798832</vt:i4>
      </vt:variant>
      <vt:variant>
        <vt:i4>378</vt:i4>
      </vt:variant>
      <vt:variant>
        <vt:i4>0</vt:i4>
      </vt:variant>
      <vt:variant>
        <vt:i4>5</vt:i4>
      </vt:variant>
      <vt:variant>
        <vt:lpwstr>http://www.westlaw.com/Find/Default.wl?rs=dfa1.0&amp;vr=2.0&amp;DB=708&amp;FindType=Y&amp;SerialNum=1969132914</vt:lpwstr>
      </vt:variant>
      <vt:variant>
        <vt:lpwstr/>
      </vt:variant>
      <vt:variant>
        <vt:i4>7798832</vt:i4>
      </vt:variant>
      <vt:variant>
        <vt:i4>375</vt:i4>
      </vt:variant>
      <vt:variant>
        <vt:i4>0</vt:i4>
      </vt:variant>
      <vt:variant>
        <vt:i4>5</vt:i4>
      </vt:variant>
      <vt:variant>
        <vt:lpwstr>http://www.westlaw.com/Find/Default.wl?rs=dfa1.0&amp;vr=2.0&amp;DB=708&amp;FindType=Y&amp;SerialNum=1969132914</vt:lpwstr>
      </vt:variant>
      <vt:variant>
        <vt:lpwstr/>
      </vt:variant>
      <vt:variant>
        <vt:i4>7798832</vt:i4>
      </vt:variant>
      <vt:variant>
        <vt:i4>372</vt:i4>
      </vt:variant>
      <vt:variant>
        <vt:i4>0</vt:i4>
      </vt:variant>
      <vt:variant>
        <vt:i4>5</vt:i4>
      </vt:variant>
      <vt:variant>
        <vt:lpwstr>http://www.westlaw.com/Find/Default.wl?rs=dfa1.0&amp;vr=2.0&amp;DB=708&amp;FindType=Y&amp;SerialNum=1969132914</vt:lpwstr>
      </vt:variant>
      <vt:variant>
        <vt:lpwstr/>
      </vt:variant>
      <vt:variant>
        <vt:i4>7798832</vt:i4>
      </vt:variant>
      <vt:variant>
        <vt:i4>369</vt:i4>
      </vt:variant>
      <vt:variant>
        <vt:i4>0</vt:i4>
      </vt:variant>
      <vt:variant>
        <vt:i4>5</vt:i4>
      </vt:variant>
      <vt:variant>
        <vt:lpwstr>http://www.westlaw.com/Find/Default.wl?rs=dfa1.0&amp;vr=2.0&amp;DB=708&amp;FindType=Y&amp;SerialNum=1969132914</vt:lpwstr>
      </vt:variant>
      <vt:variant>
        <vt:lpwstr/>
      </vt:variant>
      <vt:variant>
        <vt:i4>7798832</vt:i4>
      </vt:variant>
      <vt:variant>
        <vt:i4>366</vt:i4>
      </vt:variant>
      <vt:variant>
        <vt:i4>0</vt:i4>
      </vt:variant>
      <vt:variant>
        <vt:i4>5</vt:i4>
      </vt:variant>
      <vt:variant>
        <vt:lpwstr>http://www.westlaw.com/Find/Default.wl?rs=dfa1.0&amp;vr=2.0&amp;DB=708&amp;FindType=Y&amp;SerialNum=1969132914</vt:lpwstr>
      </vt:variant>
      <vt:variant>
        <vt:lpwstr/>
      </vt:variant>
      <vt:variant>
        <vt:i4>7798843</vt:i4>
      </vt:variant>
      <vt:variant>
        <vt:i4>363</vt:i4>
      </vt:variant>
      <vt:variant>
        <vt:i4>0</vt:i4>
      </vt:variant>
      <vt:variant>
        <vt:i4>5</vt:i4>
      </vt:variant>
      <vt:variant>
        <vt:lpwstr>http://www.westlaw.com/Find/Default.wl?rs=dfa1.0&amp;vr=2.0&amp;DB=708&amp;FindType=Y&amp;SerialNum=1979135177</vt:lpwstr>
      </vt:variant>
      <vt:variant>
        <vt:lpwstr/>
      </vt:variant>
      <vt:variant>
        <vt:i4>7798843</vt:i4>
      </vt:variant>
      <vt:variant>
        <vt:i4>360</vt:i4>
      </vt:variant>
      <vt:variant>
        <vt:i4>0</vt:i4>
      </vt:variant>
      <vt:variant>
        <vt:i4>5</vt:i4>
      </vt:variant>
      <vt:variant>
        <vt:lpwstr>http://www.westlaw.com/Find/Default.wl?rs=dfa1.0&amp;vr=2.0&amp;DB=708&amp;FindType=Y&amp;SerialNum=1979135177</vt:lpwstr>
      </vt:variant>
      <vt:variant>
        <vt:lpwstr/>
      </vt:variant>
      <vt:variant>
        <vt:i4>7798843</vt:i4>
      </vt:variant>
      <vt:variant>
        <vt:i4>357</vt:i4>
      </vt:variant>
      <vt:variant>
        <vt:i4>0</vt:i4>
      </vt:variant>
      <vt:variant>
        <vt:i4>5</vt:i4>
      </vt:variant>
      <vt:variant>
        <vt:lpwstr>http://www.westlaw.com/Find/Default.wl?rs=dfa1.0&amp;vr=2.0&amp;DB=708&amp;FindType=Y&amp;SerialNum=1979135177</vt:lpwstr>
      </vt:variant>
      <vt:variant>
        <vt:lpwstr/>
      </vt:variant>
      <vt:variant>
        <vt:i4>4456465</vt:i4>
      </vt:variant>
      <vt:variant>
        <vt:i4>354</vt:i4>
      </vt:variant>
      <vt:variant>
        <vt:i4>0</vt:i4>
      </vt:variant>
      <vt:variant>
        <vt:i4>5</vt:i4>
      </vt:variant>
      <vt:variant>
        <vt:lpwstr/>
      </vt:variant>
      <vt:variant>
        <vt:lpwstr>Document1zzF112017819485</vt:lpwstr>
      </vt:variant>
      <vt:variant>
        <vt:i4>7733300</vt:i4>
      </vt:variant>
      <vt:variant>
        <vt:i4>351</vt:i4>
      </vt:variant>
      <vt:variant>
        <vt:i4>0</vt:i4>
      </vt:variant>
      <vt:variant>
        <vt:i4>5</vt:i4>
      </vt:variant>
      <vt:variant>
        <vt:lpwstr>http://www.westlaw.com/Find/Default.wl?rs=dfa1.0&amp;vr=2.0&amp;DB=708&amp;FindType=Y&amp;SerialNum=1976142415</vt:lpwstr>
      </vt:variant>
      <vt:variant>
        <vt:lpwstr/>
      </vt:variant>
      <vt:variant>
        <vt:i4>7733300</vt:i4>
      </vt:variant>
      <vt:variant>
        <vt:i4>348</vt:i4>
      </vt:variant>
      <vt:variant>
        <vt:i4>0</vt:i4>
      </vt:variant>
      <vt:variant>
        <vt:i4>5</vt:i4>
      </vt:variant>
      <vt:variant>
        <vt:lpwstr>http://www.westlaw.com/Find/Default.wl?rs=dfa1.0&amp;vr=2.0&amp;DB=708&amp;FindType=Y&amp;SerialNum=1976142415</vt:lpwstr>
      </vt:variant>
      <vt:variant>
        <vt:lpwstr/>
      </vt:variant>
      <vt:variant>
        <vt:i4>4653139</vt:i4>
      </vt:variant>
      <vt:variant>
        <vt:i4>345</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342</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339</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7733300</vt:i4>
      </vt:variant>
      <vt:variant>
        <vt:i4>336</vt:i4>
      </vt:variant>
      <vt:variant>
        <vt:i4>0</vt:i4>
      </vt:variant>
      <vt:variant>
        <vt:i4>5</vt:i4>
      </vt:variant>
      <vt:variant>
        <vt:lpwstr>http://www.westlaw.com/Find/Default.wl?rs=dfa1.0&amp;vr=2.0&amp;DB=708&amp;FindType=Y&amp;SerialNum=1976142415</vt:lpwstr>
      </vt:variant>
      <vt:variant>
        <vt:lpwstr/>
      </vt:variant>
      <vt:variant>
        <vt:i4>7733300</vt:i4>
      </vt:variant>
      <vt:variant>
        <vt:i4>333</vt:i4>
      </vt:variant>
      <vt:variant>
        <vt:i4>0</vt:i4>
      </vt:variant>
      <vt:variant>
        <vt:i4>5</vt:i4>
      </vt:variant>
      <vt:variant>
        <vt:lpwstr>http://www.westlaw.com/Find/Default.wl?rs=dfa1.0&amp;vr=2.0&amp;DB=708&amp;FindType=Y&amp;SerialNum=1976142415</vt:lpwstr>
      </vt:variant>
      <vt:variant>
        <vt:lpwstr/>
      </vt:variant>
      <vt:variant>
        <vt:i4>7733300</vt:i4>
      </vt:variant>
      <vt:variant>
        <vt:i4>330</vt:i4>
      </vt:variant>
      <vt:variant>
        <vt:i4>0</vt:i4>
      </vt:variant>
      <vt:variant>
        <vt:i4>5</vt:i4>
      </vt:variant>
      <vt:variant>
        <vt:lpwstr>http://www.westlaw.com/Find/Default.wl?rs=dfa1.0&amp;vr=2.0&amp;DB=708&amp;FindType=Y&amp;SerialNum=1976142415</vt:lpwstr>
      </vt:variant>
      <vt:variant>
        <vt:lpwstr/>
      </vt:variant>
      <vt:variant>
        <vt:i4>7798836</vt:i4>
      </vt:variant>
      <vt:variant>
        <vt:i4>327</vt:i4>
      </vt:variant>
      <vt:variant>
        <vt:i4>0</vt:i4>
      </vt:variant>
      <vt:variant>
        <vt:i4>5</vt:i4>
      </vt:variant>
      <vt:variant>
        <vt:lpwstr>http://www.westlaw.com/Find/Default.wl?rs=dfa1.0&amp;vr=2.0&amp;DB=708&amp;FindType=Y&amp;SerialNum=1938121079</vt:lpwstr>
      </vt:variant>
      <vt:variant>
        <vt:lpwstr/>
      </vt:variant>
      <vt:variant>
        <vt:i4>7798836</vt:i4>
      </vt:variant>
      <vt:variant>
        <vt:i4>324</vt:i4>
      </vt:variant>
      <vt:variant>
        <vt:i4>0</vt:i4>
      </vt:variant>
      <vt:variant>
        <vt:i4>5</vt:i4>
      </vt:variant>
      <vt:variant>
        <vt:lpwstr>http://www.westlaw.com/Find/Default.wl?rs=dfa1.0&amp;vr=2.0&amp;DB=708&amp;FindType=Y&amp;SerialNum=1938121079</vt:lpwstr>
      </vt:variant>
      <vt:variant>
        <vt:lpwstr/>
      </vt:variant>
      <vt:variant>
        <vt:i4>7536702</vt:i4>
      </vt:variant>
      <vt:variant>
        <vt:i4>321</vt:i4>
      </vt:variant>
      <vt:variant>
        <vt:i4>0</vt:i4>
      </vt:variant>
      <vt:variant>
        <vt:i4>5</vt:i4>
      </vt:variant>
      <vt:variant>
        <vt:lpwstr>http://www.westlaw.com/Find/Default.wl?rs=dfa1.0&amp;vr=2.0&amp;DB=780&amp;FindType=Y&amp;SerialNum=1871197890</vt:lpwstr>
      </vt:variant>
      <vt:variant>
        <vt:lpwstr/>
      </vt:variant>
      <vt:variant>
        <vt:i4>7536702</vt:i4>
      </vt:variant>
      <vt:variant>
        <vt:i4>318</vt:i4>
      </vt:variant>
      <vt:variant>
        <vt:i4>0</vt:i4>
      </vt:variant>
      <vt:variant>
        <vt:i4>5</vt:i4>
      </vt:variant>
      <vt:variant>
        <vt:lpwstr>http://www.westlaw.com/Find/Default.wl?rs=dfa1.0&amp;vr=2.0&amp;DB=780&amp;FindType=Y&amp;SerialNum=1871197890</vt:lpwstr>
      </vt:variant>
      <vt:variant>
        <vt:lpwstr/>
      </vt:variant>
      <vt:variant>
        <vt:i4>7733283</vt:i4>
      </vt:variant>
      <vt:variant>
        <vt:i4>315</vt:i4>
      </vt:variant>
      <vt:variant>
        <vt:i4>0</vt:i4>
      </vt:variant>
      <vt:variant>
        <vt:i4>5</vt:i4>
      </vt:variant>
      <vt:variant>
        <vt:lpwstr/>
      </vt:variant>
      <vt:variant>
        <vt:lpwstr>Document1zzF00332017819485</vt:lpwstr>
      </vt:variant>
      <vt:variant>
        <vt:i4>65646</vt:i4>
      </vt:variant>
      <vt:variant>
        <vt:i4>312</vt:i4>
      </vt:variant>
      <vt:variant>
        <vt:i4>0</vt:i4>
      </vt:variant>
      <vt:variant>
        <vt:i4>5</vt:i4>
      </vt:variant>
      <vt:variant>
        <vt:lpwstr>http://www.westlaw.com/Find/Default.wl?rs=dfa1.0&amp;vr=2.0&amp;FindType=Y&amp;SerialNum=1871197890</vt:lpwstr>
      </vt:variant>
      <vt:variant>
        <vt:lpwstr/>
      </vt:variant>
      <vt:variant>
        <vt:i4>65646</vt:i4>
      </vt:variant>
      <vt:variant>
        <vt:i4>309</vt:i4>
      </vt:variant>
      <vt:variant>
        <vt:i4>0</vt:i4>
      </vt:variant>
      <vt:variant>
        <vt:i4>5</vt:i4>
      </vt:variant>
      <vt:variant>
        <vt:lpwstr>http://www.westlaw.com/Find/Default.wl?rs=dfa1.0&amp;vr=2.0&amp;FindType=Y&amp;SerialNum=1871197890</vt:lpwstr>
      </vt:variant>
      <vt:variant>
        <vt:lpwstr/>
      </vt:variant>
      <vt:variant>
        <vt:i4>65646</vt:i4>
      </vt:variant>
      <vt:variant>
        <vt:i4>306</vt:i4>
      </vt:variant>
      <vt:variant>
        <vt:i4>0</vt:i4>
      </vt:variant>
      <vt:variant>
        <vt:i4>5</vt:i4>
      </vt:variant>
      <vt:variant>
        <vt:lpwstr>http://www.westlaw.com/Find/Default.wl?rs=dfa1.0&amp;vr=2.0&amp;FindType=Y&amp;SerialNum=1871197890</vt:lpwstr>
      </vt:variant>
      <vt:variant>
        <vt:lpwstr/>
      </vt:variant>
      <vt:variant>
        <vt:i4>65646</vt:i4>
      </vt:variant>
      <vt:variant>
        <vt:i4>303</vt:i4>
      </vt:variant>
      <vt:variant>
        <vt:i4>0</vt:i4>
      </vt:variant>
      <vt:variant>
        <vt:i4>5</vt:i4>
      </vt:variant>
      <vt:variant>
        <vt:lpwstr>http://www.westlaw.com/Find/Default.wl?rs=dfa1.0&amp;vr=2.0&amp;FindType=Y&amp;SerialNum=1871197890</vt:lpwstr>
      </vt:variant>
      <vt:variant>
        <vt:lpwstr/>
      </vt:variant>
      <vt:variant>
        <vt:i4>65646</vt:i4>
      </vt:variant>
      <vt:variant>
        <vt:i4>300</vt:i4>
      </vt:variant>
      <vt:variant>
        <vt:i4>0</vt:i4>
      </vt:variant>
      <vt:variant>
        <vt:i4>5</vt:i4>
      </vt:variant>
      <vt:variant>
        <vt:lpwstr>http://www.westlaw.com/Find/Default.wl?rs=dfa1.0&amp;vr=2.0&amp;FindType=Y&amp;SerialNum=1871197890</vt:lpwstr>
      </vt:variant>
      <vt:variant>
        <vt:lpwstr/>
      </vt:variant>
      <vt:variant>
        <vt:i4>65646</vt:i4>
      </vt:variant>
      <vt:variant>
        <vt:i4>297</vt:i4>
      </vt:variant>
      <vt:variant>
        <vt:i4>0</vt:i4>
      </vt:variant>
      <vt:variant>
        <vt:i4>5</vt:i4>
      </vt:variant>
      <vt:variant>
        <vt:lpwstr>http://www.westlaw.com/Find/Default.wl?rs=dfa1.0&amp;vr=2.0&amp;FindType=Y&amp;SerialNum=1871197890</vt:lpwstr>
      </vt:variant>
      <vt:variant>
        <vt:lpwstr/>
      </vt:variant>
      <vt:variant>
        <vt:i4>65646</vt:i4>
      </vt:variant>
      <vt:variant>
        <vt:i4>294</vt:i4>
      </vt:variant>
      <vt:variant>
        <vt:i4>0</vt:i4>
      </vt:variant>
      <vt:variant>
        <vt:i4>5</vt:i4>
      </vt:variant>
      <vt:variant>
        <vt:lpwstr>http://www.westlaw.com/Find/Default.wl?rs=dfa1.0&amp;vr=2.0&amp;FindType=Y&amp;SerialNum=1871197890</vt:lpwstr>
      </vt:variant>
      <vt:variant>
        <vt:lpwstr/>
      </vt:variant>
      <vt:variant>
        <vt:i4>65646</vt:i4>
      </vt:variant>
      <vt:variant>
        <vt:i4>291</vt:i4>
      </vt:variant>
      <vt:variant>
        <vt:i4>0</vt:i4>
      </vt:variant>
      <vt:variant>
        <vt:i4>5</vt:i4>
      </vt:variant>
      <vt:variant>
        <vt:lpwstr>http://www.westlaw.com/Find/Default.wl?rs=dfa1.0&amp;vr=2.0&amp;FindType=Y&amp;SerialNum=1871197890</vt:lpwstr>
      </vt:variant>
      <vt:variant>
        <vt:lpwstr/>
      </vt:variant>
      <vt:variant>
        <vt:i4>65646</vt:i4>
      </vt:variant>
      <vt:variant>
        <vt:i4>288</vt:i4>
      </vt:variant>
      <vt:variant>
        <vt:i4>0</vt:i4>
      </vt:variant>
      <vt:variant>
        <vt:i4>5</vt:i4>
      </vt:variant>
      <vt:variant>
        <vt:lpwstr>http://www.westlaw.com/Find/Default.wl?rs=dfa1.0&amp;vr=2.0&amp;FindType=Y&amp;SerialNum=1871197890</vt:lpwstr>
      </vt:variant>
      <vt:variant>
        <vt:lpwstr/>
      </vt:variant>
      <vt:variant>
        <vt:i4>65646</vt:i4>
      </vt:variant>
      <vt:variant>
        <vt:i4>285</vt:i4>
      </vt:variant>
      <vt:variant>
        <vt:i4>0</vt:i4>
      </vt:variant>
      <vt:variant>
        <vt:i4>5</vt:i4>
      </vt:variant>
      <vt:variant>
        <vt:lpwstr>http://www.westlaw.com/Find/Default.wl?rs=dfa1.0&amp;vr=2.0&amp;FindType=Y&amp;SerialNum=1871197890</vt:lpwstr>
      </vt:variant>
      <vt:variant>
        <vt:lpwstr/>
      </vt:variant>
      <vt:variant>
        <vt:i4>65646</vt:i4>
      </vt:variant>
      <vt:variant>
        <vt:i4>282</vt:i4>
      </vt:variant>
      <vt:variant>
        <vt:i4>0</vt:i4>
      </vt:variant>
      <vt:variant>
        <vt:i4>5</vt:i4>
      </vt:variant>
      <vt:variant>
        <vt:lpwstr>http://www.westlaw.com/Find/Default.wl?rs=dfa1.0&amp;vr=2.0&amp;FindType=Y&amp;SerialNum=1871197890</vt:lpwstr>
      </vt:variant>
      <vt:variant>
        <vt:lpwstr/>
      </vt:variant>
      <vt:variant>
        <vt:i4>65646</vt:i4>
      </vt:variant>
      <vt:variant>
        <vt:i4>279</vt:i4>
      </vt:variant>
      <vt:variant>
        <vt:i4>0</vt:i4>
      </vt:variant>
      <vt:variant>
        <vt:i4>5</vt:i4>
      </vt:variant>
      <vt:variant>
        <vt:lpwstr>http://www.westlaw.com/Find/Default.wl?rs=dfa1.0&amp;vr=2.0&amp;FindType=Y&amp;SerialNum=1871197890</vt:lpwstr>
      </vt:variant>
      <vt:variant>
        <vt:lpwstr/>
      </vt:variant>
      <vt:variant>
        <vt:i4>65646</vt:i4>
      </vt:variant>
      <vt:variant>
        <vt:i4>276</vt:i4>
      </vt:variant>
      <vt:variant>
        <vt:i4>0</vt:i4>
      </vt:variant>
      <vt:variant>
        <vt:i4>5</vt:i4>
      </vt:variant>
      <vt:variant>
        <vt:lpwstr>http://www.westlaw.com/Find/Default.wl?rs=dfa1.0&amp;vr=2.0&amp;FindType=Y&amp;SerialNum=1871197890</vt:lpwstr>
      </vt:variant>
      <vt:variant>
        <vt:lpwstr/>
      </vt:variant>
      <vt:variant>
        <vt:i4>4653137</vt:i4>
      </vt:variant>
      <vt:variant>
        <vt:i4>273</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4653137</vt:i4>
      </vt:variant>
      <vt:variant>
        <vt:i4>270</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7733287</vt:i4>
      </vt:variant>
      <vt:variant>
        <vt:i4>267</vt:i4>
      </vt:variant>
      <vt:variant>
        <vt:i4>0</vt:i4>
      </vt:variant>
      <vt:variant>
        <vt:i4>5</vt:i4>
      </vt:variant>
      <vt:variant>
        <vt:lpwstr/>
      </vt:variant>
      <vt:variant>
        <vt:lpwstr>Document1zzB00332017819485</vt:lpwstr>
      </vt:variant>
      <vt:variant>
        <vt:i4>7536702</vt:i4>
      </vt:variant>
      <vt:variant>
        <vt:i4>264</vt:i4>
      </vt:variant>
      <vt:variant>
        <vt:i4>0</vt:i4>
      </vt:variant>
      <vt:variant>
        <vt:i4>5</vt:i4>
      </vt:variant>
      <vt:variant>
        <vt:lpwstr>http://www.westlaw.com/Find/Default.wl?rs=dfa1.0&amp;vr=2.0&amp;DB=780&amp;FindType=Y&amp;SerialNum=1871197890</vt:lpwstr>
      </vt:variant>
      <vt:variant>
        <vt:lpwstr/>
      </vt:variant>
      <vt:variant>
        <vt:i4>7536702</vt:i4>
      </vt:variant>
      <vt:variant>
        <vt:i4>261</vt:i4>
      </vt:variant>
      <vt:variant>
        <vt:i4>0</vt:i4>
      </vt:variant>
      <vt:variant>
        <vt:i4>5</vt:i4>
      </vt:variant>
      <vt:variant>
        <vt:lpwstr>http://www.westlaw.com/Find/Default.wl?rs=dfa1.0&amp;vr=2.0&amp;DB=780&amp;FindType=Y&amp;SerialNum=1871197890</vt:lpwstr>
      </vt:variant>
      <vt:variant>
        <vt:lpwstr/>
      </vt:variant>
      <vt:variant>
        <vt:i4>7536702</vt:i4>
      </vt:variant>
      <vt:variant>
        <vt:i4>258</vt:i4>
      </vt:variant>
      <vt:variant>
        <vt:i4>0</vt:i4>
      </vt:variant>
      <vt:variant>
        <vt:i4>5</vt:i4>
      </vt:variant>
      <vt:variant>
        <vt:lpwstr>http://www.westlaw.com/Find/Default.wl?rs=dfa1.0&amp;vr=2.0&amp;DB=780&amp;FindType=Y&amp;SerialNum=1871197890</vt:lpwstr>
      </vt:variant>
      <vt:variant>
        <vt:lpwstr/>
      </vt:variant>
      <vt:variant>
        <vt:i4>7798832</vt:i4>
      </vt:variant>
      <vt:variant>
        <vt:i4>255</vt:i4>
      </vt:variant>
      <vt:variant>
        <vt:i4>0</vt:i4>
      </vt:variant>
      <vt:variant>
        <vt:i4>5</vt:i4>
      </vt:variant>
      <vt:variant>
        <vt:lpwstr>http://www.westlaw.com/Find/Default.wl?rs=dfa1.0&amp;vr=2.0&amp;DB=708&amp;FindType=Y&amp;SerialNum=1969132914</vt:lpwstr>
      </vt:variant>
      <vt:variant>
        <vt:lpwstr/>
      </vt:variant>
      <vt:variant>
        <vt:i4>7798832</vt:i4>
      </vt:variant>
      <vt:variant>
        <vt:i4>252</vt:i4>
      </vt:variant>
      <vt:variant>
        <vt:i4>0</vt:i4>
      </vt:variant>
      <vt:variant>
        <vt:i4>5</vt:i4>
      </vt:variant>
      <vt:variant>
        <vt:lpwstr>http://www.westlaw.com/Find/Default.wl?rs=dfa1.0&amp;vr=2.0&amp;DB=708&amp;FindType=Y&amp;SerialNum=1969132914</vt:lpwstr>
      </vt:variant>
      <vt:variant>
        <vt:lpwstr/>
      </vt:variant>
      <vt:variant>
        <vt:i4>7798832</vt:i4>
      </vt:variant>
      <vt:variant>
        <vt:i4>249</vt:i4>
      </vt:variant>
      <vt:variant>
        <vt:i4>0</vt:i4>
      </vt:variant>
      <vt:variant>
        <vt:i4>5</vt:i4>
      </vt:variant>
      <vt:variant>
        <vt:lpwstr>http://www.westlaw.com/Find/Default.wl?rs=dfa1.0&amp;vr=2.0&amp;DB=708&amp;FindType=Y&amp;SerialNum=1969132914</vt:lpwstr>
      </vt:variant>
      <vt:variant>
        <vt:lpwstr/>
      </vt:variant>
      <vt:variant>
        <vt:i4>7733300</vt:i4>
      </vt:variant>
      <vt:variant>
        <vt:i4>246</vt:i4>
      </vt:variant>
      <vt:variant>
        <vt:i4>0</vt:i4>
      </vt:variant>
      <vt:variant>
        <vt:i4>5</vt:i4>
      </vt:variant>
      <vt:variant>
        <vt:lpwstr>http://www.westlaw.com/Find/Default.wl?rs=dfa1.0&amp;vr=2.0&amp;DB=708&amp;FindType=Y&amp;SerialNum=1976142415</vt:lpwstr>
      </vt:variant>
      <vt:variant>
        <vt:lpwstr/>
      </vt:variant>
      <vt:variant>
        <vt:i4>7733300</vt:i4>
      </vt:variant>
      <vt:variant>
        <vt:i4>243</vt:i4>
      </vt:variant>
      <vt:variant>
        <vt:i4>0</vt:i4>
      </vt:variant>
      <vt:variant>
        <vt:i4>5</vt:i4>
      </vt:variant>
      <vt:variant>
        <vt:lpwstr>http://www.westlaw.com/Find/Default.wl?rs=dfa1.0&amp;vr=2.0&amp;DB=708&amp;FindType=Y&amp;SerialNum=1976142415</vt:lpwstr>
      </vt:variant>
      <vt:variant>
        <vt:lpwstr/>
      </vt:variant>
      <vt:variant>
        <vt:i4>7798832</vt:i4>
      </vt:variant>
      <vt:variant>
        <vt:i4>240</vt:i4>
      </vt:variant>
      <vt:variant>
        <vt:i4>0</vt:i4>
      </vt:variant>
      <vt:variant>
        <vt:i4>5</vt:i4>
      </vt:variant>
      <vt:variant>
        <vt:lpwstr>http://www.westlaw.com/Find/Default.wl?rs=dfa1.0&amp;vr=2.0&amp;DB=708&amp;FindType=Y&amp;SerialNum=1969132914</vt:lpwstr>
      </vt:variant>
      <vt:variant>
        <vt:lpwstr/>
      </vt:variant>
      <vt:variant>
        <vt:i4>7798832</vt:i4>
      </vt:variant>
      <vt:variant>
        <vt:i4>237</vt:i4>
      </vt:variant>
      <vt:variant>
        <vt:i4>0</vt:i4>
      </vt:variant>
      <vt:variant>
        <vt:i4>5</vt:i4>
      </vt:variant>
      <vt:variant>
        <vt:lpwstr>http://www.westlaw.com/Find/Default.wl?rs=dfa1.0&amp;vr=2.0&amp;DB=708&amp;FindType=Y&amp;SerialNum=1969132914</vt:lpwstr>
      </vt:variant>
      <vt:variant>
        <vt:lpwstr/>
      </vt:variant>
      <vt:variant>
        <vt:i4>7798832</vt:i4>
      </vt:variant>
      <vt:variant>
        <vt:i4>234</vt:i4>
      </vt:variant>
      <vt:variant>
        <vt:i4>0</vt:i4>
      </vt:variant>
      <vt:variant>
        <vt:i4>5</vt:i4>
      </vt:variant>
      <vt:variant>
        <vt:lpwstr>http://www.westlaw.com/Find/Default.wl?rs=dfa1.0&amp;vr=2.0&amp;DB=708&amp;FindType=Y&amp;SerialNum=1969132914</vt:lpwstr>
      </vt:variant>
      <vt:variant>
        <vt:lpwstr/>
      </vt:variant>
      <vt:variant>
        <vt:i4>7798832</vt:i4>
      </vt:variant>
      <vt:variant>
        <vt:i4>231</vt:i4>
      </vt:variant>
      <vt:variant>
        <vt:i4>0</vt:i4>
      </vt:variant>
      <vt:variant>
        <vt:i4>5</vt:i4>
      </vt:variant>
      <vt:variant>
        <vt:lpwstr>http://www.westlaw.com/Find/Default.wl?rs=dfa1.0&amp;vr=2.0&amp;DB=708&amp;FindType=Y&amp;SerialNum=1969132914</vt:lpwstr>
      </vt:variant>
      <vt:variant>
        <vt:lpwstr/>
      </vt:variant>
      <vt:variant>
        <vt:i4>7798832</vt:i4>
      </vt:variant>
      <vt:variant>
        <vt:i4>228</vt:i4>
      </vt:variant>
      <vt:variant>
        <vt:i4>0</vt:i4>
      </vt:variant>
      <vt:variant>
        <vt:i4>5</vt:i4>
      </vt:variant>
      <vt:variant>
        <vt:lpwstr>http://www.westlaw.com/Find/Default.wl?rs=dfa1.0&amp;vr=2.0&amp;DB=708&amp;FindType=Y&amp;SerialNum=1969132914</vt:lpwstr>
      </vt:variant>
      <vt:variant>
        <vt:lpwstr/>
      </vt:variant>
      <vt:variant>
        <vt:i4>7798832</vt:i4>
      </vt:variant>
      <vt:variant>
        <vt:i4>225</vt:i4>
      </vt:variant>
      <vt:variant>
        <vt:i4>0</vt:i4>
      </vt:variant>
      <vt:variant>
        <vt:i4>5</vt:i4>
      </vt:variant>
      <vt:variant>
        <vt:lpwstr>http://www.westlaw.com/Find/Default.wl?rs=dfa1.0&amp;vr=2.0&amp;DB=708&amp;FindType=Y&amp;SerialNum=1969132914</vt:lpwstr>
      </vt:variant>
      <vt:variant>
        <vt:lpwstr/>
      </vt:variant>
      <vt:variant>
        <vt:i4>7798832</vt:i4>
      </vt:variant>
      <vt:variant>
        <vt:i4>222</vt:i4>
      </vt:variant>
      <vt:variant>
        <vt:i4>0</vt:i4>
      </vt:variant>
      <vt:variant>
        <vt:i4>5</vt:i4>
      </vt:variant>
      <vt:variant>
        <vt:lpwstr>http://www.westlaw.com/Find/Default.wl?rs=dfa1.0&amp;vr=2.0&amp;DB=708&amp;FindType=Y&amp;SerialNum=1969132914</vt:lpwstr>
      </vt:variant>
      <vt:variant>
        <vt:lpwstr/>
      </vt:variant>
      <vt:variant>
        <vt:i4>7798832</vt:i4>
      </vt:variant>
      <vt:variant>
        <vt:i4>219</vt:i4>
      </vt:variant>
      <vt:variant>
        <vt:i4>0</vt:i4>
      </vt:variant>
      <vt:variant>
        <vt:i4>5</vt:i4>
      </vt:variant>
      <vt:variant>
        <vt:lpwstr>http://www.westlaw.com/Find/Default.wl?rs=dfa1.0&amp;vr=2.0&amp;DB=708&amp;FindType=Y&amp;SerialNum=1969132914</vt:lpwstr>
      </vt:variant>
      <vt:variant>
        <vt:lpwstr/>
      </vt:variant>
      <vt:variant>
        <vt:i4>7798832</vt:i4>
      </vt:variant>
      <vt:variant>
        <vt:i4>216</vt:i4>
      </vt:variant>
      <vt:variant>
        <vt:i4>0</vt:i4>
      </vt:variant>
      <vt:variant>
        <vt:i4>5</vt:i4>
      </vt:variant>
      <vt:variant>
        <vt:lpwstr>http://www.westlaw.com/Find/Default.wl?rs=dfa1.0&amp;vr=2.0&amp;DB=708&amp;FindType=Y&amp;SerialNum=1969132914</vt:lpwstr>
      </vt:variant>
      <vt:variant>
        <vt:lpwstr/>
      </vt:variant>
      <vt:variant>
        <vt:i4>7798832</vt:i4>
      </vt:variant>
      <vt:variant>
        <vt:i4>213</vt:i4>
      </vt:variant>
      <vt:variant>
        <vt:i4>0</vt:i4>
      </vt:variant>
      <vt:variant>
        <vt:i4>5</vt:i4>
      </vt:variant>
      <vt:variant>
        <vt:lpwstr>http://www.westlaw.com/Find/Default.wl?rs=dfa1.0&amp;vr=2.0&amp;DB=708&amp;FindType=Y&amp;SerialNum=1969132914</vt:lpwstr>
      </vt:variant>
      <vt:variant>
        <vt:lpwstr/>
      </vt:variant>
      <vt:variant>
        <vt:i4>7798832</vt:i4>
      </vt:variant>
      <vt:variant>
        <vt:i4>210</vt:i4>
      </vt:variant>
      <vt:variant>
        <vt:i4>0</vt:i4>
      </vt:variant>
      <vt:variant>
        <vt:i4>5</vt:i4>
      </vt:variant>
      <vt:variant>
        <vt:lpwstr>http://www.westlaw.com/Find/Default.wl?rs=dfa1.0&amp;vr=2.0&amp;DB=708&amp;FindType=Y&amp;SerialNum=1969132914</vt:lpwstr>
      </vt:variant>
      <vt:variant>
        <vt:lpwstr/>
      </vt:variant>
      <vt:variant>
        <vt:i4>7798832</vt:i4>
      </vt:variant>
      <vt:variant>
        <vt:i4>207</vt:i4>
      </vt:variant>
      <vt:variant>
        <vt:i4>0</vt:i4>
      </vt:variant>
      <vt:variant>
        <vt:i4>5</vt:i4>
      </vt:variant>
      <vt:variant>
        <vt:lpwstr>http://www.westlaw.com/Find/Default.wl?rs=dfa1.0&amp;vr=2.0&amp;DB=708&amp;FindType=Y&amp;SerialNum=1969132914</vt:lpwstr>
      </vt:variant>
      <vt:variant>
        <vt:lpwstr/>
      </vt:variant>
      <vt:variant>
        <vt:i4>7798832</vt:i4>
      </vt:variant>
      <vt:variant>
        <vt:i4>204</vt:i4>
      </vt:variant>
      <vt:variant>
        <vt:i4>0</vt:i4>
      </vt:variant>
      <vt:variant>
        <vt:i4>5</vt:i4>
      </vt:variant>
      <vt:variant>
        <vt:lpwstr>http://www.westlaw.com/Find/Default.wl?rs=dfa1.0&amp;vr=2.0&amp;DB=708&amp;FindType=Y&amp;SerialNum=1969132914</vt:lpwstr>
      </vt:variant>
      <vt:variant>
        <vt:lpwstr/>
      </vt:variant>
      <vt:variant>
        <vt:i4>7798832</vt:i4>
      </vt:variant>
      <vt:variant>
        <vt:i4>201</vt:i4>
      </vt:variant>
      <vt:variant>
        <vt:i4>0</vt:i4>
      </vt:variant>
      <vt:variant>
        <vt:i4>5</vt:i4>
      </vt:variant>
      <vt:variant>
        <vt:lpwstr>http://www.westlaw.com/Find/Default.wl?rs=dfa1.0&amp;vr=2.0&amp;DB=708&amp;FindType=Y&amp;SerialNum=1969132914</vt:lpwstr>
      </vt:variant>
      <vt:variant>
        <vt:lpwstr/>
      </vt:variant>
      <vt:variant>
        <vt:i4>7340091</vt:i4>
      </vt:variant>
      <vt:variant>
        <vt:i4>198</vt:i4>
      </vt:variant>
      <vt:variant>
        <vt:i4>0</vt:i4>
      </vt:variant>
      <vt:variant>
        <vt:i4>5</vt:i4>
      </vt:variant>
      <vt:variant>
        <vt:lpwstr>http://www.westlaw.com/Find/Default.wl?rs=dfa1.0&amp;vr=2.0&amp;DB=708&amp;FindType=Y&amp;SerialNum=1952117807</vt:lpwstr>
      </vt:variant>
      <vt:variant>
        <vt:lpwstr/>
      </vt:variant>
      <vt:variant>
        <vt:i4>7340091</vt:i4>
      </vt:variant>
      <vt:variant>
        <vt:i4>195</vt:i4>
      </vt:variant>
      <vt:variant>
        <vt:i4>0</vt:i4>
      </vt:variant>
      <vt:variant>
        <vt:i4>5</vt:i4>
      </vt:variant>
      <vt:variant>
        <vt:lpwstr>http://www.westlaw.com/Find/Default.wl?rs=dfa1.0&amp;vr=2.0&amp;DB=708&amp;FindType=Y&amp;SerialNum=1952117807</vt:lpwstr>
      </vt:variant>
      <vt:variant>
        <vt:lpwstr/>
      </vt:variant>
      <vt:variant>
        <vt:i4>7798818</vt:i4>
      </vt:variant>
      <vt:variant>
        <vt:i4>192</vt:i4>
      </vt:variant>
      <vt:variant>
        <vt:i4>0</vt:i4>
      </vt:variant>
      <vt:variant>
        <vt:i4>5</vt:i4>
      </vt:variant>
      <vt:variant>
        <vt:lpwstr/>
      </vt:variant>
      <vt:variant>
        <vt:lpwstr>Document1zzF00222017819485</vt:lpwstr>
      </vt:variant>
      <vt:variant>
        <vt:i4>7798835</vt:i4>
      </vt:variant>
      <vt:variant>
        <vt:i4>189</vt:i4>
      </vt:variant>
      <vt:variant>
        <vt:i4>0</vt:i4>
      </vt:variant>
      <vt:variant>
        <vt:i4>5</vt:i4>
      </vt:variant>
      <vt:variant>
        <vt:lpwstr>http://www.westlaw.com/Find/Default.wl?rs=dfa1.0&amp;vr=2.0&amp;DB=708&amp;FindType=Y&amp;SerialNum=1970134166</vt:lpwstr>
      </vt:variant>
      <vt:variant>
        <vt:lpwstr/>
      </vt:variant>
      <vt:variant>
        <vt:i4>7798835</vt:i4>
      </vt:variant>
      <vt:variant>
        <vt:i4>186</vt:i4>
      </vt:variant>
      <vt:variant>
        <vt:i4>0</vt:i4>
      </vt:variant>
      <vt:variant>
        <vt:i4>5</vt:i4>
      </vt:variant>
      <vt:variant>
        <vt:lpwstr>http://www.westlaw.com/Find/Default.wl?rs=dfa1.0&amp;vr=2.0&amp;DB=708&amp;FindType=Y&amp;SerialNum=1970134166</vt:lpwstr>
      </vt:variant>
      <vt:variant>
        <vt:lpwstr/>
      </vt:variant>
      <vt:variant>
        <vt:i4>7798843</vt:i4>
      </vt:variant>
      <vt:variant>
        <vt:i4>183</vt:i4>
      </vt:variant>
      <vt:variant>
        <vt:i4>0</vt:i4>
      </vt:variant>
      <vt:variant>
        <vt:i4>5</vt:i4>
      </vt:variant>
      <vt:variant>
        <vt:lpwstr>http://www.westlaw.com/Find/Default.wl?rs=dfa1.0&amp;vr=2.0&amp;DB=708&amp;FindType=Y&amp;SerialNum=1979135177</vt:lpwstr>
      </vt:variant>
      <vt:variant>
        <vt:lpwstr/>
      </vt:variant>
      <vt:variant>
        <vt:i4>7798843</vt:i4>
      </vt:variant>
      <vt:variant>
        <vt:i4>180</vt:i4>
      </vt:variant>
      <vt:variant>
        <vt:i4>0</vt:i4>
      </vt:variant>
      <vt:variant>
        <vt:i4>5</vt:i4>
      </vt:variant>
      <vt:variant>
        <vt:lpwstr>http://www.westlaw.com/Find/Default.wl?rs=dfa1.0&amp;vr=2.0&amp;DB=708&amp;FindType=Y&amp;SerialNum=1979135177</vt:lpwstr>
      </vt:variant>
      <vt:variant>
        <vt:lpwstr/>
      </vt:variant>
      <vt:variant>
        <vt:i4>7798843</vt:i4>
      </vt:variant>
      <vt:variant>
        <vt:i4>177</vt:i4>
      </vt:variant>
      <vt:variant>
        <vt:i4>0</vt:i4>
      </vt:variant>
      <vt:variant>
        <vt:i4>5</vt:i4>
      </vt:variant>
      <vt:variant>
        <vt:lpwstr>http://www.westlaw.com/Find/Default.wl?rs=dfa1.0&amp;vr=2.0&amp;DB=708&amp;FindType=Y&amp;SerialNum=1979135177</vt:lpwstr>
      </vt:variant>
      <vt:variant>
        <vt:lpwstr/>
      </vt:variant>
      <vt:variant>
        <vt:i4>7798822</vt:i4>
      </vt:variant>
      <vt:variant>
        <vt:i4>174</vt:i4>
      </vt:variant>
      <vt:variant>
        <vt:i4>0</vt:i4>
      </vt:variant>
      <vt:variant>
        <vt:i4>5</vt:i4>
      </vt:variant>
      <vt:variant>
        <vt:lpwstr/>
      </vt:variant>
      <vt:variant>
        <vt:lpwstr>Document1zzB00222017819485</vt:lpwstr>
      </vt:variant>
      <vt:variant>
        <vt:i4>4456464</vt:i4>
      </vt:variant>
      <vt:variant>
        <vt:i4>171</vt:i4>
      </vt:variant>
      <vt:variant>
        <vt:i4>0</vt:i4>
      </vt:variant>
      <vt:variant>
        <vt:i4>5</vt:i4>
      </vt:variant>
      <vt:variant>
        <vt:lpwstr/>
      </vt:variant>
      <vt:variant>
        <vt:lpwstr>Document1zzF102017819485</vt:lpwstr>
      </vt:variant>
      <vt:variant>
        <vt:i4>4259885</vt:i4>
      </vt:variant>
      <vt:variant>
        <vt:i4>168</vt:i4>
      </vt:variant>
      <vt:variant>
        <vt:i4>0</vt:i4>
      </vt:variant>
      <vt:variant>
        <vt:i4>5</vt:i4>
      </vt:variant>
      <vt:variant>
        <vt:lpwstr/>
      </vt:variant>
      <vt:variant>
        <vt:lpwstr>Document1zzF92017819485</vt:lpwstr>
      </vt:variant>
      <vt:variant>
        <vt:i4>4194349</vt:i4>
      </vt:variant>
      <vt:variant>
        <vt:i4>165</vt:i4>
      </vt:variant>
      <vt:variant>
        <vt:i4>0</vt:i4>
      </vt:variant>
      <vt:variant>
        <vt:i4>5</vt:i4>
      </vt:variant>
      <vt:variant>
        <vt:lpwstr/>
      </vt:variant>
      <vt:variant>
        <vt:lpwstr>Document1zzF82017819485</vt:lpwstr>
      </vt:variant>
      <vt:variant>
        <vt:i4>5177389</vt:i4>
      </vt:variant>
      <vt:variant>
        <vt:i4>162</vt:i4>
      </vt:variant>
      <vt:variant>
        <vt:i4>0</vt:i4>
      </vt:variant>
      <vt:variant>
        <vt:i4>5</vt:i4>
      </vt:variant>
      <vt:variant>
        <vt:lpwstr/>
      </vt:variant>
      <vt:variant>
        <vt:lpwstr>Document1zzF72017819485</vt:lpwstr>
      </vt:variant>
      <vt:variant>
        <vt:i4>8192056</vt:i4>
      </vt:variant>
      <vt:variant>
        <vt:i4>159</vt:i4>
      </vt:variant>
      <vt:variant>
        <vt:i4>0</vt:i4>
      </vt:variant>
      <vt:variant>
        <vt:i4>5</vt:i4>
      </vt:variant>
      <vt:variant>
        <vt:lpwstr>http://www.westlaw.com/Find/Default.wl?rs=dfa1.0&amp;vr=2.0&amp;DB=660&amp;FindType=Y&amp;SerialNum=1897003020</vt:lpwstr>
      </vt:variant>
      <vt:variant>
        <vt:lpwstr/>
      </vt:variant>
      <vt:variant>
        <vt:i4>8192056</vt:i4>
      </vt:variant>
      <vt:variant>
        <vt:i4>156</vt:i4>
      </vt:variant>
      <vt:variant>
        <vt:i4>0</vt:i4>
      </vt:variant>
      <vt:variant>
        <vt:i4>5</vt:i4>
      </vt:variant>
      <vt:variant>
        <vt:lpwstr>http://www.westlaw.com/Find/Default.wl?rs=dfa1.0&amp;vr=2.0&amp;DB=660&amp;FindType=Y&amp;SerialNum=1897003020</vt:lpwstr>
      </vt:variant>
      <vt:variant>
        <vt:lpwstr/>
      </vt:variant>
      <vt:variant>
        <vt:i4>7733311</vt:i4>
      </vt:variant>
      <vt:variant>
        <vt:i4>153</vt:i4>
      </vt:variant>
      <vt:variant>
        <vt:i4>0</vt:i4>
      </vt:variant>
      <vt:variant>
        <vt:i4>5</vt:i4>
      </vt:variant>
      <vt:variant>
        <vt:lpwstr>http://www.westlaw.com/Find/Default.wl?rs=dfa1.0&amp;vr=2.0&amp;DB=661&amp;FindType=Y&amp;SerialNum=1952112152</vt:lpwstr>
      </vt:variant>
      <vt:variant>
        <vt:lpwstr/>
      </vt:variant>
      <vt:variant>
        <vt:i4>7733311</vt:i4>
      </vt:variant>
      <vt:variant>
        <vt:i4>150</vt:i4>
      </vt:variant>
      <vt:variant>
        <vt:i4>0</vt:i4>
      </vt:variant>
      <vt:variant>
        <vt:i4>5</vt:i4>
      </vt:variant>
      <vt:variant>
        <vt:lpwstr>http://www.westlaw.com/Find/Default.wl?rs=dfa1.0&amp;vr=2.0&amp;DB=661&amp;FindType=Y&amp;SerialNum=1952112152</vt:lpwstr>
      </vt:variant>
      <vt:variant>
        <vt:lpwstr/>
      </vt:variant>
      <vt:variant>
        <vt:i4>7798843</vt:i4>
      </vt:variant>
      <vt:variant>
        <vt:i4>147</vt:i4>
      </vt:variant>
      <vt:variant>
        <vt:i4>0</vt:i4>
      </vt:variant>
      <vt:variant>
        <vt:i4>5</vt:i4>
      </vt:variant>
      <vt:variant>
        <vt:lpwstr>http://www.westlaw.com/Find/Default.wl?rs=dfa1.0&amp;vr=2.0&amp;DB=708&amp;FindType=Y&amp;SerialNum=1979135177</vt:lpwstr>
      </vt:variant>
      <vt:variant>
        <vt:lpwstr/>
      </vt:variant>
      <vt:variant>
        <vt:i4>7798843</vt:i4>
      </vt:variant>
      <vt:variant>
        <vt:i4>144</vt:i4>
      </vt:variant>
      <vt:variant>
        <vt:i4>0</vt:i4>
      </vt:variant>
      <vt:variant>
        <vt:i4>5</vt:i4>
      </vt:variant>
      <vt:variant>
        <vt:lpwstr>http://www.westlaw.com/Find/Default.wl?rs=dfa1.0&amp;vr=2.0&amp;DB=708&amp;FindType=Y&amp;SerialNum=1979135177</vt:lpwstr>
      </vt:variant>
      <vt:variant>
        <vt:lpwstr/>
      </vt:variant>
      <vt:variant>
        <vt:i4>7798843</vt:i4>
      </vt:variant>
      <vt:variant>
        <vt:i4>141</vt:i4>
      </vt:variant>
      <vt:variant>
        <vt:i4>0</vt:i4>
      </vt:variant>
      <vt:variant>
        <vt:i4>5</vt:i4>
      </vt:variant>
      <vt:variant>
        <vt:lpwstr>http://www.westlaw.com/Find/Default.wl?rs=dfa1.0&amp;vr=2.0&amp;DB=708&amp;FindType=Y&amp;SerialNum=1979135177</vt:lpwstr>
      </vt:variant>
      <vt:variant>
        <vt:lpwstr/>
      </vt:variant>
      <vt:variant>
        <vt:i4>4456528</vt:i4>
      </vt:variant>
      <vt:variant>
        <vt:i4>138</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135</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132</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5111853</vt:i4>
      </vt:variant>
      <vt:variant>
        <vt:i4>129</vt:i4>
      </vt:variant>
      <vt:variant>
        <vt:i4>0</vt:i4>
      </vt:variant>
      <vt:variant>
        <vt:i4>5</vt:i4>
      </vt:variant>
      <vt:variant>
        <vt:lpwstr/>
      </vt:variant>
      <vt:variant>
        <vt:lpwstr>Document1zzF62017819485</vt:lpwstr>
      </vt:variant>
      <vt:variant>
        <vt:i4>6422615</vt:i4>
      </vt:variant>
      <vt:variant>
        <vt:i4>126</vt:i4>
      </vt:variant>
      <vt:variant>
        <vt:i4>0</vt:i4>
      </vt:variant>
      <vt:variant>
        <vt:i4>5</vt:i4>
      </vt:variant>
      <vt:variant>
        <vt:lpwstr>http://www.westlaw.com/Find/Default.wl?rs=dfa1.0&amp;vr=2.0&amp;DB=1000201&amp;DocName=CACPS425.16&amp;FindType=L</vt:lpwstr>
      </vt:variant>
      <vt:variant>
        <vt:lpwstr/>
      </vt:variant>
      <vt:variant>
        <vt:i4>5570601</vt:i4>
      </vt:variant>
      <vt:variant>
        <vt:i4>123</vt:i4>
      </vt:variant>
      <vt:variant>
        <vt:i4>0</vt:i4>
      </vt:variant>
      <vt:variant>
        <vt:i4>5</vt:i4>
      </vt:variant>
      <vt:variant>
        <vt:lpwstr>http://www.westlaw.com/Find/Default.wl?rs=dfa1.0&amp;vr=2.0&amp;DB=7047&amp;FindType=Y&amp;SerialNum=2003827744</vt:lpwstr>
      </vt:variant>
      <vt:variant>
        <vt:lpwstr/>
      </vt:variant>
      <vt:variant>
        <vt:i4>5570601</vt:i4>
      </vt:variant>
      <vt:variant>
        <vt:i4>120</vt:i4>
      </vt:variant>
      <vt:variant>
        <vt:i4>0</vt:i4>
      </vt:variant>
      <vt:variant>
        <vt:i4>5</vt:i4>
      </vt:variant>
      <vt:variant>
        <vt:lpwstr>http://www.westlaw.com/Find/Default.wl?rs=dfa1.0&amp;vr=2.0&amp;DB=7047&amp;FindType=Y&amp;SerialNum=2003827744</vt:lpwstr>
      </vt:variant>
      <vt:variant>
        <vt:lpwstr/>
      </vt:variant>
      <vt:variant>
        <vt:i4>5570601</vt:i4>
      </vt:variant>
      <vt:variant>
        <vt:i4>117</vt:i4>
      </vt:variant>
      <vt:variant>
        <vt:i4>0</vt:i4>
      </vt:variant>
      <vt:variant>
        <vt:i4>5</vt:i4>
      </vt:variant>
      <vt:variant>
        <vt:lpwstr>http://www.westlaw.com/Find/Default.wl?rs=dfa1.0&amp;vr=2.0&amp;DB=7047&amp;FindType=Y&amp;SerialNum=2003827744</vt:lpwstr>
      </vt:variant>
      <vt:variant>
        <vt:lpwstr/>
      </vt:variant>
      <vt:variant>
        <vt:i4>5701669</vt:i4>
      </vt:variant>
      <vt:variant>
        <vt:i4>114</vt:i4>
      </vt:variant>
      <vt:variant>
        <vt:i4>0</vt:i4>
      </vt:variant>
      <vt:variant>
        <vt:i4>5</vt:i4>
      </vt:variant>
      <vt:variant>
        <vt:lpwstr>http://www.westlaw.com/Find/Default.wl?rs=dfa1.0&amp;vr=2.0&amp;DB=4645&amp;FindType=Y&amp;SerialNum=2002555241</vt:lpwstr>
      </vt:variant>
      <vt:variant>
        <vt:lpwstr/>
      </vt:variant>
      <vt:variant>
        <vt:i4>5701669</vt:i4>
      </vt:variant>
      <vt:variant>
        <vt:i4>111</vt:i4>
      </vt:variant>
      <vt:variant>
        <vt:i4>0</vt:i4>
      </vt:variant>
      <vt:variant>
        <vt:i4>5</vt:i4>
      </vt:variant>
      <vt:variant>
        <vt:lpwstr>http://www.westlaw.com/Find/Default.wl?rs=dfa1.0&amp;vr=2.0&amp;DB=4645&amp;FindType=Y&amp;SerialNum=2002555241</vt:lpwstr>
      </vt:variant>
      <vt:variant>
        <vt:lpwstr/>
      </vt:variant>
      <vt:variant>
        <vt:i4>5701669</vt:i4>
      </vt:variant>
      <vt:variant>
        <vt:i4>108</vt:i4>
      </vt:variant>
      <vt:variant>
        <vt:i4>0</vt:i4>
      </vt:variant>
      <vt:variant>
        <vt:i4>5</vt:i4>
      </vt:variant>
      <vt:variant>
        <vt:lpwstr>http://www.westlaw.com/Find/Default.wl?rs=dfa1.0&amp;vr=2.0&amp;DB=4645&amp;FindType=Y&amp;SerialNum=2002555241</vt:lpwstr>
      </vt:variant>
      <vt:variant>
        <vt:lpwstr/>
      </vt:variant>
      <vt:variant>
        <vt:i4>5046317</vt:i4>
      </vt:variant>
      <vt:variant>
        <vt:i4>105</vt:i4>
      </vt:variant>
      <vt:variant>
        <vt:i4>0</vt:i4>
      </vt:variant>
      <vt:variant>
        <vt:i4>5</vt:i4>
      </vt:variant>
      <vt:variant>
        <vt:lpwstr/>
      </vt:variant>
      <vt:variant>
        <vt:lpwstr>Document1zzF52017819485</vt:lpwstr>
      </vt:variant>
      <vt:variant>
        <vt:i4>4980781</vt:i4>
      </vt:variant>
      <vt:variant>
        <vt:i4>102</vt:i4>
      </vt:variant>
      <vt:variant>
        <vt:i4>0</vt:i4>
      </vt:variant>
      <vt:variant>
        <vt:i4>5</vt:i4>
      </vt:variant>
      <vt:variant>
        <vt:lpwstr/>
      </vt:variant>
      <vt:variant>
        <vt:lpwstr>Document1zzF42017819485</vt:lpwstr>
      </vt:variant>
      <vt:variant>
        <vt:i4>4915245</vt:i4>
      </vt:variant>
      <vt:variant>
        <vt:i4>99</vt:i4>
      </vt:variant>
      <vt:variant>
        <vt:i4>0</vt:i4>
      </vt:variant>
      <vt:variant>
        <vt:i4>5</vt:i4>
      </vt:variant>
      <vt:variant>
        <vt:lpwstr/>
      </vt:variant>
      <vt:variant>
        <vt:lpwstr>Document1zzF32017819485</vt:lpwstr>
      </vt:variant>
      <vt:variant>
        <vt:i4>6422615</vt:i4>
      </vt:variant>
      <vt:variant>
        <vt:i4>96</vt:i4>
      </vt:variant>
      <vt:variant>
        <vt:i4>0</vt:i4>
      </vt:variant>
      <vt:variant>
        <vt:i4>5</vt:i4>
      </vt:variant>
      <vt:variant>
        <vt:lpwstr>http://www.westlaw.com/Find/Default.wl?rs=dfa1.0&amp;vr=2.0&amp;DB=1000201&amp;DocName=CACPS425.16&amp;FindType=L</vt:lpwstr>
      </vt:variant>
      <vt:variant>
        <vt:lpwstr/>
      </vt:variant>
      <vt:variant>
        <vt:i4>4849709</vt:i4>
      </vt:variant>
      <vt:variant>
        <vt:i4>93</vt:i4>
      </vt:variant>
      <vt:variant>
        <vt:i4>0</vt:i4>
      </vt:variant>
      <vt:variant>
        <vt:i4>5</vt:i4>
      </vt:variant>
      <vt:variant>
        <vt:lpwstr/>
      </vt:variant>
      <vt:variant>
        <vt:lpwstr>Document1zzF22017819485</vt:lpwstr>
      </vt:variant>
      <vt:variant>
        <vt:i4>5439524</vt:i4>
      </vt:variant>
      <vt:variant>
        <vt:i4>90</vt:i4>
      </vt:variant>
      <vt:variant>
        <vt:i4>0</vt:i4>
      </vt:variant>
      <vt:variant>
        <vt:i4>5</vt:i4>
      </vt:variant>
      <vt:variant>
        <vt:lpwstr>http://www.westlaw.com/Find/Default.wl?rs=dfa1.0&amp;vr=2.0&amp;DB=4645&amp;FindType=Y&amp;SerialNum=2002555255</vt:lpwstr>
      </vt:variant>
      <vt:variant>
        <vt:lpwstr/>
      </vt:variant>
      <vt:variant>
        <vt:i4>5439524</vt:i4>
      </vt:variant>
      <vt:variant>
        <vt:i4>87</vt:i4>
      </vt:variant>
      <vt:variant>
        <vt:i4>0</vt:i4>
      </vt:variant>
      <vt:variant>
        <vt:i4>5</vt:i4>
      </vt:variant>
      <vt:variant>
        <vt:lpwstr>http://www.westlaw.com/Find/Default.wl?rs=dfa1.0&amp;vr=2.0&amp;DB=4645&amp;FindType=Y&amp;SerialNum=2002555255</vt:lpwstr>
      </vt:variant>
      <vt:variant>
        <vt:lpwstr/>
      </vt:variant>
      <vt:variant>
        <vt:i4>5439524</vt:i4>
      </vt:variant>
      <vt:variant>
        <vt:i4>84</vt:i4>
      </vt:variant>
      <vt:variant>
        <vt:i4>0</vt:i4>
      </vt:variant>
      <vt:variant>
        <vt:i4>5</vt:i4>
      </vt:variant>
      <vt:variant>
        <vt:lpwstr>http://www.westlaw.com/Find/Default.wl?rs=dfa1.0&amp;vr=2.0&amp;DB=4645&amp;FindType=Y&amp;SerialNum=2002555255</vt:lpwstr>
      </vt:variant>
      <vt:variant>
        <vt:lpwstr/>
      </vt:variant>
      <vt:variant>
        <vt:i4>6422615</vt:i4>
      </vt:variant>
      <vt:variant>
        <vt:i4>81</vt:i4>
      </vt:variant>
      <vt:variant>
        <vt:i4>0</vt:i4>
      </vt:variant>
      <vt:variant>
        <vt:i4>5</vt:i4>
      </vt:variant>
      <vt:variant>
        <vt:lpwstr>http://www.westlaw.com/Find/Default.wl?rs=dfa1.0&amp;vr=2.0&amp;DB=1000201&amp;DocName=CACPS425.16&amp;FindType=L</vt:lpwstr>
      </vt:variant>
      <vt:variant>
        <vt:lpwstr/>
      </vt:variant>
      <vt:variant>
        <vt:i4>4784173</vt:i4>
      </vt:variant>
      <vt:variant>
        <vt:i4>78</vt:i4>
      </vt:variant>
      <vt:variant>
        <vt:i4>0</vt:i4>
      </vt:variant>
      <vt:variant>
        <vt:i4>5</vt:i4>
      </vt:variant>
      <vt:variant>
        <vt:lpwstr/>
      </vt:variant>
      <vt:variant>
        <vt:lpwstr>Document1zzF12017819485</vt:lpwstr>
      </vt:variant>
      <vt:variant>
        <vt:i4>6422615</vt:i4>
      </vt:variant>
      <vt:variant>
        <vt:i4>75</vt:i4>
      </vt:variant>
      <vt:variant>
        <vt:i4>0</vt:i4>
      </vt:variant>
      <vt:variant>
        <vt:i4>5</vt:i4>
      </vt:variant>
      <vt:variant>
        <vt:lpwstr>http://www.westlaw.com/Find/Default.wl?rs=dfa1.0&amp;vr=2.0&amp;DB=1000201&amp;DocName=CACPS425.16&amp;FindType=L</vt:lpwstr>
      </vt:variant>
      <vt:variant>
        <vt:lpwstr/>
      </vt:variant>
      <vt:variant>
        <vt:i4>5505059</vt:i4>
      </vt:variant>
      <vt:variant>
        <vt:i4>72</vt:i4>
      </vt:variant>
      <vt:variant>
        <vt:i4>0</vt:i4>
      </vt:variant>
      <vt:variant>
        <vt:i4>5</vt:i4>
      </vt:variant>
      <vt:variant>
        <vt:lpwstr>http://www.westlaw.com/Find/Default.wl?rs=dfa1.0&amp;vr=2.0&amp;DB=4645&amp;FindType=Y&amp;SerialNum=2001174677</vt:lpwstr>
      </vt:variant>
      <vt:variant>
        <vt:lpwstr/>
      </vt:variant>
      <vt:variant>
        <vt:i4>5505059</vt:i4>
      </vt:variant>
      <vt:variant>
        <vt:i4>69</vt:i4>
      </vt:variant>
      <vt:variant>
        <vt:i4>0</vt:i4>
      </vt:variant>
      <vt:variant>
        <vt:i4>5</vt:i4>
      </vt:variant>
      <vt:variant>
        <vt:lpwstr>http://www.westlaw.com/Find/Default.wl?rs=dfa1.0&amp;vr=2.0&amp;DB=4645&amp;FindType=Y&amp;SerialNum=2001174677</vt:lpwstr>
      </vt:variant>
      <vt:variant>
        <vt:lpwstr/>
      </vt:variant>
      <vt:variant>
        <vt:i4>5505059</vt:i4>
      </vt:variant>
      <vt:variant>
        <vt:i4>66</vt:i4>
      </vt:variant>
      <vt:variant>
        <vt:i4>0</vt:i4>
      </vt:variant>
      <vt:variant>
        <vt:i4>5</vt:i4>
      </vt:variant>
      <vt:variant>
        <vt:lpwstr>http://www.westlaw.com/Find/Default.wl?rs=dfa1.0&amp;vr=2.0&amp;DB=4645&amp;FindType=Y&amp;SerialNum=2001174677</vt:lpwstr>
      </vt:variant>
      <vt:variant>
        <vt:lpwstr/>
      </vt:variant>
      <vt:variant>
        <vt:i4>6422615</vt:i4>
      </vt:variant>
      <vt:variant>
        <vt:i4>63</vt:i4>
      </vt:variant>
      <vt:variant>
        <vt:i4>0</vt:i4>
      </vt:variant>
      <vt:variant>
        <vt:i4>5</vt:i4>
      </vt:variant>
      <vt:variant>
        <vt:lpwstr>http://www.westlaw.com/Find/Default.wl?rs=dfa1.0&amp;vr=2.0&amp;DB=1000201&amp;DocName=CACPS425.16&amp;FindType=L</vt:lpwstr>
      </vt:variant>
      <vt:variant>
        <vt:lpwstr/>
      </vt:variant>
      <vt:variant>
        <vt:i4>6422615</vt:i4>
      </vt:variant>
      <vt:variant>
        <vt:i4>60</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57</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54</vt:i4>
      </vt:variant>
      <vt:variant>
        <vt:i4>0</vt:i4>
      </vt:variant>
      <vt:variant>
        <vt:i4>5</vt:i4>
      </vt:variant>
      <vt:variant>
        <vt:lpwstr>http://www.westlaw.com/Find/Default.wl?rs=dfa1.0&amp;vr=2.0&amp;DB=1000201&amp;DocName=CACPS425.16&amp;FindType=L</vt:lpwstr>
      </vt:variant>
      <vt:variant>
        <vt:lpwstr/>
      </vt:variant>
      <vt:variant>
        <vt:i4>7798843</vt:i4>
      </vt:variant>
      <vt:variant>
        <vt:i4>51</vt:i4>
      </vt:variant>
      <vt:variant>
        <vt:i4>0</vt:i4>
      </vt:variant>
      <vt:variant>
        <vt:i4>5</vt:i4>
      </vt:variant>
      <vt:variant>
        <vt:lpwstr>http://www.westlaw.com/Find/Default.wl?rs=dfa1.0&amp;vr=2.0&amp;DB=708&amp;FindType=Y&amp;SerialNum=1979135177</vt:lpwstr>
      </vt:variant>
      <vt:variant>
        <vt:lpwstr/>
      </vt:variant>
      <vt:variant>
        <vt:i4>7798843</vt:i4>
      </vt:variant>
      <vt:variant>
        <vt:i4>48</vt:i4>
      </vt:variant>
      <vt:variant>
        <vt:i4>0</vt:i4>
      </vt:variant>
      <vt:variant>
        <vt:i4>5</vt:i4>
      </vt:variant>
      <vt:variant>
        <vt:lpwstr>http://www.westlaw.com/Find/Default.wl?rs=dfa1.0&amp;vr=2.0&amp;DB=708&amp;FindType=Y&amp;SerialNum=1979135177</vt:lpwstr>
      </vt:variant>
      <vt:variant>
        <vt:lpwstr/>
      </vt:variant>
      <vt:variant>
        <vt:i4>7602236</vt:i4>
      </vt:variant>
      <vt:variant>
        <vt:i4>45</vt:i4>
      </vt:variant>
      <vt:variant>
        <vt:i4>0</vt:i4>
      </vt:variant>
      <vt:variant>
        <vt:i4>5</vt:i4>
      </vt:variant>
      <vt:variant>
        <vt:lpwstr>http://www.westlaw.com/Find/Default.wl?rs=dfa1.0&amp;vr=2.0&amp;DB=227&amp;FindType=Y&amp;SerialNum=1981105999</vt:lpwstr>
      </vt:variant>
      <vt:variant>
        <vt:lpwstr/>
      </vt:variant>
      <vt:variant>
        <vt:i4>7602236</vt:i4>
      </vt:variant>
      <vt:variant>
        <vt:i4>42</vt:i4>
      </vt:variant>
      <vt:variant>
        <vt:i4>0</vt:i4>
      </vt:variant>
      <vt:variant>
        <vt:i4>5</vt:i4>
      </vt:variant>
      <vt:variant>
        <vt:lpwstr>http://www.westlaw.com/Find/Default.wl?rs=dfa1.0&amp;vr=2.0&amp;DB=227&amp;FindType=Y&amp;SerialNum=1981105999</vt:lpwstr>
      </vt:variant>
      <vt:variant>
        <vt:lpwstr/>
      </vt:variant>
      <vt:variant>
        <vt:i4>7602236</vt:i4>
      </vt:variant>
      <vt:variant>
        <vt:i4>39</vt:i4>
      </vt:variant>
      <vt:variant>
        <vt:i4>0</vt:i4>
      </vt:variant>
      <vt:variant>
        <vt:i4>5</vt:i4>
      </vt:variant>
      <vt:variant>
        <vt:lpwstr>http://www.westlaw.com/Find/Default.wl?rs=dfa1.0&amp;vr=2.0&amp;DB=227&amp;FindType=Y&amp;SerialNum=1981105999</vt:lpwstr>
      </vt:variant>
      <vt:variant>
        <vt:lpwstr/>
      </vt:variant>
      <vt:variant>
        <vt:i4>7602236</vt:i4>
      </vt:variant>
      <vt:variant>
        <vt:i4>36</vt:i4>
      </vt:variant>
      <vt:variant>
        <vt:i4>0</vt:i4>
      </vt:variant>
      <vt:variant>
        <vt:i4>5</vt:i4>
      </vt:variant>
      <vt:variant>
        <vt:lpwstr>http://www.westlaw.com/Find/Default.wl?rs=dfa1.0&amp;vr=2.0&amp;DB=227&amp;FindType=Y&amp;SerialNum=1981105999</vt:lpwstr>
      </vt:variant>
      <vt:variant>
        <vt:lpwstr/>
      </vt:variant>
      <vt:variant>
        <vt:i4>7602236</vt:i4>
      </vt:variant>
      <vt:variant>
        <vt:i4>33</vt:i4>
      </vt:variant>
      <vt:variant>
        <vt:i4>0</vt:i4>
      </vt:variant>
      <vt:variant>
        <vt:i4>5</vt:i4>
      </vt:variant>
      <vt:variant>
        <vt:lpwstr>http://www.westlaw.com/Find/Default.wl?rs=dfa1.0&amp;vr=2.0&amp;DB=227&amp;FindType=Y&amp;SerialNum=1981105999</vt:lpwstr>
      </vt:variant>
      <vt:variant>
        <vt:lpwstr/>
      </vt:variant>
      <vt:variant>
        <vt:i4>6094884</vt:i4>
      </vt:variant>
      <vt:variant>
        <vt:i4>30</vt:i4>
      </vt:variant>
      <vt:variant>
        <vt:i4>0</vt:i4>
      </vt:variant>
      <vt:variant>
        <vt:i4>5</vt:i4>
      </vt:variant>
      <vt:variant>
        <vt:lpwstr>http://www.westlaw.com/Find/Default.wl?rs=dfa1.0&amp;vr=2.0&amp;DB=4645&amp;FindType=Y&amp;SerialNum=2002549991</vt:lpwstr>
      </vt:variant>
      <vt:variant>
        <vt:lpwstr/>
      </vt:variant>
      <vt:variant>
        <vt:i4>6094884</vt:i4>
      </vt:variant>
      <vt:variant>
        <vt:i4>27</vt:i4>
      </vt:variant>
      <vt:variant>
        <vt:i4>0</vt:i4>
      </vt:variant>
      <vt:variant>
        <vt:i4>5</vt:i4>
      </vt:variant>
      <vt:variant>
        <vt:lpwstr>http://www.westlaw.com/Find/Default.wl?rs=dfa1.0&amp;vr=2.0&amp;DB=4645&amp;FindType=Y&amp;SerialNum=2002549991</vt:lpwstr>
      </vt:variant>
      <vt:variant>
        <vt:lpwstr/>
      </vt:variant>
      <vt:variant>
        <vt:i4>7602209</vt:i4>
      </vt:variant>
      <vt:variant>
        <vt:i4>24</vt:i4>
      </vt:variant>
      <vt:variant>
        <vt:i4>0</vt:i4>
      </vt:variant>
      <vt:variant>
        <vt:i4>5</vt:i4>
      </vt:variant>
      <vt:variant>
        <vt:lpwstr/>
      </vt:variant>
      <vt:variant>
        <vt:lpwstr>Document1zzF00112017819485</vt:lpwstr>
      </vt:variant>
      <vt:variant>
        <vt:i4>6422615</vt:i4>
      </vt:variant>
      <vt:variant>
        <vt:i4>21</vt:i4>
      </vt:variant>
      <vt:variant>
        <vt:i4>0</vt:i4>
      </vt:variant>
      <vt:variant>
        <vt:i4>5</vt:i4>
      </vt:variant>
      <vt:variant>
        <vt:lpwstr>http://www.westlaw.com/Find/Default.wl?rs=dfa1.0&amp;vr=2.0&amp;DB=1000201&amp;DocName=CACPS425.16&amp;FindType=L</vt:lpwstr>
      </vt:variant>
      <vt:variant>
        <vt:lpwstr/>
      </vt:variant>
      <vt:variant>
        <vt:i4>7602213</vt:i4>
      </vt:variant>
      <vt:variant>
        <vt:i4>18</vt:i4>
      </vt:variant>
      <vt:variant>
        <vt:i4>0</vt:i4>
      </vt:variant>
      <vt:variant>
        <vt:i4>5</vt:i4>
      </vt:variant>
      <vt:variant>
        <vt:lpwstr/>
      </vt:variant>
      <vt:variant>
        <vt:lpwstr>Document1zzB00112017819485</vt:lpwstr>
      </vt:variant>
      <vt:variant>
        <vt:i4>6422615</vt:i4>
      </vt:variant>
      <vt:variant>
        <vt:i4>15</vt:i4>
      </vt:variant>
      <vt:variant>
        <vt:i4>0</vt:i4>
      </vt:variant>
      <vt:variant>
        <vt:i4>5</vt:i4>
      </vt:variant>
      <vt:variant>
        <vt:lpwstr>http://www.westlaw.com/Find/Default.wl?rs=dfa1.0&amp;vr=2.0&amp;DB=1000201&amp;DocName=CACPS425.16&amp;FindType=L</vt:lpwstr>
      </vt:variant>
      <vt:variant>
        <vt:lpwstr/>
      </vt:variant>
      <vt:variant>
        <vt:i4>6094971</vt:i4>
      </vt:variant>
      <vt:variant>
        <vt:i4>12</vt:i4>
      </vt:variant>
      <vt:variant>
        <vt:i4>0</vt:i4>
      </vt:variant>
      <vt:variant>
        <vt:i4>5</vt:i4>
      </vt:variant>
      <vt:variant>
        <vt:lpwstr>http://www.westlaw.com/Find/Default.wl?rs=dfa1.0&amp;vr=2.0&amp;DB=1000204&amp;DocName=CACRS9142&amp;FindType=L</vt:lpwstr>
      </vt:variant>
      <vt:variant>
        <vt:lpwstr/>
      </vt:variant>
      <vt:variant>
        <vt:i4>7798843</vt:i4>
      </vt:variant>
      <vt:variant>
        <vt:i4>9</vt:i4>
      </vt:variant>
      <vt:variant>
        <vt:i4>0</vt:i4>
      </vt:variant>
      <vt:variant>
        <vt:i4>5</vt:i4>
      </vt:variant>
      <vt:variant>
        <vt:lpwstr>http://www.westlaw.com/Find/Default.wl?rs=dfa1.0&amp;vr=2.0&amp;DB=708&amp;FindType=Y&amp;SerialNum=1979135177</vt:lpwstr>
      </vt:variant>
      <vt:variant>
        <vt:lpwstr/>
      </vt:variant>
      <vt:variant>
        <vt:i4>7798843</vt:i4>
      </vt:variant>
      <vt:variant>
        <vt:i4>6</vt:i4>
      </vt:variant>
      <vt:variant>
        <vt:i4>0</vt:i4>
      </vt:variant>
      <vt:variant>
        <vt:i4>5</vt:i4>
      </vt:variant>
      <vt:variant>
        <vt:lpwstr>http://www.westlaw.com/Find/Default.wl?rs=dfa1.0&amp;vr=2.0&amp;DB=708&amp;FindType=Y&amp;SerialNum=1979135177</vt:lpwstr>
      </vt:variant>
      <vt:variant>
        <vt:lpwstr/>
      </vt:variant>
      <vt:variant>
        <vt:i4>7798843</vt:i4>
      </vt:variant>
      <vt:variant>
        <vt:i4>3</vt:i4>
      </vt:variant>
      <vt:variant>
        <vt:i4>0</vt:i4>
      </vt:variant>
      <vt:variant>
        <vt:i4>5</vt:i4>
      </vt:variant>
      <vt:variant>
        <vt:lpwstr>http://www.westlaw.com/Find/Default.wl?rs=dfa1.0&amp;vr=2.0&amp;DB=708&amp;FindType=Y&amp;SerialNum=1979135177</vt:lpwstr>
      </vt:variant>
      <vt:variant>
        <vt:lpwstr/>
      </vt:variant>
      <vt:variant>
        <vt:i4>2490388</vt:i4>
      </vt:variant>
      <vt:variant>
        <vt:i4>0</vt:i4>
      </vt:variant>
      <vt:variant>
        <vt:i4>0</vt:i4>
      </vt:variant>
      <vt:variant>
        <vt:i4>5</vt:i4>
      </vt:variant>
      <vt:variant>
        <vt:lpwstr>http://www.westlaw.com/Find/Default.wl?rs=dfa1.0&amp;vr=2.0&amp;DB=PROFILER-WLD&amp;DocName=0218429701&amp;FindType=h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2</cp:revision>
  <cp:lastPrinted>2007-06-06T14:34:00Z</cp:lastPrinted>
  <dcterms:created xsi:type="dcterms:W3CDTF">2015-10-12T17:51:00Z</dcterms:created>
  <dcterms:modified xsi:type="dcterms:W3CDTF">2015-10-12T17:51:00Z</dcterms:modified>
</cp:coreProperties>
</file>