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23B7" w:rsidRPr="00C423B7" w:rsidRDefault="00F12C90" w:rsidP="003B089D">
      <w:pPr>
        <w:rPr>
          <w:rFonts w:ascii="Lucida Grande" w:hAnsi="Lucida Grande"/>
          <w:color w:val="000000"/>
          <w:sz w:val="26"/>
          <w:szCs w:val="24"/>
        </w:rPr>
      </w:pPr>
      <w:bookmarkStart w:id="0" w:name="_GoBack"/>
      <w:bookmarkEnd w:id="0"/>
      <w:r w:rsidRPr="00C423B7">
        <w:rPr>
          <w:rFonts w:ascii="Lucida Grande" w:hAnsi="Lucida Grande"/>
          <w:color w:val="000000"/>
          <w:sz w:val="26"/>
          <w:szCs w:val="24"/>
        </w:rPr>
        <w:t>--- So.2d ----, 2008 WL 306008 (Miss.App.)</w:t>
      </w:r>
    </w:p>
    <w:p w:rsidR="003B089D" w:rsidRPr="00C423B7" w:rsidRDefault="00F12C90" w:rsidP="003B089D">
      <w:pPr>
        <w:rPr>
          <w:rFonts w:ascii="Lucida Grande" w:hAnsi="Lucida Grande"/>
          <w:color w:val="000000"/>
          <w:sz w:val="26"/>
          <w:szCs w:val="24"/>
        </w:rPr>
      </w:pPr>
      <w:r w:rsidRPr="00C423B7">
        <w:rPr>
          <w:rFonts w:ascii="Lucida Grande" w:hAnsi="Lucida Grande"/>
          <w:color w:val="000000"/>
          <w:sz w:val="26"/>
          <w:szCs w:val="24"/>
        </w:rPr>
        <w:t>Only the Westlaw citation is currently available.</w:t>
      </w:r>
    </w:p>
    <w:p w:rsidR="003B089D" w:rsidRPr="00C423B7" w:rsidRDefault="00F12C90" w:rsidP="003B089D">
      <w:pPr>
        <w:rPr>
          <w:rFonts w:ascii="Lucida Grande" w:hAnsi="Lucida Grande"/>
          <w:color w:val="000000"/>
          <w:sz w:val="26"/>
          <w:szCs w:val="24"/>
        </w:rPr>
      </w:pPr>
      <w:r w:rsidRPr="00C423B7">
        <w:rPr>
          <w:rFonts w:ascii="Lucida Grande" w:hAnsi="Lucida Grande"/>
          <w:color w:val="000000"/>
          <w:sz w:val="26"/>
          <w:szCs w:val="24"/>
        </w:rPr>
        <w:t>NOTICE: THIS OPINION HAS NOT BEEN RELEASED FOR PUBLICATION IN THE PERMANENT LAW REPORTS. UNTIL RELEASED, IT IS SUBJECT TO REVISION OR WITHDRAWAL.</w:t>
      </w:r>
    </w:p>
    <w:p w:rsidR="003B089D" w:rsidRPr="00C423B7" w:rsidRDefault="00F12C90" w:rsidP="003B089D">
      <w:pPr>
        <w:rPr>
          <w:rFonts w:ascii="Lucida Grande" w:hAnsi="Lucida Grande"/>
          <w:color w:val="000000"/>
          <w:sz w:val="26"/>
          <w:szCs w:val="24"/>
        </w:rPr>
      </w:pPr>
      <w:proofErr w:type="gramStart"/>
      <w:r w:rsidRPr="00C423B7">
        <w:rPr>
          <w:rFonts w:ascii="Lucida Grande" w:hAnsi="Lucida Grande"/>
          <w:color w:val="000000"/>
          <w:sz w:val="26"/>
          <w:szCs w:val="24"/>
        </w:rPr>
        <w:t xml:space="preserve">Court of Appeals </w:t>
      </w:r>
      <w:r w:rsidRPr="00C423B7">
        <w:rPr>
          <w:rFonts w:ascii="Lucida Grande" w:hAnsi="Lucida Grande"/>
          <w:color w:val="000000"/>
          <w:sz w:val="26"/>
          <w:szCs w:val="24"/>
        </w:rPr>
        <w:t>of Mississippi.</w:t>
      </w:r>
      <w:proofErr w:type="gramEnd"/>
    </w:p>
    <w:p w:rsidR="003B089D" w:rsidRPr="00C423B7" w:rsidRDefault="00F12C90" w:rsidP="003B089D">
      <w:pPr>
        <w:rPr>
          <w:rFonts w:ascii="Lucida Grande" w:hAnsi="Lucida Grande"/>
          <w:color w:val="000000"/>
          <w:sz w:val="26"/>
          <w:szCs w:val="24"/>
        </w:rPr>
      </w:pPr>
      <w:r w:rsidRPr="00C423B7">
        <w:rPr>
          <w:rFonts w:ascii="Lucida Grande" w:hAnsi="Lucida Grande"/>
          <w:color w:val="000000"/>
          <w:sz w:val="26"/>
          <w:szCs w:val="24"/>
        </w:rPr>
        <w:t>COVENANT HEALTH &amp; REHABILITATION OF PICAYUNE, LP and Covenant Dove, Inc., Appellants</w:t>
      </w:r>
    </w:p>
    <w:p w:rsidR="003B089D" w:rsidRPr="00C423B7" w:rsidRDefault="00F12C90" w:rsidP="003B089D">
      <w:pPr>
        <w:rPr>
          <w:rFonts w:ascii="Lucida Grande" w:hAnsi="Lucida Grande"/>
          <w:color w:val="000000"/>
          <w:sz w:val="26"/>
          <w:szCs w:val="24"/>
        </w:rPr>
      </w:pPr>
      <w:proofErr w:type="gramStart"/>
      <w:r w:rsidRPr="00C423B7">
        <w:rPr>
          <w:rFonts w:ascii="Lucida Grande" w:hAnsi="Lucida Grande"/>
          <w:color w:val="000000"/>
          <w:sz w:val="26"/>
          <w:szCs w:val="24"/>
        </w:rPr>
        <w:t>v</w:t>
      </w:r>
      <w:proofErr w:type="gramEnd"/>
      <w:r w:rsidRPr="00C423B7">
        <w:rPr>
          <w:rFonts w:ascii="Lucida Grande" w:hAnsi="Lucida Grande"/>
          <w:color w:val="000000"/>
          <w:sz w:val="26"/>
          <w:szCs w:val="24"/>
        </w:rPr>
        <w:t>.</w:t>
      </w:r>
    </w:p>
    <w:p w:rsidR="003B089D" w:rsidRPr="00C423B7" w:rsidRDefault="00F12C90" w:rsidP="003B089D">
      <w:pPr>
        <w:rPr>
          <w:rFonts w:ascii="Lucida Grande" w:hAnsi="Lucida Grande"/>
          <w:color w:val="000000"/>
          <w:sz w:val="26"/>
          <w:szCs w:val="24"/>
        </w:rPr>
      </w:pPr>
      <w:proofErr w:type="gramStart"/>
      <w:r w:rsidRPr="00C423B7">
        <w:rPr>
          <w:rFonts w:ascii="Lucida Grande" w:hAnsi="Lucida Grande"/>
          <w:color w:val="000000"/>
          <w:sz w:val="26"/>
          <w:szCs w:val="24"/>
        </w:rPr>
        <w:t>Nellie LUMPKIN, by and through Fred Lumpkin, Next Friend, Appellee.</w:t>
      </w:r>
      <w:proofErr w:type="gramEnd"/>
    </w:p>
    <w:p w:rsidR="003B089D" w:rsidRPr="00C423B7" w:rsidRDefault="00F12C90" w:rsidP="003B089D">
      <w:pPr>
        <w:rPr>
          <w:rFonts w:ascii="Lucida Grande" w:hAnsi="Lucida Grande"/>
          <w:color w:val="000000"/>
          <w:sz w:val="26"/>
          <w:szCs w:val="24"/>
        </w:rPr>
      </w:pPr>
      <w:r w:rsidRPr="00C423B7">
        <w:rPr>
          <w:rFonts w:ascii="Lucida Grande" w:hAnsi="Lucida Grande"/>
          <w:color w:val="000000"/>
          <w:sz w:val="26"/>
          <w:szCs w:val="24"/>
        </w:rPr>
        <w:t>No. 2007-CA-00449-COA.</w:t>
      </w:r>
    </w:p>
    <w:p w:rsidR="003B089D" w:rsidRPr="00C423B7" w:rsidRDefault="00F12C90" w:rsidP="003B089D">
      <w:pPr>
        <w:rPr>
          <w:rFonts w:ascii="Lucida Grande" w:hAnsi="Lucida Grande"/>
          <w:color w:val="000000"/>
          <w:sz w:val="26"/>
          <w:szCs w:val="24"/>
        </w:rPr>
      </w:pPr>
      <w:r w:rsidRPr="00C423B7">
        <w:rPr>
          <w:rFonts w:ascii="Lucida Grande" w:hAnsi="Lucida Grande"/>
          <w:color w:val="000000"/>
          <w:sz w:val="26"/>
          <w:szCs w:val="24"/>
        </w:rPr>
        <w:t>Feb. 5, 2008.</w:t>
      </w:r>
    </w:p>
    <w:p w:rsidR="003B089D" w:rsidRPr="00C423B7" w:rsidRDefault="00F12C90" w:rsidP="003B089D">
      <w:pPr>
        <w:rPr>
          <w:rFonts w:ascii="Lucida Grande" w:hAnsi="Lucida Grande"/>
          <w:color w:val="000000"/>
          <w:sz w:val="26"/>
          <w:szCs w:val="24"/>
        </w:rPr>
      </w:pPr>
      <w:r w:rsidRPr="00C423B7">
        <w:rPr>
          <w:rFonts w:ascii="Lucida Grande" w:hAnsi="Lucida Grande"/>
          <w:color w:val="000000"/>
          <w:sz w:val="26"/>
          <w:szCs w:val="24"/>
        </w:rPr>
        <w:t>Before KING, C.J., BARNES and ISHEE, JJ.</w:t>
      </w:r>
    </w:p>
    <w:p w:rsidR="003B089D" w:rsidRPr="00C423B7" w:rsidRDefault="00F12C90" w:rsidP="003B089D">
      <w:pPr>
        <w:rPr>
          <w:rFonts w:ascii="Lucida Grande" w:hAnsi="Lucida Grande"/>
          <w:color w:val="000000"/>
          <w:sz w:val="26"/>
          <w:szCs w:val="24"/>
        </w:rPr>
      </w:pPr>
      <w:r w:rsidRPr="00C423B7">
        <w:rPr>
          <w:rFonts w:ascii="Lucida Grande" w:hAnsi="Lucida Grande"/>
          <w:color w:val="000000"/>
          <w:sz w:val="26"/>
          <w:szCs w:val="24"/>
        </w:rPr>
        <w:t>ISHEE,</w:t>
      </w:r>
      <w:r w:rsidRPr="00C423B7">
        <w:rPr>
          <w:rFonts w:ascii="Lucida Grande" w:hAnsi="Lucida Grande"/>
          <w:color w:val="000000"/>
          <w:sz w:val="26"/>
          <w:szCs w:val="24"/>
        </w:rPr>
        <w:t xml:space="preserve"> J., for the Court.</w:t>
      </w:r>
    </w:p>
    <w:p w:rsidR="003B089D" w:rsidRPr="00C423B7" w:rsidRDefault="00F12C90" w:rsidP="003B089D">
      <w:pPr>
        <w:rPr>
          <w:rFonts w:ascii="Lucida Grande" w:hAnsi="Lucida Grande"/>
          <w:color w:val="000000"/>
          <w:sz w:val="26"/>
          <w:szCs w:val="24"/>
        </w:rPr>
      </w:pPr>
      <w:r w:rsidRPr="00C423B7">
        <w:rPr>
          <w:rFonts w:ascii="Lucida Grande" w:hAnsi="Lucida Grande"/>
          <w:color w:val="000000"/>
          <w:sz w:val="26"/>
          <w:szCs w:val="24"/>
        </w:rPr>
        <w:t xml:space="preserve">*1 ¶ 1. Nellie Lumpkin, through her husband and next friend Fred Lumpkin, filed suit against Covenant Health and Rehabilitation of Picayune (Covenant Health) seeking damages for personal injuries that allegedly occurred during her stay </w:t>
      </w:r>
      <w:r w:rsidRPr="00C423B7">
        <w:rPr>
          <w:rFonts w:ascii="Lucida Grande" w:hAnsi="Lucida Grande"/>
          <w:color w:val="000000"/>
          <w:sz w:val="26"/>
          <w:szCs w:val="24"/>
        </w:rPr>
        <w:t xml:space="preserve">at its facility. Covenant Health subsequently moved to compel arbitration of the case based on the arbitration clause found in its standard admissions agreement. The trial court refused to compel arbitration, finding the admissions agreement substantively </w:t>
      </w:r>
      <w:r w:rsidRPr="00C423B7">
        <w:rPr>
          <w:rFonts w:ascii="Lucida Grande" w:hAnsi="Lucida Grande"/>
          <w:color w:val="000000"/>
          <w:sz w:val="26"/>
          <w:szCs w:val="24"/>
        </w:rPr>
        <w:t>unconscionable and void as a matter of law. Aggrieved, Covenant Health appeals, seeking enforcement of the arbitration provision. Lumpkin asks us to affirm the decision of the trial court, and find that either (1) no arbitration agreement was ever created,</w:t>
      </w:r>
      <w:r w:rsidRPr="00C423B7">
        <w:rPr>
          <w:rFonts w:ascii="Lucida Grande" w:hAnsi="Lucida Grande"/>
          <w:color w:val="000000"/>
          <w:sz w:val="26"/>
          <w:szCs w:val="24"/>
        </w:rPr>
        <w:t xml:space="preserve"> because Lumpkin's daughter lacked capacity to bind Lumpkin to arbitration or, in the alternative, that the arbitration clause fails for lack of consideration; or (2) the arbitration clause is void due to fraud in the inducement and substantive unconsciona</w:t>
      </w:r>
      <w:r w:rsidRPr="00C423B7">
        <w:rPr>
          <w:rFonts w:ascii="Lucida Grande" w:hAnsi="Lucida Grande"/>
          <w:color w:val="000000"/>
          <w:sz w:val="26"/>
          <w:szCs w:val="24"/>
        </w:rPr>
        <w:t>bility.</w:t>
      </w:r>
    </w:p>
    <w:p w:rsidR="003B089D" w:rsidRPr="00C423B7" w:rsidRDefault="00F12C90" w:rsidP="003B089D">
      <w:pPr>
        <w:rPr>
          <w:rFonts w:ascii="Lucida Grande" w:hAnsi="Lucida Grande"/>
          <w:color w:val="000000"/>
          <w:sz w:val="26"/>
          <w:szCs w:val="24"/>
        </w:rPr>
      </w:pPr>
      <w:r w:rsidRPr="00C423B7">
        <w:rPr>
          <w:rFonts w:ascii="Lucida Grande" w:hAnsi="Lucida Grande"/>
          <w:color w:val="000000"/>
          <w:sz w:val="26"/>
          <w:szCs w:val="24"/>
        </w:rPr>
        <w:t xml:space="preserve">¶ 2. Finding that Lumpkin's daughter possessed the capacity to bind her mother to arbitration, that there existed sufficient consideration to support the creation of the arbitration clause, that Lumpkin's daughter was not fraudulently induced into </w:t>
      </w:r>
      <w:r w:rsidRPr="00C423B7">
        <w:rPr>
          <w:rFonts w:ascii="Lucida Grande" w:hAnsi="Lucida Grande"/>
          <w:color w:val="000000"/>
          <w:sz w:val="26"/>
          <w:szCs w:val="24"/>
        </w:rPr>
        <w:t>signing the admissions agreement, and that the admissions agreement and the arbitration clause are substantively conscionable, we reverse the judgment of the trial court and remand this case for further proceedings consistent with this opinion.</w:t>
      </w:r>
    </w:p>
    <w:p w:rsidR="003B089D" w:rsidRPr="00C423B7" w:rsidRDefault="00F12C90" w:rsidP="003B089D">
      <w:pPr>
        <w:rPr>
          <w:rFonts w:ascii="Lucida Grande" w:hAnsi="Lucida Grande"/>
          <w:color w:val="000000"/>
          <w:sz w:val="26"/>
          <w:szCs w:val="24"/>
        </w:rPr>
      </w:pPr>
      <w:r w:rsidRPr="00C423B7">
        <w:rPr>
          <w:rFonts w:ascii="Lucida Grande" w:hAnsi="Lucida Grande"/>
          <w:color w:val="000000"/>
          <w:sz w:val="26"/>
          <w:szCs w:val="24"/>
        </w:rPr>
        <w:t>FACTS AND P</w:t>
      </w:r>
      <w:r w:rsidRPr="00C423B7">
        <w:rPr>
          <w:rFonts w:ascii="Lucida Grande" w:hAnsi="Lucida Grande"/>
          <w:color w:val="000000"/>
          <w:sz w:val="26"/>
          <w:szCs w:val="24"/>
        </w:rPr>
        <w:t>ROCEDURAL HISTORY</w:t>
      </w:r>
    </w:p>
    <w:p w:rsidR="003B089D" w:rsidRPr="00C423B7" w:rsidRDefault="00F12C90" w:rsidP="003B089D">
      <w:pPr>
        <w:rPr>
          <w:rFonts w:ascii="Lucida Grande" w:hAnsi="Lucida Grande"/>
          <w:color w:val="000000"/>
          <w:sz w:val="26"/>
          <w:szCs w:val="24"/>
        </w:rPr>
      </w:pPr>
      <w:r w:rsidRPr="00C423B7">
        <w:rPr>
          <w:rFonts w:ascii="Lucida Grande" w:hAnsi="Lucida Grande"/>
          <w:color w:val="000000"/>
          <w:sz w:val="26"/>
          <w:szCs w:val="24"/>
        </w:rPr>
        <w:t xml:space="preserve">¶ 3. On April 11, 2003, Lumpkin was admitted to the Picayune Convalescent Center (owned and operated by Covenant Health). </w:t>
      </w:r>
      <w:proofErr w:type="gramStart"/>
      <w:r w:rsidRPr="00C423B7">
        <w:rPr>
          <w:rFonts w:ascii="Lucida Grande" w:hAnsi="Lucida Grande"/>
          <w:color w:val="000000"/>
          <w:sz w:val="26"/>
          <w:szCs w:val="24"/>
        </w:rPr>
        <w:t xml:space="preserve">She </w:t>
      </w:r>
      <w:r w:rsidRPr="00C423B7">
        <w:rPr>
          <w:rFonts w:ascii="Lucida Grande" w:hAnsi="Lucida Grande"/>
          <w:color w:val="000000"/>
          <w:sz w:val="26"/>
          <w:szCs w:val="24"/>
        </w:rPr>
        <w:lastRenderedPageBreak/>
        <w:t>was accompanied by her daughter, Beverly McDaniel</w:t>
      </w:r>
      <w:proofErr w:type="gramEnd"/>
      <w:r w:rsidRPr="00C423B7">
        <w:rPr>
          <w:rFonts w:ascii="Lucida Grande" w:hAnsi="Lucida Grande"/>
          <w:color w:val="000000"/>
          <w:sz w:val="26"/>
          <w:szCs w:val="24"/>
        </w:rPr>
        <w:t>. Due to several illnesses, including Parkinson's disease, psyc</w:t>
      </w:r>
      <w:r w:rsidRPr="00C423B7">
        <w:rPr>
          <w:rFonts w:ascii="Lucida Grande" w:hAnsi="Lucida Grande"/>
          <w:color w:val="000000"/>
          <w:sz w:val="26"/>
          <w:szCs w:val="24"/>
        </w:rPr>
        <w:t xml:space="preserve">hosis, and dementia, that prevented Lumpkin from fully participating in the admissions process, McDaniel filled out all the admissions paperwork and </w:t>
      </w:r>
      <w:proofErr w:type="gramStart"/>
      <w:r w:rsidRPr="00C423B7">
        <w:rPr>
          <w:rFonts w:ascii="Lucida Grande" w:hAnsi="Lucida Grande"/>
          <w:color w:val="000000"/>
          <w:sz w:val="26"/>
          <w:szCs w:val="24"/>
        </w:rPr>
        <w:t>signed</w:t>
      </w:r>
      <w:proofErr w:type="gramEnd"/>
      <w:r w:rsidRPr="00C423B7">
        <w:rPr>
          <w:rFonts w:ascii="Lucida Grande" w:hAnsi="Lucida Grande"/>
          <w:color w:val="000000"/>
          <w:sz w:val="26"/>
          <w:szCs w:val="24"/>
        </w:rPr>
        <w:t xml:space="preserve"> the admissions agreement. That agreement contained, among other things, an arbitration clause requir</w:t>
      </w:r>
      <w:r w:rsidRPr="00C423B7">
        <w:rPr>
          <w:rFonts w:ascii="Lucida Grande" w:hAnsi="Lucida Grande"/>
          <w:color w:val="000000"/>
          <w:sz w:val="26"/>
          <w:szCs w:val="24"/>
        </w:rPr>
        <w:t>ing both parties to submit to arbitration in the event any dispute arose between them.</w:t>
      </w:r>
    </w:p>
    <w:p w:rsidR="003B089D" w:rsidRPr="00C423B7" w:rsidRDefault="00F12C90" w:rsidP="003B089D">
      <w:pPr>
        <w:rPr>
          <w:rFonts w:ascii="Lucida Grande" w:hAnsi="Lucida Grande"/>
          <w:color w:val="000000"/>
          <w:sz w:val="26"/>
          <w:szCs w:val="24"/>
        </w:rPr>
      </w:pPr>
      <w:r w:rsidRPr="00C423B7">
        <w:rPr>
          <w:rFonts w:ascii="Lucida Grande" w:hAnsi="Lucida Grande"/>
          <w:color w:val="000000"/>
          <w:sz w:val="26"/>
          <w:szCs w:val="24"/>
        </w:rPr>
        <w:t>¶ 4. Lumpkin left the Picayune Convalescent Center on December 23, 2004. In November 2006, she filed suit against Covenant Health, alleging negligent treatment and malpr</w:t>
      </w:r>
      <w:r w:rsidRPr="00C423B7">
        <w:rPr>
          <w:rFonts w:ascii="Lucida Grande" w:hAnsi="Lucida Grande"/>
          <w:color w:val="000000"/>
          <w:sz w:val="26"/>
          <w:szCs w:val="24"/>
        </w:rPr>
        <w:t>actice during her stay at the center. On December 11, 2006, Covenant Health filed its motion to compel arbitration, based on the arbitration clause contained in the admissions agreement used at the time Lumpkin was admitted to the Picayune Center. In March</w:t>
      </w:r>
      <w:r w:rsidRPr="00C423B7">
        <w:rPr>
          <w:rFonts w:ascii="Lucida Grande" w:hAnsi="Lucida Grande"/>
          <w:color w:val="000000"/>
          <w:sz w:val="26"/>
          <w:szCs w:val="24"/>
        </w:rPr>
        <w:t xml:space="preserve"> 2007, the trial court denied Covenant Health's motion to compel arbitration, and it is from this ruling that Covenant Health now appeals.</w:t>
      </w:r>
    </w:p>
    <w:p w:rsidR="003B089D" w:rsidRPr="00C423B7" w:rsidRDefault="00F12C90" w:rsidP="003B089D">
      <w:pPr>
        <w:rPr>
          <w:rFonts w:ascii="Lucida Grande" w:hAnsi="Lucida Grande"/>
          <w:color w:val="000000"/>
          <w:sz w:val="26"/>
          <w:szCs w:val="24"/>
        </w:rPr>
      </w:pPr>
      <w:r w:rsidRPr="00C423B7">
        <w:rPr>
          <w:rFonts w:ascii="Lucida Grande" w:hAnsi="Lucida Grande"/>
          <w:color w:val="000000"/>
          <w:sz w:val="26"/>
          <w:szCs w:val="24"/>
        </w:rPr>
        <w:t>DISCUSSION AND ANALYSIS</w:t>
      </w:r>
    </w:p>
    <w:p w:rsidR="003B089D" w:rsidRPr="00C423B7" w:rsidRDefault="00F12C90" w:rsidP="003B089D">
      <w:pPr>
        <w:rPr>
          <w:rFonts w:ascii="Lucida Grande" w:hAnsi="Lucida Grande"/>
          <w:color w:val="000000"/>
          <w:sz w:val="26"/>
          <w:szCs w:val="24"/>
        </w:rPr>
      </w:pPr>
      <w:r w:rsidRPr="00C423B7">
        <w:rPr>
          <w:rFonts w:ascii="Lucida Grande" w:hAnsi="Lucida Grande"/>
          <w:color w:val="000000"/>
          <w:sz w:val="26"/>
          <w:szCs w:val="24"/>
        </w:rPr>
        <w:t xml:space="preserve"> [1] Headnote Citing </w:t>
      </w:r>
      <w:proofErr w:type="gramStart"/>
      <w:r w:rsidRPr="00C423B7">
        <w:rPr>
          <w:rFonts w:ascii="Lucida Grande" w:hAnsi="Lucida Grande"/>
          <w:color w:val="000000"/>
          <w:sz w:val="26"/>
          <w:szCs w:val="24"/>
        </w:rPr>
        <w:t>References[</w:t>
      </w:r>
      <w:proofErr w:type="gramEnd"/>
      <w:r w:rsidRPr="00C423B7">
        <w:rPr>
          <w:rFonts w:ascii="Lucida Grande" w:hAnsi="Lucida Grande"/>
          <w:color w:val="000000"/>
          <w:sz w:val="26"/>
          <w:szCs w:val="24"/>
        </w:rPr>
        <w:t xml:space="preserve">2] Headnote Citing References ¶ 5. This Court reviews orders </w:t>
      </w:r>
      <w:r w:rsidRPr="00C423B7">
        <w:rPr>
          <w:rFonts w:ascii="Lucida Grande" w:hAnsi="Lucida Grande"/>
          <w:color w:val="000000"/>
          <w:sz w:val="26"/>
          <w:szCs w:val="24"/>
        </w:rPr>
        <w:t xml:space="preserve">denying motions to compel arbitration de novo. </w:t>
      </w:r>
      <w:proofErr w:type="gramStart"/>
      <w:r w:rsidRPr="00C423B7">
        <w:rPr>
          <w:rFonts w:ascii="Lucida Grande" w:hAnsi="Lucida Grande"/>
          <w:color w:val="000000"/>
          <w:sz w:val="26"/>
          <w:szCs w:val="24"/>
        </w:rPr>
        <w:t>Vicksburg Partners, L.P. v. Stephens, 911 So.2d 507, 513(¶ 9) (Miss.2005).</w:t>
      </w:r>
      <w:proofErr w:type="gramEnd"/>
      <w:r w:rsidRPr="00C423B7">
        <w:rPr>
          <w:rFonts w:ascii="Lucida Grande" w:hAnsi="Lucida Grande"/>
          <w:color w:val="000000"/>
          <w:sz w:val="26"/>
          <w:szCs w:val="24"/>
        </w:rPr>
        <w:t xml:space="preserve"> Although not directly raised by either party in this case, as a threshold issue this Court must determine whether the Federal Arbitrat</w:t>
      </w:r>
      <w:r w:rsidRPr="00C423B7">
        <w:rPr>
          <w:rFonts w:ascii="Lucida Grande" w:hAnsi="Lucida Grande"/>
          <w:color w:val="000000"/>
          <w:sz w:val="26"/>
          <w:szCs w:val="24"/>
        </w:rPr>
        <w:t xml:space="preserve">ion Act (FAA) controls the arbitration agreement presented here. Our supreme court has previously held that “singular agreements between care facilities and care patients, when taken in the aggregate, affect interstate commerce.” </w:t>
      </w:r>
      <w:proofErr w:type="gramStart"/>
      <w:r w:rsidRPr="00C423B7">
        <w:rPr>
          <w:rFonts w:ascii="Lucida Grande" w:hAnsi="Lucida Grande"/>
          <w:color w:val="000000"/>
          <w:sz w:val="26"/>
          <w:szCs w:val="24"/>
        </w:rPr>
        <w:t>Id. at 515(¶ 16).</w:t>
      </w:r>
      <w:proofErr w:type="gramEnd"/>
      <w:r w:rsidRPr="00C423B7">
        <w:rPr>
          <w:rFonts w:ascii="Lucida Grande" w:hAnsi="Lucida Grande"/>
          <w:color w:val="000000"/>
          <w:sz w:val="26"/>
          <w:szCs w:val="24"/>
        </w:rPr>
        <w:t xml:space="preserve"> In this </w:t>
      </w:r>
      <w:r w:rsidRPr="00C423B7">
        <w:rPr>
          <w:rFonts w:ascii="Lucida Grande" w:hAnsi="Lucida Grande"/>
          <w:color w:val="000000"/>
          <w:sz w:val="26"/>
          <w:szCs w:val="24"/>
        </w:rPr>
        <w:t xml:space="preserve">case, as in Vicksburg Partners, “since the arbitration clause is a part of a contract (the nursing home admissions agreement) evidencing in the aggregate economic activity affecting interstate commerce, the Federal Arbitration Act is applicable....” </w:t>
      </w:r>
      <w:proofErr w:type="gramStart"/>
      <w:r w:rsidRPr="00C423B7">
        <w:rPr>
          <w:rFonts w:ascii="Lucida Grande" w:hAnsi="Lucida Grande"/>
          <w:color w:val="000000"/>
          <w:sz w:val="26"/>
          <w:szCs w:val="24"/>
        </w:rPr>
        <w:t>Id. at</w:t>
      </w:r>
      <w:r w:rsidRPr="00C423B7">
        <w:rPr>
          <w:rFonts w:ascii="Lucida Grande" w:hAnsi="Lucida Grande"/>
          <w:color w:val="000000"/>
          <w:sz w:val="26"/>
          <w:szCs w:val="24"/>
        </w:rPr>
        <w:t xml:space="preserve"> 515-16(¶ 18).</w:t>
      </w:r>
      <w:proofErr w:type="gramEnd"/>
    </w:p>
    <w:p w:rsidR="003B089D" w:rsidRPr="00C423B7" w:rsidRDefault="00F12C90" w:rsidP="003B089D">
      <w:pPr>
        <w:rPr>
          <w:rFonts w:ascii="Lucida Grande" w:hAnsi="Lucida Grande"/>
          <w:color w:val="000000"/>
          <w:sz w:val="26"/>
          <w:szCs w:val="24"/>
        </w:rPr>
      </w:pPr>
      <w:r w:rsidRPr="00C423B7">
        <w:rPr>
          <w:rFonts w:ascii="Lucida Grande" w:hAnsi="Lucida Grande"/>
          <w:color w:val="000000"/>
          <w:sz w:val="26"/>
          <w:szCs w:val="24"/>
        </w:rPr>
        <w:t xml:space="preserve">*2 ¶ 6. Having made the determination that the </w:t>
      </w:r>
      <w:proofErr w:type="gramStart"/>
      <w:r w:rsidRPr="00C423B7">
        <w:rPr>
          <w:rFonts w:ascii="Lucida Grande" w:hAnsi="Lucida Grande"/>
          <w:color w:val="000000"/>
          <w:sz w:val="26"/>
          <w:szCs w:val="24"/>
        </w:rPr>
        <w:t>arbitration agreement in this case is governed by the FAA</w:t>
      </w:r>
      <w:proofErr w:type="gramEnd"/>
      <w:r w:rsidRPr="00C423B7">
        <w:rPr>
          <w:rFonts w:ascii="Lucida Grande" w:hAnsi="Lucida Grande"/>
          <w:color w:val="000000"/>
          <w:sz w:val="26"/>
          <w:szCs w:val="24"/>
        </w:rPr>
        <w:t>, we must next determine if that arbitration agreement is valid. Again we are guided by the supreme court, which has stated that “[</w:t>
      </w:r>
      <w:proofErr w:type="gramStart"/>
      <w:r w:rsidRPr="00C423B7">
        <w:rPr>
          <w:rFonts w:ascii="Lucida Grande" w:hAnsi="Lucida Grande"/>
          <w:color w:val="000000"/>
          <w:sz w:val="26"/>
          <w:szCs w:val="24"/>
        </w:rPr>
        <w:t>i]n</w:t>
      </w:r>
      <w:proofErr w:type="gramEnd"/>
      <w:r w:rsidRPr="00C423B7">
        <w:rPr>
          <w:rFonts w:ascii="Lucida Grande" w:hAnsi="Lucida Grande"/>
          <w:color w:val="000000"/>
          <w:sz w:val="26"/>
          <w:szCs w:val="24"/>
        </w:rPr>
        <w:t xml:space="preserve"> de</w:t>
      </w:r>
      <w:r w:rsidRPr="00C423B7">
        <w:rPr>
          <w:rFonts w:ascii="Lucida Grande" w:hAnsi="Lucida Grande"/>
          <w:color w:val="000000"/>
          <w:sz w:val="26"/>
          <w:szCs w:val="24"/>
        </w:rPr>
        <w:t>termining the validity of a motion to compel arbitration under the Federal Arbitration Act, courts generally conduct a two-pronged inquiry. The first prong has two considerations: (1) whether there is a valid arbitration agreement and (2) whether the parti</w:t>
      </w:r>
      <w:r w:rsidRPr="00C423B7">
        <w:rPr>
          <w:rFonts w:ascii="Lucida Grande" w:hAnsi="Lucida Grande"/>
          <w:color w:val="000000"/>
          <w:sz w:val="26"/>
          <w:szCs w:val="24"/>
        </w:rPr>
        <w:t>es' dispute is within the scope of the arbitration agreement.” East Ford, Inc. v. Taylor, 826 So.2d 709, 713(¶ 9) (Miss.2002). The second prong involves an inquiry into “whether legal constraints external to the parties' agreement foreclosed arbitration of</w:t>
      </w:r>
      <w:r w:rsidRPr="00C423B7">
        <w:rPr>
          <w:rFonts w:ascii="Lucida Grande" w:hAnsi="Lucida Grande"/>
          <w:color w:val="000000"/>
          <w:sz w:val="26"/>
          <w:szCs w:val="24"/>
        </w:rPr>
        <w:t xml:space="preserve"> those claims.” </w:t>
      </w:r>
      <w:proofErr w:type="gramStart"/>
      <w:r w:rsidRPr="00C423B7">
        <w:rPr>
          <w:rFonts w:ascii="Lucida Grande" w:hAnsi="Lucida Grande"/>
          <w:color w:val="000000"/>
          <w:sz w:val="26"/>
          <w:szCs w:val="24"/>
        </w:rPr>
        <w:t>Id. at 713(¶ 10) (quoting Mitsubishi Motors Corp. v. Soler Chrysler-Plymouth, Inc., 473 U.S. 614, 626, 105 S.Ct. 3346, 87 L.Ed.2d 444 (1985)).</w:t>
      </w:r>
      <w:proofErr w:type="gramEnd"/>
    </w:p>
    <w:p w:rsidR="003B089D" w:rsidRPr="00C423B7" w:rsidRDefault="00F12C90" w:rsidP="003B089D">
      <w:pPr>
        <w:rPr>
          <w:rFonts w:ascii="Lucida Grande" w:hAnsi="Lucida Grande"/>
          <w:color w:val="000000"/>
          <w:sz w:val="26"/>
          <w:szCs w:val="24"/>
        </w:rPr>
      </w:pPr>
      <w:r w:rsidRPr="00C423B7">
        <w:rPr>
          <w:rFonts w:ascii="Lucida Grande" w:hAnsi="Lucida Grande"/>
          <w:color w:val="000000"/>
          <w:sz w:val="26"/>
          <w:szCs w:val="24"/>
        </w:rPr>
        <w:t xml:space="preserve"> </w:t>
      </w:r>
      <w:proofErr w:type="gramStart"/>
      <w:r w:rsidRPr="00C423B7">
        <w:rPr>
          <w:rFonts w:ascii="Lucida Grande" w:hAnsi="Lucida Grande"/>
          <w:color w:val="000000"/>
          <w:sz w:val="26"/>
          <w:szCs w:val="24"/>
        </w:rPr>
        <w:t>[3] Headnote Citing References ¶ 7.</w:t>
      </w:r>
      <w:proofErr w:type="gramEnd"/>
      <w:r w:rsidRPr="00C423B7">
        <w:rPr>
          <w:rFonts w:ascii="Lucida Grande" w:hAnsi="Lucida Grande"/>
          <w:color w:val="000000"/>
          <w:sz w:val="26"/>
          <w:szCs w:val="24"/>
        </w:rPr>
        <w:t xml:space="preserve"> With respect to the first prong of the analysis outlined abo</w:t>
      </w:r>
      <w:r w:rsidRPr="00C423B7">
        <w:rPr>
          <w:rFonts w:ascii="Lucida Grande" w:hAnsi="Lucida Grande"/>
          <w:color w:val="000000"/>
          <w:sz w:val="26"/>
          <w:szCs w:val="24"/>
        </w:rPr>
        <w:t>ve, “[</w:t>
      </w:r>
      <w:proofErr w:type="gramStart"/>
      <w:r w:rsidRPr="00C423B7">
        <w:rPr>
          <w:rFonts w:ascii="Lucida Grande" w:hAnsi="Lucida Grande"/>
          <w:color w:val="000000"/>
          <w:sz w:val="26"/>
          <w:szCs w:val="24"/>
        </w:rPr>
        <w:t>t]o</w:t>
      </w:r>
      <w:proofErr w:type="gramEnd"/>
      <w:r w:rsidRPr="00C423B7">
        <w:rPr>
          <w:rFonts w:ascii="Lucida Grande" w:hAnsi="Lucida Grande"/>
          <w:color w:val="000000"/>
          <w:sz w:val="26"/>
          <w:szCs w:val="24"/>
        </w:rPr>
        <w:t xml:space="preserve"> determine whether the parties agreed to arbitration, we simply apply contract law.” Terminix Int'l, Inc. v. Rice, 904 So.2d 1051, 1055(¶ 9) (Miss.2004). Regarding this prong of our inquiry, Lumpkin asserts that her daughter, McDaniel, lacked the </w:t>
      </w:r>
      <w:r w:rsidRPr="00C423B7">
        <w:rPr>
          <w:rFonts w:ascii="Lucida Grande" w:hAnsi="Lucida Grande"/>
          <w:color w:val="000000"/>
          <w:sz w:val="26"/>
          <w:szCs w:val="24"/>
        </w:rPr>
        <w:t>capacity to consent to arbitration as her health-care surrogate and, in the alternative, that the arbitration clause is void because it lacked sufficient consideration. We address each of these issues below.</w:t>
      </w:r>
    </w:p>
    <w:p w:rsidR="003B089D" w:rsidRPr="00C423B7" w:rsidRDefault="00F12C90" w:rsidP="003B089D">
      <w:pPr>
        <w:rPr>
          <w:rFonts w:ascii="Lucida Grande" w:hAnsi="Lucida Grande"/>
          <w:color w:val="000000"/>
          <w:sz w:val="26"/>
          <w:szCs w:val="24"/>
        </w:rPr>
      </w:pPr>
      <w:r w:rsidRPr="00C423B7">
        <w:rPr>
          <w:rFonts w:ascii="Lucida Grande" w:hAnsi="Lucida Grande"/>
          <w:color w:val="000000"/>
          <w:sz w:val="26"/>
          <w:szCs w:val="24"/>
        </w:rPr>
        <w:t>1. Beverly McDaniel possessed the capacity to bi</w:t>
      </w:r>
      <w:r w:rsidRPr="00C423B7">
        <w:rPr>
          <w:rFonts w:ascii="Lucida Grande" w:hAnsi="Lucida Grande"/>
          <w:color w:val="000000"/>
          <w:sz w:val="26"/>
          <w:szCs w:val="24"/>
        </w:rPr>
        <w:t>nd her mother to arbitration.</w:t>
      </w:r>
    </w:p>
    <w:p w:rsidR="003B089D" w:rsidRPr="00C423B7" w:rsidRDefault="00F12C90" w:rsidP="003B089D">
      <w:pPr>
        <w:rPr>
          <w:rFonts w:ascii="Lucida Grande" w:hAnsi="Lucida Grande"/>
          <w:color w:val="000000"/>
          <w:sz w:val="26"/>
          <w:szCs w:val="24"/>
        </w:rPr>
      </w:pPr>
      <w:r w:rsidRPr="00C423B7">
        <w:rPr>
          <w:rFonts w:ascii="Lucida Grande" w:hAnsi="Lucida Grande"/>
          <w:color w:val="000000"/>
          <w:sz w:val="26"/>
          <w:szCs w:val="24"/>
        </w:rPr>
        <w:t xml:space="preserve">¶ 8. Lumpkin asserts that her daughter, Beverly McDaniel, did not have the capacity to bind her to arbitration while acting as her health-care surrogate under the Uniform Health-Care Decisions Act. </w:t>
      </w:r>
      <w:proofErr w:type="gramStart"/>
      <w:r w:rsidRPr="00C423B7">
        <w:rPr>
          <w:rFonts w:ascii="Lucida Grande" w:hAnsi="Lucida Grande"/>
          <w:color w:val="000000"/>
          <w:sz w:val="26"/>
          <w:szCs w:val="24"/>
        </w:rPr>
        <w:t xml:space="preserve">Miss.Code Ann. §§ 41-41-201 </w:t>
      </w:r>
      <w:r w:rsidRPr="00C423B7">
        <w:rPr>
          <w:rFonts w:ascii="Lucida Grande" w:hAnsi="Lucida Grande"/>
          <w:color w:val="000000"/>
          <w:sz w:val="26"/>
          <w:szCs w:val="24"/>
        </w:rPr>
        <w:t>to 41-41-229 (Supp.2006).</w:t>
      </w:r>
      <w:proofErr w:type="gramEnd"/>
      <w:r w:rsidRPr="00C423B7">
        <w:rPr>
          <w:rFonts w:ascii="Lucida Grande" w:hAnsi="Lucida Grande"/>
          <w:color w:val="000000"/>
          <w:sz w:val="26"/>
          <w:szCs w:val="24"/>
        </w:rPr>
        <w:t xml:space="preserve"> Lumpkin does not dispute that McDaniel was, in fact, acting as her health-care surrogate for the purposes of that section when she was admitted to the Picayune Convalescent Center.</w:t>
      </w:r>
    </w:p>
    <w:p w:rsidR="003B089D" w:rsidRPr="00C423B7" w:rsidRDefault="00F12C90" w:rsidP="003B089D">
      <w:pPr>
        <w:rPr>
          <w:rFonts w:ascii="Lucida Grande" w:hAnsi="Lucida Grande"/>
          <w:color w:val="000000"/>
          <w:sz w:val="26"/>
          <w:szCs w:val="24"/>
        </w:rPr>
      </w:pPr>
      <w:r w:rsidRPr="00C423B7">
        <w:rPr>
          <w:rFonts w:ascii="Lucida Grande" w:hAnsi="Lucida Grande"/>
          <w:color w:val="000000"/>
          <w:sz w:val="26"/>
          <w:szCs w:val="24"/>
        </w:rPr>
        <w:t>¶ 9. Our supreme court recently addressed this ve</w:t>
      </w:r>
      <w:r w:rsidRPr="00C423B7">
        <w:rPr>
          <w:rFonts w:ascii="Lucida Grande" w:hAnsi="Lucida Grande"/>
          <w:color w:val="000000"/>
          <w:sz w:val="26"/>
          <w:szCs w:val="24"/>
        </w:rPr>
        <w:t xml:space="preserve">ry issue in Covenant Health Rehab of Picayune, L.P. v. Brown, 949 So.2d 732 (Miss.2007). In Brown, the plaintiffs, as administrators of the estate of their deceased mother, filed a wrongful death suit against the nursing home in which their mother resided </w:t>
      </w:r>
      <w:r w:rsidRPr="00C423B7">
        <w:rPr>
          <w:rFonts w:ascii="Lucida Grande" w:hAnsi="Lucida Grande"/>
          <w:color w:val="000000"/>
          <w:sz w:val="26"/>
          <w:szCs w:val="24"/>
        </w:rPr>
        <w:t xml:space="preserve">prior to death. </w:t>
      </w:r>
      <w:proofErr w:type="gramStart"/>
      <w:r w:rsidRPr="00C423B7">
        <w:rPr>
          <w:rFonts w:ascii="Lucida Grande" w:hAnsi="Lucida Grande"/>
          <w:color w:val="000000"/>
          <w:sz w:val="26"/>
          <w:szCs w:val="24"/>
        </w:rPr>
        <w:t>Id. at 735(¶ 1).</w:t>
      </w:r>
      <w:proofErr w:type="gramEnd"/>
      <w:r w:rsidRPr="00C423B7">
        <w:rPr>
          <w:rFonts w:ascii="Lucida Grande" w:hAnsi="Lucida Grande"/>
          <w:color w:val="000000"/>
          <w:sz w:val="26"/>
          <w:szCs w:val="24"/>
        </w:rPr>
        <w:t xml:space="preserve"> An adult daughter of the deceased signed the admissions agreement as the “responsible party” for her mother upon admission to the facility. Id. The defendants filed a motion to compel arbitration based on the admissions agr</w:t>
      </w:r>
      <w:r w:rsidRPr="00C423B7">
        <w:rPr>
          <w:rFonts w:ascii="Lucida Grande" w:hAnsi="Lucida Grande"/>
          <w:color w:val="000000"/>
          <w:sz w:val="26"/>
          <w:szCs w:val="24"/>
        </w:rPr>
        <w:t xml:space="preserve">eement, and the trial court denied that motion. On appeal, the </w:t>
      </w:r>
      <w:proofErr w:type="gramStart"/>
      <w:r w:rsidRPr="00C423B7">
        <w:rPr>
          <w:rFonts w:ascii="Lucida Grande" w:hAnsi="Lucida Grande"/>
          <w:color w:val="000000"/>
          <w:sz w:val="26"/>
          <w:szCs w:val="24"/>
        </w:rPr>
        <w:t>supreme court</w:t>
      </w:r>
      <w:proofErr w:type="gramEnd"/>
      <w:r w:rsidRPr="00C423B7">
        <w:rPr>
          <w:rFonts w:ascii="Lucida Grande" w:hAnsi="Lucida Grande"/>
          <w:color w:val="000000"/>
          <w:sz w:val="26"/>
          <w:szCs w:val="24"/>
        </w:rPr>
        <w:t xml:space="preserve"> held that the adult daughter of the patient, acting as a health-care surrogate, had the authority to contractually bind her mother in health-care matters under our Uniform Health-</w:t>
      </w:r>
      <w:r w:rsidRPr="00C423B7">
        <w:rPr>
          <w:rFonts w:ascii="Lucida Grande" w:hAnsi="Lucida Grande"/>
          <w:color w:val="000000"/>
          <w:sz w:val="26"/>
          <w:szCs w:val="24"/>
        </w:rPr>
        <w:t xml:space="preserve">Care Decisions Act. </w:t>
      </w:r>
      <w:proofErr w:type="gramStart"/>
      <w:r w:rsidRPr="00C423B7">
        <w:rPr>
          <w:rFonts w:ascii="Lucida Grande" w:hAnsi="Lucida Grande"/>
          <w:color w:val="000000"/>
          <w:sz w:val="26"/>
          <w:szCs w:val="24"/>
        </w:rPr>
        <w:t>Id. at (¶ 3).</w:t>
      </w:r>
      <w:proofErr w:type="gramEnd"/>
    </w:p>
    <w:p w:rsidR="003B089D" w:rsidRPr="00C423B7" w:rsidRDefault="00F12C90" w:rsidP="003B089D">
      <w:pPr>
        <w:rPr>
          <w:rFonts w:ascii="Lucida Grande" w:hAnsi="Lucida Grande"/>
          <w:color w:val="000000"/>
          <w:sz w:val="26"/>
          <w:szCs w:val="24"/>
        </w:rPr>
      </w:pPr>
      <w:r w:rsidRPr="00C423B7">
        <w:rPr>
          <w:rFonts w:ascii="Lucida Grande" w:hAnsi="Lucida Grande"/>
          <w:color w:val="000000"/>
          <w:sz w:val="26"/>
          <w:szCs w:val="24"/>
        </w:rPr>
        <w:t xml:space="preserve"> </w:t>
      </w:r>
      <w:proofErr w:type="gramStart"/>
      <w:r w:rsidRPr="00C423B7">
        <w:rPr>
          <w:rFonts w:ascii="Lucida Grande" w:hAnsi="Lucida Grande"/>
          <w:color w:val="000000"/>
          <w:sz w:val="26"/>
          <w:szCs w:val="24"/>
        </w:rPr>
        <w:t>[4] Headnote Citing References ¶ 10.</w:t>
      </w:r>
      <w:proofErr w:type="gramEnd"/>
      <w:r w:rsidRPr="00C423B7">
        <w:rPr>
          <w:rFonts w:ascii="Lucida Grande" w:hAnsi="Lucida Grande"/>
          <w:color w:val="000000"/>
          <w:sz w:val="26"/>
          <w:szCs w:val="24"/>
        </w:rPr>
        <w:t xml:space="preserve"> In reversing the trial court's denial of the motion to compel arbitration in Brown, the </w:t>
      </w:r>
      <w:proofErr w:type="gramStart"/>
      <w:r w:rsidRPr="00C423B7">
        <w:rPr>
          <w:rFonts w:ascii="Lucida Grande" w:hAnsi="Lucida Grande"/>
          <w:color w:val="000000"/>
          <w:sz w:val="26"/>
          <w:szCs w:val="24"/>
        </w:rPr>
        <w:t>supreme court</w:t>
      </w:r>
      <w:proofErr w:type="gramEnd"/>
      <w:r w:rsidRPr="00C423B7">
        <w:rPr>
          <w:rFonts w:ascii="Lucida Grande" w:hAnsi="Lucida Grande"/>
          <w:color w:val="000000"/>
          <w:sz w:val="26"/>
          <w:szCs w:val="24"/>
        </w:rPr>
        <w:t xml:space="preserve"> implicitly held that the surrogate's authority to bind the patient extended to the</w:t>
      </w:r>
      <w:r w:rsidRPr="00C423B7">
        <w:rPr>
          <w:rFonts w:ascii="Lucida Grande" w:hAnsi="Lucida Grande"/>
          <w:color w:val="000000"/>
          <w:sz w:val="26"/>
          <w:szCs w:val="24"/>
        </w:rPr>
        <w:t xml:space="preserve"> arbitration clause in the admissions agreement. In this case, because Lumpkin does not dispute that her daughter was acting as her health-care surrogate for the purposes of the Uniform Health-Care Decisions Act, we see no reason to depart from the supreme</w:t>
      </w:r>
      <w:r w:rsidRPr="00C423B7">
        <w:rPr>
          <w:rFonts w:ascii="Lucida Grande" w:hAnsi="Lucida Grande"/>
          <w:color w:val="000000"/>
          <w:sz w:val="26"/>
          <w:szCs w:val="24"/>
        </w:rPr>
        <w:t xml:space="preserve"> court's holding in Brown. Therefore, we find that a health-care surrogate, acting under the provisions of the Uniform Health-Care Decisions Act, is capable of binding his or her patient to arbitration. Accordingly, we find that Lumpkin's argument on this </w:t>
      </w:r>
      <w:r w:rsidRPr="00C423B7">
        <w:rPr>
          <w:rFonts w:ascii="Lucida Grande" w:hAnsi="Lucida Grande"/>
          <w:color w:val="000000"/>
          <w:sz w:val="26"/>
          <w:szCs w:val="24"/>
        </w:rPr>
        <w:t>issue is without merit.</w:t>
      </w:r>
    </w:p>
    <w:p w:rsidR="003B089D" w:rsidRPr="00C423B7" w:rsidRDefault="00F12C90" w:rsidP="003B089D">
      <w:pPr>
        <w:rPr>
          <w:rFonts w:ascii="Lucida Grande" w:hAnsi="Lucida Grande"/>
          <w:color w:val="000000"/>
          <w:sz w:val="26"/>
          <w:szCs w:val="24"/>
        </w:rPr>
      </w:pPr>
      <w:r w:rsidRPr="00C423B7">
        <w:rPr>
          <w:rFonts w:ascii="Lucida Grande" w:hAnsi="Lucida Grande"/>
          <w:color w:val="000000"/>
          <w:sz w:val="26"/>
          <w:szCs w:val="24"/>
        </w:rPr>
        <w:t>2. The arbitration clause does not fail for lack of consideration.</w:t>
      </w:r>
    </w:p>
    <w:p w:rsidR="003B089D" w:rsidRPr="00C423B7" w:rsidRDefault="00F12C90" w:rsidP="003B089D">
      <w:pPr>
        <w:rPr>
          <w:rFonts w:ascii="Lucida Grande" w:hAnsi="Lucida Grande"/>
          <w:color w:val="000000"/>
          <w:sz w:val="26"/>
          <w:szCs w:val="24"/>
        </w:rPr>
      </w:pPr>
      <w:r w:rsidRPr="00C423B7">
        <w:rPr>
          <w:rFonts w:ascii="Lucida Grande" w:hAnsi="Lucida Grande"/>
          <w:color w:val="000000"/>
          <w:sz w:val="26"/>
          <w:szCs w:val="24"/>
        </w:rPr>
        <w:t>*3 ¶ 11. Lumpkin also asserts that the arbitration clause should fail for lack of consideration. She relies solely on the affidavit of Keri Ladner, the facility admi</w:t>
      </w:r>
      <w:r w:rsidRPr="00C423B7">
        <w:rPr>
          <w:rFonts w:ascii="Lucida Grande" w:hAnsi="Lucida Grande"/>
          <w:color w:val="000000"/>
          <w:sz w:val="26"/>
          <w:szCs w:val="24"/>
        </w:rPr>
        <w:t>nistrator for Covenant Health, in making this argument. Lumpkin points to Ladner's statement that Lumpkin would not have been refused admission to the facility had she objected to the arbitration agreement as evidence that the arbitration clause lacked con</w:t>
      </w:r>
      <w:r w:rsidRPr="00C423B7">
        <w:rPr>
          <w:rFonts w:ascii="Lucida Grande" w:hAnsi="Lucida Grande"/>
          <w:color w:val="000000"/>
          <w:sz w:val="26"/>
          <w:szCs w:val="24"/>
        </w:rPr>
        <w:t>sideration, and that therefore the arbitration clause should be stricken from the admissions agreement.</w:t>
      </w:r>
    </w:p>
    <w:p w:rsidR="003B089D" w:rsidRPr="00C423B7" w:rsidRDefault="00F12C90" w:rsidP="003B089D">
      <w:pPr>
        <w:rPr>
          <w:rFonts w:ascii="Lucida Grande" w:hAnsi="Lucida Grande"/>
          <w:color w:val="000000"/>
          <w:sz w:val="26"/>
          <w:szCs w:val="24"/>
        </w:rPr>
      </w:pPr>
      <w:r w:rsidRPr="00C423B7">
        <w:rPr>
          <w:rFonts w:ascii="Lucida Grande" w:hAnsi="Lucida Grande"/>
          <w:color w:val="000000"/>
          <w:sz w:val="26"/>
          <w:szCs w:val="24"/>
        </w:rPr>
        <w:t xml:space="preserve"> [5] Headnote Citing </w:t>
      </w:r>
      <w:proofErr w:type="gramStart"/>
      <w:r w:rsidRPr="00C423B7">
        <w:rPr>
          <w:rFonts w:ascii="Lucida Grande" w:hAnsi="Lucida Grande"/>
          <w:color w:val="000000"/>
          <w:sz w:val="26"/>
          <w:szCs w:val="24"/>
        </w:rPr>
        <w:t>References[</w:t>
      </w:r>
      <w:proofErr w:type="gramEnd"/>
      <w:r w:rsidRPr="00C423B7">
        <w:rPr>
          <w:rFonts w:ascii="Lucida Grande" w:hAnsi="Lucida Grande"/>
          <w:color w:val="000000"/>
          <w:sz w:val="26"/>
          <w:szCs w:val="24"/>
        </w:rPr>
        <w:t>6] Headnote Citing References ¶ 12. We first note that Ladner's statements are irrelevant to the issue of consideration.</w:t>
      </w:r>
      <w:r w:rsidRPr="00C423B7">
        <w:rPr>
          <w:rFonts w:ascii="Lucida Grande" w:hAnsi="Lucida Grande"/>
          <w:color w:val="000000"/>
          <w:sz w:val="26"/>
          <w:szCs w:val="24"/>
        </w:rPr>
        <w:t xml:space="preserve"> The only thing her statements represent is an admission that, in retrospect, Lumpkin's daughter could have entered into a more beneficial contract for her mother had she bargained for it. Simply because one party to a contract later admits that the other </w:t>
      </w:r>
      <w:r w:rsidRPr="00C423B7">
        <w:rPr>
          <w:rFonts w:ascii="Lucida Grande" w:hAnsi="Lucida Grande"/>
          <w:color w:val="000000"/>
          <w:sz w:val="26"/>
          <w:szCs w:val="24"/>
        </w:rPr>
        <w:t>party could have successfully bargained for more beneficial terms at the time the contract was formed does not mean that the element of the contract not bargained for is void for lack of consideration. In any contract, “[</w:t>
      </w:r>
      <w:proofErr w:type="gramStart"/>
      <w:r w:rsidRPr="00C423B7">
        <w:rPr>
          <w:rFonts w:ascii="Lucida Grande" w:hAnsi="Lucida Grande"/>
          <w:color w:val="000000"/>
          <w:sz w:val="26"/>
          <w:szCs w:val="24"/>
        </w:rPr>
        <w:t>a]ll</w:t>
      </w:r>
      <w:proofErr w:type="gramEnd"/>
      <w:r w:rsidRPr="00C423B7">
        <w:rPr>
          <w:rFonts w:ascii="Lucida Grande" w:hAnsi="Lucida Grande"/>
          <w:color w:val="000000"/>
          <w:sz w:val="26"/>
          <w:szCs w:val="24"/>
        </w:rPr>
        <w:t xml:space="preserve"> that is needed to constitute a</w:t>
      </w:r>
      <w:r w:rsidRPr="00C423B7">
        <w:rPr>
          <w:rFonts w:ascii="Lucida Grande" w:hAnsi="Lucida Grande"/>
          <w:color w:val="000000"/>
          <w:sz w:val="26"/>
          <w:szCs w:val="24"/>
        </w:rPr>
        <w:t xml:space="preserve"> valid consideration to support an agreement or contract is that there must be either a benefit to the promissor or a detriment to the promisee. If either of these requirements exist, there is a sufficient consideration.” </w:t>
      </w:r>
      <w:proofErr w:type="gramStart"/>
      <w:r w:rsidRPr="00C423B7">
        <w:rPr>
          <w:rFonts w:ascii="Lucida Grande" w:hAnsi="Lucida Grande"/>
          <w:color w:val="000000"/>
          <w:sz w:val="26"/>
          <w:szCs w:val="24"/>
        </w:rPr>
        <w:t>Theobald v. Nosser, 752 So.2d 1036</w:t>
      </w:r>
      <w:r w:rsidRPr="00C423B7">
        <w:rPr>
          <w:rFonts w:ascii="Lucida Grande" w:hAnsi="Lucida Grande"/>
          <w:color w:val="000000"/>
          <w:sz w:val="26"/>
          <w:szCs w:val="24"/>
        </w:rPr>
        <w:t>, 1040(¶ 15) (Miss.1999).</w:t>
      </w:r>
      <w:proofErr w:type="gramEnd"/>
    </w:p>
    <w:p w:rsidR="003B089D" w:rsidRPr="00C423B7" w:rsidRDefault="00F12C90" w:rsidP="003B089D">
      <w:pPr>
        <w:rPr>
          <w:rFonts w:ascii="Lucida Grande" w:hAnsi="Lucida Grande"/>
          <w:color w:val="000000"/>
          <w:sz w:val="26"/>
          <w:szCs w:val="24"/>
        </w:rPr>
      </w:pPr>
      <w:r w:rsidRPr="00C423B7">
        <w:rPr>
          <w:rFonts w:ascii="Lucida Grande" w:hAnsi="Lucida Grande"/>
          <w:color w:val="000000"/>
          <w:sz w:val="26"/>
          <w:szCs w:val="24"/>
        </w:rPr>
        <w:t xml:space="preserve"> [7] Headnote Citing </w:t>
      </w:r>
      <w:proofErr w:type="gramStart"/>
      <w:r w:rsidRPr="00C423B7">
        <w:rPr>
          <w:rFonts w:ascii="Lucida Grande" w:hAnsi="Lucida Grande"/>
          <w:color w:val="000000"/>
          <w:sz w:val="26"/>
          <w:szCs w:val="24"/>
        </w:rPr>
        <w:t>References[</w:t>
      </w:r>
      <w:proofErr w:type="gramEnd"/>
      <w:r w:rsidRPr="00C423B7">
        <w:rPr>
          <w:rFonts w:ascii="Lucida Grande" w:hAnsi="Lucida Grande"/>
          <w:color w:val="000000"/>
          <w:sz w:val="26"/>
          <w:szCs w:val="24"/>
        </w:rPr>
        <w:t>8] Headnote Citing References ¶ 13. Second, even if Ladner's statements were relevant to this issue, this Court would be prevented from considering them by the parol evidence rule. It is a well-sett</w:t>
      </w:r>
      <w:r w:rsidRPr="00C423B7">
        <w:rPr>
          <w:rFonts w:ascii="Lucida Grande" w:hAnsi="Lucida Grande"/>
          <w:color w:val="000000"/>
          <w:sz w:val="26"/>
          <w:szCs w:val="24"/>
        </w:rPr>
        <w:t xml:space="preserve">led principle of contract law that “a written contract cannot be varied by prior oral agreements. Moreover, as an evidentiary matter, parol evidence to vary the terms of a written contract is inadmissible.” </w:t>
      </w:r>
      <w:proofErr w:type="gramStart"/>
      <w:r w:rsidRPr="00C423B7">
        <w:rPr>
          <w:rFonts w:ascii="Lucida Grande" w:hAnsi="Lucida Grande"/>
          <w:color w:val="000000"/>
          <w:sz w:val="26"/>
          <w:szCs w:val="24"/>
        </w:rPr>
        <w:t>Carter v. Citigroup, Inc., 938 So.2d 809, 818(¶ 4</w:t>
      </w:r>
      <w:r w:rsidRPr="00C423B7">
        <w:rPr>
          <w:rFonts w:ascii="Lucida Grande" w:hAnsi="Lucida Grande"/>
          <w:color w:val="000000"/>
          <w:sz w:val="26"/>
          <w:szCs w:val="24"/>
        </w:rPr>
        <w:t>1) (Miss.2006) (quoting Stephens v. Equitable Life Assurance Soc'y of the United States, 850 So.2d 78, 83(¶ 14) (Miss.2003)).</w:t>
      </w:r>
      <w:proofErr w:type="gramEnd"/>
      <w:r w:rsidRPr="00C423B7">
        <w:rPr>
          <w:rFonts w:ascii="Lucida Grande" w:hAnsi="Lucida Grande"/>
          <w:color w:val="000000"/>
          <w:sz w:val="26"/>
          <w:szCs w:val="24"/>
        </w:rPr>
        <w:t xml:space="preserve"> Although parol evidence is sometimes admissible when there has been, among other things, a showing that a contract contains ambigu</w:t>
      </w:r>
      <w:r w:rsidRPr="00C423B7">
        <w:rPr>
          <w:rFonts w:ascii="Lucida Grande" w:hAnsi="Lucida Grande"/>
          <w:color w:val="000000"/>
          <w:sz w:val="26"/>
          <w:szCs w:val="24"/>
        </w:rPr>
        <w:t>ous language, here there has been no such showing. Neither party has even suggested that there is any ambiguity in the agreement.</w:t>
      </w:r>
    </w:p>
    <w:p w:rsidR="003B089D" w:rsidRPr="00C423B7" w:rsidRDefault="00F12C90" w:rsidP="003B089D">
      <w:pPr>
        <w:rPr>
          <w:rFonts w:ascii="Lucida Grande" w:hAnsi="Lucida Grande"/>
          <w:color w:val="000000"/>
          <w:sz w:val="26"/>
          <w:szCs w:val="24"/>
        </w:rPr>
      </w:pPr>
      <w:r w:rsidRPr="00C423B7">
        <w:rPr>
          <w:rFonts w:ascii="Lucida Grande" w:hAnsi="Lucida Grande"/>
          <w:color w:val="000000"/>
          <w:sz w:val="26"/>
          <w:szCs w:val="24"/>
        </w:rPr>
        <w:t xml:space="preserve">¶ 14. Without such a showing, we must look to the agreement of the parties in order to determine whether there was sufficient </w:t>
      </w:r>
      <w:r w:rsidRPr="00C423B7">
        <w:rPr>
          <w:rFonts w:ascii="Lucida Grande" w:hAnsi="Lucida Grande"/>
          <w:color w:val="000000"/>
          <w:sz w:val="26"/>
          <w:szCs w:val="24"/>
        </w:rPr>
        <w:t>consideration. Again, in any contract, “[</w:t>
      </w:r>
      <w:proofErr w:type="gramStart"/>
      <w:r w:rsidRPr="00C423B7">
        <w:rPr>
          <w:rFonts w:ascii="Lucida Grande" w:hAnsi="Lucida Grande"/>
          <w:color w:val="000000"/>
          <w:sz w:val="26"/>
          <w:szCs w:val="24"/>
        </w:rPr>
        <w:t>a]ll</w:t>
      </w:r>
      <w:proofErr w:type="gramEnd"/>
      <w:r w:rsidRPr="00C423B7">
        <w:rPr>
          <w:rFonts w:ascii="Lucida Grande" w:hAnsi="Lucida Grande"/>
          <w:color w:val="000000"/>
          <w:sz w:val="26"/>
          <w:szCs w:val="24"/>
        </w:rPr>
        <w:t xml:space="preserve"> that is needed to constitute a valid consideration to support an agreement or contract is that there must be either a benefit to the promissor or a detriment to the promisee. If either of these requirements exi</w:t>
      </w:r>
      <w:r w:rsidRPr="00C423B7">
        <w:rPr>
          <w:rFonts w:ascii="Lucida Grande" w:hAnsi="Lucida Grande"/>
          <w:color w:val="000000"/>
          <w:sz w:val="26"/>
          <w:szCs w:val="24"/>
        </w:rPr>
        <w:t xml:space="preserve">st, there is a sufficient consideration.” </w:t>
      </w:r>
      <w:proofErr w:type="gramStart"/>
      <w:r w:rsidRPr="00C423B7">
        <w:rPr>
          <w:rFonts w:ascii="Lucida Grande" w:hAnsi="Lucida Grande"/>
          <w:color w:val="000000"/>
          <w:sz w:val="26"/>
          <w:szCs w:val="24"/>
        </w:rPr>
        <w:t>Theobald, 752 So.2d at 1040(¶ 15).</w:t>
      </w:r>
      <w:proofErr w:type="gramEnd"/>
    </w:p>
    <w:p w:rsidR="003B089D" w:rsidRPr="00C423B7" w:rsidRDefault="00F12C90" w:rsidP="003B089D">
      <w:pPr>
        <w:rPr>
          <w:rFonts w:ascii="Lucida Grande" w:hAnsi="Lucida Grande"/>
          <w:color w:val="000000"/>
          <w:sz w:val="26"/>
          <w:szCs w:val="24"/>
        </w:rPr>
      </w:pPr>
      <w:r w:rsidRPr="00C423B7">
        <w:rPr>
          <w:rFonts w:ascii="Lucida Grande" w:hAnsi="Lucida Grande"/>
          <w:color w:val="000000"/>
          <w:sz w:val="26"/>
          <w:szCs w:val="24"/>
        </w:rPr>
        <w:t xml:space="preserve"> </w:t>
      </w:r>
      <w:proofErr w:type="gramStart"/>
      <w:r w:rsidRPr="00C423B7">
        <w:rPr>
          <w:rFonts w:ascii="Lucida Grande" w:hAnsi="Lucida Grande"/>
          <w:color w:val="000000"/>
          <w:sz w:val="26"/>
          <w:szCs w:val="24"/>
        </w:rPr>
        <w:t>[9] Headnote Citing References ¶ 15.</w:t>
      </w:r>
      <w:proofErr w:type="gramEnd"/>
      <w:r w:rsidRPr="00C423B7">
        <w:rPr>
          <w:rFonts w:ascii="Lucida Grande" w:hAnsi="Lucida Grande"/>
          <w:color w:val="000000"/>
          <w:sz w:val="26"/>
          <w:szCs w:val="24"/>
        </w:rPr>
        <w:t xml:space="preserve"> Here, there is quite clearly sufficient consideration to support the arbitration agreement. Both parties undertook duties towards one another</w:t>
      </w:r>
      <w:r w:rsidRPr="00C423B7">
        <w:rPr>
          <w:rFonts w:ascii="Lucida Grande" w:hAnsi="Lucida Grande"/>
          <w:color w:val="000000"/>
          <w:sz w:val="26"/>
          <w:szCs w:val="24"/>
        </w:rPr>
        <w:t xml:space="preserve"> under the admissions agreement. Covenant Health promised to provide care and assistance to Lumpkin. Lumpkin promised to pay it for its service. The arbitration clause was one portion of that exchange, and it obligated both parties to arbitrate any dispute</w:t>
      </w:r>
      <w:r w:rsidRPr="00C423B7">
        <w:rPr>
          <w:rFonts w:ascii="Lucida Grande" w:hAnsi="Lucida Grande"/>
          <w:color w:val="000000"/>
          <w:sz w:val="26"/>
          <w:szCs w:val="24"/>
        </w:rPr>
        <w:t xml:space="preserve"> between them. The mutuality of exchange found throughout the admissions agreement provides ample evidence that there was sufficient consideration to support the arbitration clause; therefore, we find that the arbitration clause does not fail for lack of c</w:t>
      </w:r>
      <w:r w:rsidRPr="00C423B7">
        <w:rPr>
          <w:rFonts w:ascii="Lucida Grande" w:hAnsi="Lucida Grande"/>
          <w:color w:val="000000"/>
          <w:sz w:val="26"/>
          <w:szCs w:val="24"/>
        </w:rPr>
        <w:t>onsideration.</w:t>
      </w:r>
    </w:p>
    <w:p w:rsidR="003B089D" w:rsidRPr="00C423B7" w:rsidRDefault="00F12C90" w:rsidP="003B089D">
      <w:pPr>
        <w:rPr>
          <w:rFonts w:ascii="Lucida Grande" w:hAnsi="Lucida Grande"/>
          <w:color w:val="000000"/>
          <w:sz w:val="26"/>
          <w:szCs w:val="24"/>
        </w:rPr>
      </w:pPr>
      <w:r w:rsidRPr="00C423B7">
        <w:rPr>
          <w:rFonts w:ascii="Lucida Grande" w:hAnsi="Lucida Grande"/>
          <w:color w:val="000000"/>
          <w:sz w:val="26"/>
          <w:szCs w:val="24"/>
        </w:rPr>
        <w:t>3. The dispute is within the scope of the arbitration clause.</w:t>
      </w:r>
    </w:p>
    <w:p w:rsidR="003B089D" w:rsidRPr="00C423B7" w:rsidRDefault="00F12C90" w:rsidP="003B089D">
      <w:pPr>
        <w:rPr>
          <w:rFonts w:ascii="Lucida Grande" w:hAnsi="Lucida Grande"/>
          <w:color w:val="000000"/>
          <w:sz w:val="26"/>
          <w:szCs w:val="24"/>
        </w:rPr>
      </w:pPr>
      <w:r w:rsidRPr="00C423B7">
        <w:rPr>
          <w:rFonts w:ascii="Lucida Grande" w:hAnsi="Lucida Grande"/>
          <w:color w:val="000000"/>
          <w:sz w:val="26"/>
          <w:szCs w:val="24"/>
        </w:rPr>
        <w:t xml:space="preserve">*4 [10] Headnote Citing </w:t>
      </w:r>
      <w:proofErr w:type="gramStart"/>
      <w:r w:rsidRPr="00C423B7">
        <w:rPr>
          <w:rFonts w:ascii="Lucida Grande" w:hAnsi="Lucida Grande"/>
          <w:color w:val="000000"/>
          <w:sz w:val="26"/>
          <w:szCs w:val="24"/>
        </w:rPr>
        <w:t>References[</w:t>
      </w:r>
      <w:proofErr w:type="gramEnd"/>
      <w:r w:rsidRPr="00C423B7">
        <w:rPr>
          <w:rFonts w:ascii="Lucida Grande" w:hAnsi="Lucida Grande"/>
          <w:color w:val="000000"/>
          <w:sz w:val="26"/>
          <w:szCs w:val="24"/>
        </w:rPr>
        <w:t>11] Headnote Citing References ¶ 16. Although not directly addressed by either party in this appeal, under our standard of review in this case, t</w:t>
      </w:r>
      <w:r w:rsidRPr="00C423B7">
        <w:rPr>
          <w:rFonts w:ascii="Lucida Grande" w:hAnsi="Lucida Grande"/>
          <w:color w:val="000000"/>
          <w:sz w:val="26"/>
          <w:szCs w:val="24"/>
        </w:rPr>
        <w:t>his Court must determine that the dispute between the parties falls within the scope of the arbitration agreement in order to compel arbitration. To do so, we look to the language of the arbitration clause itself. In this case, that language is very clear.</w:t>
      </w:r>
      <w:r w:rsidRPr="00C423B7">
        <w:rPr>
          <w:rFonts w:ascii="Lucida Grande" w:hAnsi="Lucida Grande"/>
          <w:color w:val="000000"/>
          <w:sz w:val="26"/>
          <w:szCs w:val="24"/>
        </w:rPr>
        <w:t xml:space="preserve"> The arbitration clause states that “[</w:t>
      </w:r>
      <w:proofErr w:type="gramStart"/>
      <w:r w:rsidRPr="00C423B7">
        <w:rPr>
          <w:rFonts w:ascii="Lucida Grande" w:hAnsi="Lucida Grande"/>
          <w:color w:val="000000"/>
          <w:sz w:val="26"/>
          <w:szCs w:val="24"/>
        </w:rPr>
        <w:t>t]he</w:t>
      </w:r>
      <w:proofErr w:type="gramEnd"/>
      <w:r w:rsidRPr="00C423B7">
        <w:rPr>
          <w:rFonts w:ascii="Lucida Grande" w:hAnsi="Lucida Grande"/>
          <w:color w:val="000000"/>
          <w:sz w:val="26"/>
          <w:szCs w:val="24"/>
        </w:rPr>
        <w:t xml:space="preserve"> Resident and Responsible Party agree that any and all claims, disputes, and/or controversies between them and the Facility or its Owners, officers, directors, or employees shall be resolved by binding arbitration.</w:t>
      </w:r>
      <w:r w:rsidRPr="00C423B7">
        <w:rPr>
          <w:rFonts w:ascii="Lucida Grande" w:hAnsi="Lucida Grande"/>
          <w:color w:val="000000"/>
          <w:sz w:val="26"/>
          <w:szCs w:val="24"/>
        </w:rPr>
        <w:t>...” Clearly, the arbitration clause was meant to apply to any dispute, regardless of its nature, that arose between the facility and Lumpkin, including her current claims of negligence and malpractice. Consequently, we find that the dispute between Lumpki</w:t>
      </w:r>
      <w:r w:rsidRPr="00C423B7">
        <w:rPr>
          <w:rFonts w:ascii="Lucida Grande" w:hAnsi="Lucida Grande"/>
          <w:color w:val="000000"/>
          <w:sz w:val="26"/>
          <w:szCs w:val="24"/>
        </w:rPr>
        <w:t>n and Covenant Health falls within the scope of the arbitration clause.</w:t>
      </w:r>
    </w:p>
    <w:p w:rsidR="003B089D" w:rsidRPr="00C423B7" w:rsidRDefault="00F12C90" w:rsidP="003B089D">
      <w:pPr>
        <w:rPr>
          <w:rFonts w:ascii="Lucida Grande" w:hAnsi="Lucida Grande"/>
          <w:color w:val="000000"/>
          <w:sz w:val="26"/>
          <w:szCs w:val="24"/>
        </w:rPr>
      </w:pPr>
      <w:r w:rsidRPr="00C423B7">
        <w:rPr>
          <w:rFonts w:ascii="Lucida Grande" w:hAnsi="Lucida Grande"/>
          <w:color w:val="000000"/>
          <w:sz w:val="26"/>
          <w:szCs w:val="24"/>
        </w:rPr>
        <w:t>4. The arbitration clause does not violate any external legal constraints.</w:t>
      </w:r>
    </w:p>
    <w:p w:rsidR="003B089D" w:rsidRPr="00C423B7" w:rsidRDefault="00F12C90" w:rsidP="003B089D">
      <w:pPr>
        <w:rPr>
          <w:rFonts w:ascii="Lucida Grande" w:hAnsi="Lucida Grande"/>
          <w:color w:val="000000"/>
          <w:sz w:val="26"/>
          <w:szCs w:val="24"/>
        </w:rPr>
      </w:pPr>
      <w:r w:rsidRPr="00C423B7">
        <w:rPr>
          <w:rFonts w:ascii="Lucida Grande" w:hAnsi="Lucida Grande"/>
          <w:color w:val="000000"/>
          <w:sz w:val="26"/>
          <w:szCs w:val="24"/>
        </w:rPr>
        <w:t xml:space="preserve">¶ 17. Having determined that a valid arbitration agreement exists, and that the current dispute falls within </w:t>
      </w:r>
      <w:r w:rsidRPr="00C423B7">
        <w:rPr>
          <w:rFonts w:ascii="Lucida Grande" w:hAnsi="Lucida Grande"/>
          <w:color w:val="000000"/>
          <w:sz w:val="26"/>
          <w:szCs w:val="24"/>
        </w:rPr>
        <w:t>the scope of that agreement, we now turn to the second prong of the test set out in East Ford, which involves an inquiry into “whether legal constraints external to the parties' agreement foreclose arbitration of those claims.” East Ford, 826 So.2d at 713(</w:t>
      </w:r>
      <w:r w:rsidRPr="00C423B7">
        <w:rPr>
          <w:rFonts w:ascii="Lucida Grande" w:hAnsi="Lucida Grande"/>
          <w:color w:val="000000"/>
          <w:sz w:val="26"/>
          <w:szCs w:val="24"/>
        </w:rPr>
        <w:t xml:space="preserve">¶ 10) (quoting Mitsubishi Motors Corp., 473 U.S. at 626, 105 S.Ct. 3346). The </w:t>
      </w:r>
      <w:proofErr w:type="gramStart"/>
      <w:r w:rsidRPr="00C423B7">
        <w:rPr>
          <w:rFonts w:ascii="Lucida Grande" w:hAnsi="Lucida Grande"/>
          <w:color w:val="000000"/>
          <w:sz w:val="26"/>
          <w:szCs w:val="24"/>
        </w:rPr>
        <w:t>supreme court</w:t>
      </w:r>
      <w:proofErr w:type="gramEnd"/>
      <w:r w:rsidRPr="00C423B7">
        <w:rPr>
          <w:rFonts w:ascii="Lucida Grande" w:hAnsi="Lucida Grande"/>
          <w:color w:val="000000"/>
          <w:sz w:val="26"/>
          <w:szCs w:val="24"/>
        </w:rPr>
        <w:t xml:space="preserve"> has stated that, under the second prong of the East Ford test, “applicable contract defenses available under state contract law such as fraud, duress, and unconscio</w:t>
      </w:r>
      <w:r w:rsidRPr="00C423B7">
        <w:rPr>
          <w:rFonts w:ascii="Lucida Grande" w:hAnsi="Lucida Grande"/>
          <w:color w:val="000000"/>
          <w:sz w:val="26"/>
          <w:szCs w:val="24"/>
        </w:rPr>
        <w:t>nability may be asserted to invalidate the arbitration agreement without offending the Federal Arbitration Act.” Id.</w:t>
      </w:r>
    </w:p>
    <w:p w:rsidR="003B089D" w:rsidRPr="00C423B7" w:rsidRDefault="00F12C90" w:rsidP="003B089D">
      <w:pPr>
        <w:rPr>
          <w:rFonts w:ascii="Lucida Grande" w:hAnsi="Lucida Grande"/>
          <w:color w:val="000000"/>
          <w:sz w:val="26"/>
          <w:szCs w:val="24"/>
        </w:rPr>
      </w:pPr>
      <w:r w:rsidRPr="00C423B7">
        <w:rPr>
          <w:rFonts w:ascii="Lucida Grande" w:hAnsi="Lucida Grande"/>
          <w:color w:val="000000"/>
          <w:sz w:val="26"/>
          <w:szCs w:val="24"/>
        </w:rPr>
        <w:t>¶ 18. Lumpkin specifically asserts two of the defenses listed above, fraud and substantive unconscionability, in her argument to sustain th</w:t>
      </w:r>
      <w:r w:rsidRPr="00C423B7">
        <w:rPr>
          <w:rFonts w:ascii="Lucida Grande" w:hAnsi="Lucida Grande"/>
          <w:color w:val="000000"/>
          <w:sz w:val="26"/>
          <w:szCs w:val="24"/>
        </w:rPr>
        <w:t>e ruling of the trial court and void the arbitration clause.</w:t>
      </w:r>
    </w:p>
    <w:p w:rsidR="003B089D" w:rsidRPr="00C423B7" w:rsidRDefault="00F12C90" w:rsidP="003B089D">
      <w:pPr>
        <w:rPr>
          <w:rFonts w:ascii="Lucida Grande" w:hAnsi="Lucida Grande"/>
          <w:color w:val="000000"/>
          <w:sz w:val="26"/>
          <w:szCs w:val="24"/>
        </w:rPr>
      </w:pPr>
      <w:r w:rsidRPr="00C423B7">
        <w:rPr>
          <w:rFonts w:ascii="Lucida Grande" w:hAnsi="Lucida Grande"/>
          <w:color w:val="000000"/>
          <w:sz w:val="26"/>
          <w:szCs w:val="24"/>
        </w:rPr>
        <w:t>A. McDaniel was not fraudulently induced into signing the admissions agreement.</w:t>
      </w:r>
    </w:p>
    <w:p w:rsidR="003B089D" w:rsidRPr="00C423B7" w:rsidRDefault="00F12C90" w:rsidP="003B089D">
      <w:pPr>
        <w:rPr>
          <w:rFonts w:ascii="Lucida Grande" w:hAnsi="Lucida Grande"/>
          <w:color w:val="000000"/>
          <w:sz w:val="26"/>
          <w:szCs w:val="24"/>
        </w:rPr>
      </w:pPr>
      <w:r w:rsidRPr="00C423B7">
        <w:rPr>
          <w:rFonts w:ascii="Lucida Grande" w:hAnsi="Lucida Grande"/>
          <w:color w:val="000000"/>
          <w:sz w:val="26"/>
          <w:szCs w:val="24"/>
        </w:rPr>
        <w:t xml:space="preserve">[12] Headnote Citing </w:t>
      </w:r>
      <w:proofErr w:type="gramStart"/>
      <w:r w:rsidRPr="00C423B7">
        <w:rPr>
          <w:rFonts w:ascii="Lucida Grande" w:hAnsi="Lucida Grande"/>
          <w:color w:val="000000"/>
          <w:sz w:val="26"/>
          <w:szCs w:val="24"/>
        </w:rPr>
        <w:t>References[</w:t>
      </w:r>
      <w:proofErr w:type="gramEnd"/>
      <w:r w:rsidRPr="00C423B7">
        <w:rPr>
          <w:rFonts w:ascii="Lucida Grande" w:hAnsi="Lucida Grande"/>
          <w:color w:val="000000"/>
          <w:sz w:val="26"/>
          <w:szCs w:val="24"/>
        </w:rPr>
        <w:t>13] Headnote Citing References ¶ 19. Lumpkin argues that her daughter, McDaniel, wa</w:t>
      </w:r>
      <w:r w:rsidRPr="00C423B7">
        <w:rPr>
          <w:rFonts w:ascii="Lucida Grande" w:hAnsi="Lucida Grande"/>
          <w:color w:val="000000"/>
          <w:sz w:val="26"/>
          <w:szCs w:val="24"/>
        </w:rPr>
        <w:t>s fraudulently induced into signing the admissions agreement. She again relies on the affidavit of Ladner, the facility administrator, and the fact that Ladner stated that acceptance of the arbitration clause was not a necessary precondition to her admitta</w:t>
      </w:r>
      <w:r w:rsidRPr="00C423B7">
        <w:rPr>
          <w:rFonts w:ascii="Lucida Grande" w:hAnsi="Lucida Grande"/>
          <w:color w:val="000000"/>
          <w:sz w:val="26"/>
          <w:szCs w:val="24"/>
        </w:rPr>
        <w:t>nce to the facility. This statement does not give rise to a defense of fraud. As a contract defense, “[</w:t>
      </w:r>
      <w:proofErr w:type="gramStart"/>
      <w:r w:rsidRPr="00C423B7">
        <w:rPr>
          <w:rFonts w:ascii="Lucida Grande" w:hAnsi="Lucida Grande"/>
          <w:color w:val="000000"/>
          <w:sz w:val="26"/>
          <w:szCs w:val="24"/>
        </w:rPr>
        <w:t>f]raud</w:t>
      </w:r>
      <w:proofErr w:type="gramEnd"/>
      <w:r w:rsidRPr="00C423B7">
        <w:rPr>
          <w:rFonts w:ascii="Lucida Grande" w:hAnsi="Lucida Grande"/>
          <w:color w:val="000000"/>
          <w:sz w:val="26"/>
          <w:szCs w:val="24"/>
        </w:rPr>
        <w:t xml:space="preserve"> in the inducement arises when a party to a contract makes a fraudulent misrepresentation, i.e., by asserting information he knows to be untrue, fo</w:t>
      </w:r>
      <w:r w:rsidRPr="00C423B7">
        <w:rPr>
          <w:rFonts w:ascii="Lucida Grande" w:hAnsi="Lucida Grande"/>
          <w:color w:val="000000"/>
          <w:sz w:val="26"/>
          <w:szCs w:val="24"/>
        </w:rPr>
        <w:t xml:space="preserve">r the purpose of inducing the innocent party to enter into a contract.” </w:t>
      </w:r>
      <w:proofErr w:type="gramStart"/>
      <w:r w:rsidRPr="00C423B7">
        <w:rPr>
          <w:rFonts w:ascii="Lucida Grande" w:hAnsi="Lucida Grande"/>
          <w:color w:val="000000"/>
          <w:sz w:val="26"/>
          <w:szCs w:val="24"/>
        </w:rPr>
        <w:t>Lacy v. Morrison, 906 So.2d 126, 129(¶ 6) (Miss.Ct.App.2004).</w:t>
      </w:r>
      <w:proofErr w:type="gramEnd"/>
    </w:p>
    <w:p w:rsidR="003B089D" w:rsidRPr="00C423B7" w:rsidRDefault="00F12C90" w:rsidP="003B089D">
      <w:pPr>
        <w:rPr>
          <w:rFonts w:ascii="Lucida Grande" w:hAnsi="Lucida Grande"/>
          <w:color w:val="000000"/>
          <w:sz w:val="26"/>
          <w:szCs w:val="24"/>
        </w:rPr>
      </w:pPr>
      <w:r w:rsidRPr="00C423B7">
        <w:rPr>
          <w:rFonts w:ascii="Lucida Grande" w:hAnsi="Lucida Grande"/>
          <w:color w:val="000000"/>
          <w:sz w:val="26"/>
          <w:szCs w:val="24"/>
        </w:rPr>
        <w:t xml:space="preserve"> </w:t>
      </w:r>
      <w:proofErr w:type="gramStart"/>
      <w:r w:rsidRPr="00C423B7">
        <w:rPr>
          <w:rFonts w:ascii="Lucida Grande" w:hAnsi="Lucida Grande"/>
          <w:color w:val="000000"/>
          <w:sz w:val="26"/>
          <w:szCs w:val="24"/>
        </w:rPr>
        <w:t>[14] Headnote Citing References ¶ 20.</w:t>
      </w:r>
      <w:proofErr w:type="gramEnd"/>
      <w:r w:rsidRPr="00C423B7">
        <w:rPr>
          <w:rFonts w:ascii="Lucida Grande" w:hAnsi="Lucida Grande"/>
          <w:color w:val="000000"/>
          <w:sz w:val="26"/>
          <w:szCs w:val="24"/>
        </w:rPr>
        <w:t xml:space="preserve"> The defense of fraud in the inducement would be appropriately raised if, for instan</w:t>
      </w:r>
      <w:r w:rsidRPr="00C423B7">
        <w:rPr>
          <w:rFonts w:ascii="Lucida Grande" w:hAnsi="Lucida Grande"/>
          <w:color w:val="000000"/>
          <w:sz w:val="26"/>
          <w:szCs w:val="24"/>
        </w:rPr>
        <w:t>ce, Ladner had made material misrepresentations to McDaniel when she signed the admissions agreement, and those misrepresentations had been meant to, and did, induce McDaniel to sign the agreement. However, the facts indicate that this is not what happened</w:t>
      </w:r>
      <w:r w:rsidRPr="00C423B7">
        <w:rPr>
          <w:rFonts w:ascii="Lucida Grande" w:hAnsi="Lucida Grande"/>
          <w:color w:val="000000"/>
          <w:sz w:val="26"/>
          <w:szCs w:val="24"/>
        </w:rPr>
        <w:t>. As we noted above, all that Ladner's statements demonstrate is that McDaniel could have potentially bargained for a better deal from the facility, i.e. one that did not include the arbitration clause. However, the admissions agreement itself did not cont</w:t>
      </w:r>
      <w:r w:rsidRPr="00C423B7">
        <w:rPr>
          <w:rFonts w:ascii="Lucida Grande" w:hAnsi="Lucida Grande"/>
          <w:color w:val="000000"/>
          <w:sz w:val="26"/>
          <w:szCs w:val="24"/>
        </w:rPr>
        <w:t>ain any false information, it simply contained terms that could have been altered had McDaniel attempted to do so. The fact that she failed to bargain for those terms does not constitute fraud any more than it constitutes a lack of consideration, and there</w:t>
      </w:r>
      <w:r w:rsidRPr="00C423B7">
        <w:rPr>
          <w:rFonts w:ascii="Lucida Grande" w:hAnsi="Lucida Grande"/>
          <w:color w:val="000000"/>
          <w:sz w:val="26"/>
          <w:szCs w:val="24"/>
        </w:rPr>
        <w:t>fore McDaniel was not fraudulently induced into signing the admissions agreement.</w:t>
      </w:r>
    </w:p>
    <w:p w:rsidR="003B089D" w:rsidRPr="00C423B7" w:rsidRDefault="00F12C90" w:rsidP="003B089D">
      <w:pPr>
        <w:rPr>
          <w:rFonts w:ascii="Lucida Grande" w:hAnsi="Lucida Grande"/>
          <w:color w:val="000000"/>
          <w:sz w:val="26"/>
          <w:szCs w:val="24"/>
        </w:rPr>
      </w:pPr>
      <w:r w:rsidRPr="00C423B7">
        <w:rPr>
          <w:rFonts w:ascii="Lucida Grande" w:hAnsi="Lucida Grande"/>
          <w:color w:val="000000"/>
          <w:sz w:val="26"/>
          <w:szCs w:val="24"/>
        </w:rPr>
        <w:t>B. The arbitration clause is substantively conscionable.</w:t>
      </w:r>
    </w:p>
    <w:p w:rsidR="003B089D" w:rsidRPr="00C423B7" w:rsidRDefault="00F12C90" w:rsidP="003B089D">
      <w:pPr>
        <w:rPr>
          <w:rFonts w:ascii="Lucida Grande" w:hAnsi="Lucida Grande"/>
          <w:color w:val="000000"/>
          <w:sz w:val="26"/>
          <w:szCs w:val="24"/>
        </w:rPr>
      </w:pPr>
      <w:r w:rsidRPr="00C423B7">
        <w:rPr>
          <w:rFonts w:ascii="Lucida Grande" w:hAnsi="Lucida Grande"/>
          <w:color w:val="000000"/>
          <w:sz w:val="26"/>
          <w:szCs w:val="24"/>
        </w:rPr>
        <w:t>*5 ¶ 21. We come now to the final issue raised in this appeal. Lumpkin asserts that the admissions agreement contains</w:t>
      </w:r>
      <w:r w:rsidRPr="00C423B7">
        <w:rPr>
          <w:rFonts w:ascii="Lucida Grande" w:hAnsi="Lucida Grande"/>
          <w:color w:val="000000"/>
          <w:sz w:val="26"/>
          <w:szCs w:val="24"/>
        </w:rPr>
        <w:t xml:space="preserve"> several provisions that have previously been found unconscionable by our supreme court and, as a consequence, this Court should void the entire admissions agreement. In the alternative, Lumpkin argues that the terms of the arbitration clause itself are un</w:t>
      </w:r>
      <w:r w:rsidRPr="00C423B7">
        <w:rPr>
          <w:rFonts w:ascii="Lucida Grande" w:hAnsi="Lucida Grande"/>
          <w:color w:val="000000"/>
          <w:sz w:val="26"/>
          <w:szCs w:val="24"/>
        </w:rPr>
        <w:t xml:space="preserve">conscionable and that we should strike the arbitration clause from the admissions agreement. Although this Court has serious misgivings about the language included in the admissions agreement, we are compelled to confirm the substantive conscionability of </w:t>
      </w:r>
      <w:r w:rsidRPr="00C423B7">
        <w:rPr>
          <w:rFonts w:ascii="Lucida Grande" w:hAnsi="Lucida Grande"/>
          <w:color w:val="000000"/>
          <w:sz w:val="26"/>
          <w:szCs w:val="24"/>
        </w:rPr>
        <w:t>the admissions agreement and the arbitration clause.</w:t>
      </w:r>
    </w:p>
    <w:p w:rsidR="003B089D" w:rsidRPr="00C423B7" w:rsidRDefault="00F12C90" w:rsidP="003B089D">
      <w:pPr>
        <w:rPr>
          <w:rFonts w:ascii="Lucida Grande" w:hAnsi="Lucida Grande"/>
          <w:color w:val="000000"/>
          <w:sz w:val="26"/>
          <w:szCs w:val="24"/>
        </w:rPr>
      </w:pPr>
      <w:r w:rsidRPr="00C423B7">
        <w:rPr>
          <w:rFonts w:ascii="Lucida Grande" w:hAnsi="Lucida Grande"/>
          <w:color w:val="000000"/>
          <w:sz w:val="26"/>
          <w:szCs w:val="24"/>
        </w:rPr>
        <w:t xml:space="preserve"> </w:t>
      </w:r>
      <w:proofErr w:type="gramStart"/>
      <w:r w:rsidRPr="00C423B7">
        <w:rPr>
          <w:rFonts w:ascii="Lucida Grande" w:hAnsi="Lucida Grande"/>
          <w:color w:val="000000"/>
          <w:sz w:val="26"/>
          <w:szCs w:val="24"/>
        </w:rPr>
        <w:t>[15] Headnote Citing References ¶ 22.</w:t>
      </w:r>
      <w:proofErr w:type="gramEnd"/>
      <w:r w:rsidRPr="00C423B7">
        <w:rPr>
          <w:rFonts w:ascii="Lucida Grande" w:hAnsi="Lucida Grande"/>
          <w:color w:val="000000"/>
          <w:sz w:val="26"/>
          <w:szCs w:val="24"/>
        </w:rPr>
        <w:t xml:space="preserve"> Lumpkin correctly points out that the admissions agreement her daughter signed contains several clauses that have exactly the same language as clauses in other nurs</w:t>
      </w:r>
      <w:r w:rsidRPr="00C423B7">
        <w:rPr>
          <w:rFonts w:ascii="Lucida Grande" w:hAnsi="Lucida Grande"/>
          <w:color w:val="000000"/>
          <w:sz w:val="26"/>
          <w:szCs w:val="24"/>
        </w:rPr>
        <w:t>ing home admissions agreements that our supreme court has explicitly held are unconscionable. In fact, the admissions agreement in this case appears to be identical to the one at issue in Brown, discussed above. FN1 Specifically, (1) the language in sectio</w:t>
      </w:r>
      <w:r w:rsidRPr="00C423B7">
        <w:rPr>
          <w:rFonts w:ascii="Lucida Grande" w:hAnsi="Lucida Grande"/>
          <w:color w:val="000000"/>
          <w:sz w:val="26"/>
          <w:szCs w:val="24"/>
        </w:rPr>
        <w:t>n C5 requiring forfeiture by the resident for all claims except those for willful acts, (2) the language in section C8 waiving liability for the criminal acts of individuals, (3) the “grievance resolution process” set out in sections E5 and E6, (4) the lan</w:t>
      </w:r>
      <w:r w:rsidRPr="00C423B7">
        <w:rPr>
          <w:rFonts w:ascii="Lucida Grande" w:hAnsi="Lucida Grande"/>
          <w:color w:val="000000"/>
          <w:sz w:val="26"/>
          <w:szCs w:val="24"/>
        </w:rPr>
        <w:t>guage limiting the recovery of actual damages in section E7, (5) the language limiting the recovery of punitive damages in section E8, (6) the language in section E12 requiring the resident to pay all costs if the resident attempts to avoid or challenge th</w:t>
      </w:r>
      <w:r w:rsidRPr="00C423B7">
        <w:rPr>
          <w:rFonts w:ascii="Lucida Grande" w:hAnsi="Lucida Grande"/>
          <w:color w:val="000000"/>
          <w:sz w:val="26"/>
          <w:szCs w:val="24"/>
        </w:rPr>
        <w:t>e grievance resolution process, and (7) the language of section E16 that purports to change the statute of limitations were all held to be unconscionable in Brown. Moreover, the last line of the arbitration clause itself contains language identical to lang</w:t>
      </w:r>
      <w:r w:rsidRPr="00C423B7">
        <w:rPr>
          <w:rFonts w:ascii="Lucida Grande" w:hAnsi="Lucida Grande"/>
          <w:color w:val="000000"/>
          <w:sz w:val="26"/>
          <w:szCs w:val="24"/>
        </w:rPr>
        <w:t xml:space="preserve">uage the </w:t>
      </w:r>
      <w:proofErr w:type="gramStart"/>
      <w:r w:rsidRPr="00C423B7">
        <w:rPr>
          <w:rFonts w:ascii="Lucida Grande" w:hAnsi="Lucida Grande"/>
          <w:color w:val="000000"/>
          <w:sz w:val="26"/>
          <w:szCs w:val="24"/>
        </w:rPr>
        <w:t>supreme court</w:t>
      </w:r>
      <w:proofErr w:type="gramEnd"/>
      <w:r w:rsidRPr="00C423B7">
        <w:rPr>
          <w:rFonts w:ascii="Lucida Grande" w:hAnsi="Lucida Grande"/>
          <w:color w:val="000000"/>
          <w:sz w:val="26"/>
          <w:szCs w:val="24"/>
        </w:rPr>
        <w:t xml:space="preserve"> struck from the arbitration clause that was at issue in Brown. Seeing no reason to depart from the </w:t>
      </w:r>
      <w:proofErr w:type="gramStart"/>
      <w:r w:rsidRPr="00C423B7">
        <w:rPr>
          <w:rFonts w:ascii="Lucida Grande" w:hAnsi="Lucida Grande"/>
          <w:color w:val="000000"/>
          <w:sz w:val="26"/>
          <w:szCs w:val="24"/>
        </w:rPr>
        <w:t>supreme court</w:t>
      </w:r>
      <w:proofErr w:type="gramEnd"/>
      <w:r w:rsidRPr="00C423B7">
        <w:rPr>
          <w:rFonts w:ascii="Lucida Grande" w:hAnsi="Lucida Grande"/>
          <w:color w:val="000000"/>
          <w:sz w:val="26"/>
          <w:szCs w:val="24"/>
        </w:rPr>
        <w:t>'s findings in Brown, we agree with Lumpkin's assertion that these clauses in her admissions agreement contain unconscion</w:t>
      </w:r>
      <w:r w:rsidRPr="00C423B7">
        <w:rPr>
          <w:rFonts w:ascii="Lucida Grande" w:hAnsi="Lucida Grande"/>
          <w:color w:val="000000"/>
          <w:sz w:val="26"/>
          <w:szCs w:val="24"/>
        </w:rPr>
        <w:t>able language as well. We therefore strike the offending language of clauses C5, C8, E5, E6, E7, E8, E12, and E16, as well as the last line of the arbitration clause from the admissions agreement.</w:t>
      </w:r>
    </w:p>
    <w:p w:rsidR="003B089D" w:rsidRPr="00C423B7" w:rsidRDefault="00F12C90" w:rsidP="003B089D">
      <w:pPr>
        <w:rPr>
          <w:rFonts w:ascii="Lucida Grande" w:hAnsi="Lucida Grande"/>
          <w:color w:val="000000"/>
          <w:sz w:val="26"/>
          <w:szCs w:val="24"/>
        </w:rPr>
      </w:pPr>
      <w:r w:rsidRPr="00C423B7">
        <w:rPr>
          <w:rFonts w:ascii="Lucida Grande" w:hAnsi="Lucida Grande"/>
          <w:color w:val="000000"/>
          <w:sz w:val="26"/>
          <w:szCs w:val="24"/>
        </w:rPr>
        <w:t>¶ 23. We cannot, however, agree with the remainder of Lumpk</w:t>
      </w:r>
      <w:r w:rsidRPr="00C423B7">
        <w:rPr>
          <w:rFonts w:ascii="Lucida Grande" w:hAnsi="Lucida Grande"/>
          <w:color w:val="000000"/>
          <w:sz w:val="26"/>
          <w:szCs w:val="24"/>
        </w:rPr>
        <w:t>in's argument, that because of these unconscionable provisions we must void the entire contract, or that the arbitration clause as a whole should be voided. In Brown, when faced with exactly the same unconscionable language, the supreme court chose to mere</w:t>
      </w:r>
      <w:r w:rsidRPr="00C423B7">
        <w:rPr>
          <w:rFonts w:ascii="Lucida Grande" w:hAnsi="Lucida Grande"/>
          <w:color w:val="000000"/>
          <w:sz w:val="26"/>
          <w:szCs w:val="24"/>
        </w:rPr>
        <w:t>ly sever the unconscionable portions of the admissions agreement and the offending portion of the arbitration clause, and enforce the remaining sections, including compelling the parties to arbitrate. Given the striking similarity of these two cases, inclu</w:t>
      </w:r>
      <w:r w:rsidRPr="00C423B7">
        <w:rPr>
          <w:rFonts w:ascii="Lucida Grande" w:hAnsi="Lucida Grande"/>
          <w:color w:val="000000"/>
          <w:sz w:val="26"/>
          <w:szCs w:val="24"/>
        </w:rPr>
        <w:t xml:space="preserve">ding the fact that they involve substantially identical admissions agreements, we are compelled to do the same here as the </w:t>
      </w:r>
      <w:proofErr w:type="gramStart"/>
      <w:r w:rsidRPr="00C423B7">
        <w:rPr>
          <w:rFonts w:ascii="Lucida Grande" w:hAnsi="Lucida Grande"/>
          <w:color w:val="000000"/>
          <w:sz w:val="26"/>
          <w:szCs w:val="24"/>
        </w:rPr>
        <w:t>supreme court</w:t>
      </w:r>
      <w:proofErr w:type="gramEnd"/>
      <w:r w:rsidRPr="00C423B7">
        <w:rPr>
          <w:rFonts w:ascii="Lucida Grande" w:hAnsi="Lucida Grande"/>
          <w:color w:val="000000"/>
          <w:sz w:val="26"/>
          <w:szCs w:val="24"/>
        </w:rPr>
        <w:t xml:space="preserve"> did in Brown. </w:t>
      </w:r>
      <w:proofErr w:type="gramStart"/>
      <w:r w:rsidRPr="00C423B7">
        <w:rPr>
          <w:rFonts w:ascii="Lucida Grande" w:hAnsi="Lucida Grande"/>
          <w:color w:val="000000"/>
          <w:sz w:val="26"/>
          <w:szCs w:val="24"/>
        </w:rPr>
        <w:t>Accordingly, we find that the admissions agreement, absent the offending language, is substantively consc</w:t>
      </w:r>
      <w:r w:rsidRPr="00C423B7">
        <w:rPr>
          <w:rFonts w:ascii="Lucida Grande" w:hAnsi="Lucida Grande"/>
          <w:color w:val="000000"/>
          <w:sz w:val="26"/>
          <w:szCs w:val="24"/>
        </w:rPr>
        <w:t>ionable and the parties are bound by it, including its arbitration clause.</w:t>
      </w:r>
      <w:proofErr w:type="gramEnd"/>
    </w:p>
    <w:p w:rsidR="003B089D" w:rsidRPr="00C423B7" w:rsidRDefault="00F12C90" w:rsidP="003B089D">
      <w:pPr>
        <w:rPr>
          <w:rFonts w:ascii="Lucida Grande" w:hAnsi="Lucida Grande"/>
          <w:color w:val="000000"/>
          <w:sz w:val="26"/>
          <w:szCs w:val="24"/>
        </w:rPr>
      </w:pPr>
      <w:r w:rsidRPr="00C423B7">
        <w:rPr>
          <w:rFonts w:ascii="Lucida Grande" w:hAnsi="Lucida Grande"/>
          <w:color w:val="000000"/>
          <w:sz w:val="26"/>
          <w:szCs w:val="24"/>
        </w:rPr>
        <w:t>*6 ¶ 24. THE JUDGMENT OF THE CIRCUIT COURT OF PEARL RIVER COUNTY IS REVERSED AND REMANDED FOR FURTHER PROCEEDINGS CONSISTENT WITH THIS OPINION. ALL COSTS OF THIS APPEAL ARE ASSESSED</w:t>
      </w:r>
      <w:r w:rsidRPr="00C423B7">
        <w:rPr>
          <w:rFonts w:ascii="Lucida Grande" w:hAnsi="Lucida Grande"/>
          <w:color w:val="000000"/>
          <w:sz w:val="26"/>
          <w:szCs w:val="24"/>
        </w:rPr>
        <w:t xml:space="preserve"> TO THE APPELLEE.</w:t>
      </w:r>
    </w:p>
    <w:p w:rsidR="003B089D" w:rsidRDefault="00F12C90"/>
    <w:sectPr w:rsidR="003B089D">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A00002EF" w:usb1="4000004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embedSystemFonts/>
  <w:proofState w:grammar="clean"/>
  <w:defaultTabStop w:val="720"/>
  <w:displayHorizontalDrawingGridEvery w:val="0"/>
  <w:displayVerticalDrawingGridEvery w:val="0"/>
  <w:doNotUseMarginsForDrawingGridOrigin/>
  <w:noPunctuationKerning/>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3B7"/>
    <w:rsid w:val="00F12C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style>
  <w:style w:type="table" w:default="1" w:styleId="TableNormal">
    <w:name w:val="Normal Table"/>
    <w:semiHidden/>
    <w:rPr>
      <w:lang w:bidi="x-none"/>
    </w:rPr>
    <w:tblPr>
      <w:tblInd w:w="0" w:type="dxa"/>
      <w:tblCellMar>
        <w:top w:w="0" w:type="dxa"/>
        <w:left w:w="108" w:type="dxa"/>
        <w:bottom w:w="0" w:type="dxa"/>
        <w:right w:w="108" w:type="dxa"/>
      </w:tblCellMar>
    </w:tblPr>
  </w:style>
  <w:style w:type="numbering" w:default="1" w:styleId="NoList">
    <w:name w:val="No List"/>
    <w:semiHidden/>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style>
  <w:style w:type="table" w:default="1" w:styleId="TableNormal">
    <w:name w:val="Normal Table"/>
    <w:semiHidden/>
    <w:rPr>
      <w:lang w:bidi="x-none"/>
    </w:rPr>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2792</Words>
  <Characters>15915</Characters>
  <Application>Microsoft Macintosh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So</vt:lpstr>
    </vt:vector>
  </TitlesOfParts>
  <Company>K&amp;M Consulting</Company>
  <LinksUpToDate>false</LinksUpToDate>
  <CharactersWithSpaces>18670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So</dc:title>
  <dc:subject/>
  <dc:creator>Roxie</dc:creator>
  <cp:keywords/>
  <cp:lastModifiedBy>Suzanne Jasin</cp:lastModifiedBy>
  <cp:revision>2</cp:revision>
  <dcterms:created xsi:type="dcterms:W3CDTF">2013-03-05T18:02:00Z</dcterms:created>
  <dcterms:modified xsi:type="dcterms:W3CDTF">2013-03-05T18:02:00Z</dcterms:modified>
</cp:coreProperties>
</file>