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4A3D5D" w14:textId="16C6AB55" w:rsidR="00B12CE9" w:rsidRPr="00CD05D7" w:rsidRDefault="00CD05D7" w:rsidP="00B12CE9">
      <w:pPr>
        <w:pStyle w:val="Subtitle"/>
        <w:rPr>
          <w:rFonts w:asciiTheme="minorHAnsi" w:hAnsiTheme="minorHAnsi" w:cstheme="minorHAnsi"/>
        </w:rPr>
      </w:pPr>
      <w:r>
        <w:rPr>
          <w:rFonts w:asciiTheme="minorHAnsi" w:hAnsiTheme="minorHAnsi" w:cstheme="minorHAnsi"/>
        </w:rPr>
        <w:t>Part 4 Case</w:t>
      </w:r>
      <w:r w:rsidR="00853660">
        <w:rPr>
          <w:rFonts w:asciiTheme="minorHAnsi" w:hAnsiTheme="minorHAnsi" w:cstheme="minorHAnsi"/>
        </w:rPr>
        <w:t xml:space="preserve"> 2</w:t>
      </w:r>
    </w:p>
    <w:p w14:paraId="2920E7B0" w14:textId="77777777" w:rsidR="00B12CE9" w:rsidRPr="00CD05D7" w:rsidRDefault="00B12CE9" w:rsidP="00B12CE9">
      <w:pPr>
        <w:pStyle w:val="Title"/>
        <w:rPr>
          <w:rFonts w:asciiTheme="minorHAnsi" w:hAnsiTheme="minorHAnsi" w:cstheme="minorHAnsi"/>
        </w:rPr>
      </w:pPr>
    </w:p>
    <w:p w14:paraId="6E6508AD" w14:textId="77777777" w:rsidR="00B12CE9" w:rsidRPr="00CD05D7" w:rsidRDefault="00B12CE9" w:rsidP="00B12CE9">
      <w:pPr>
        <w:pStyle w:val="Title"/>
        <w:rPr>
          <w:rFonts w:asciiTheme="minorHAnsi" w:hAnsiTheme="minorHAnsi" w:cstheme="minorHAnsi"/>
        </w:rPr>
      </w:pP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AG</w:t>
      </w:r>
    </w:p>
    <w:p w14:paraId="350AC877" w14:textId="77777777" w:rsidR="00B12CE9" w:rsidRPr="00CD05D7" w:rsidRDefault="00B12CE9" w:rsidP="00B12CE9">
      <w:pPr>
        <w:rPr>
          <w:rFonts w:asciiTheme="minorHAnsi" w:hAnsiTheme="minorHAnsi" w:cstheme="minorHAnsi"/>
        </w:rPr>
      </w:pPr>
    </w:p>
    <w:p w14:paraId="79B93B31" w14:textId="5EA79E30" w:rsidR="00B12CE9" w:rsidRPr="00CD05D7" w:rsidRDefault="00B12CE9" w:rsidP="00B12CE9">
      <w:pPr>
        <w:pStyle w:val="Subtitle"/>
        <w:rPr>
          <w:rFonts w:asciiTheme="minorHAnsi" w:hAnsiTheme="minorHAnsi" w:cstheme="minorHAnsi"/>
        </w:rPr>
      </w:pPr>
      <w:r w:rsidRPr="00CD05D7">
        <w:rPr>
          <w:rFonts w:asciiTheme="minorHAnsi" w:hAnsiTheme="minorHAnsi" w:cstheme="minorHAnsi"/>
        </w:rPr>
        <w:t>Teaching Note</w:t>
      </w:r>
      <w:r w:rsidR="00853660">
        <w:rPr>
          <w:rFonts w:asciiTheme="minorHAnsi" w:hAnsiTheme="minorHAnsi" w:cstheme="minorHAnsi"/>
        </w:rPr>
        <w:t>s</w:t>
      </w:r>
    </w:p>
    <w:p w14:paraId="5220CF52" w14:textId="77777777" w:rsidR="00B12CE9" w:rsidRPr="00CD05D7" w:rsidRDefault="00B12CE9" w:rsidP="00B12CE9">
      <w:pPr>
        <w:rPr>
          <w:rFonts w:asciiTheme="minorHAnsi" w:hAnsiTheme="minorHAnsi" w:cstheme="minorHAnsi"/>
        </w:rPr>
      </w:pPr>
    </w:p>
    <w:p w14:paraId="4FBE54D4" w14:textId="77777777" w:rsidR="00B12CE9" w:rsidRPr="00CD05D7" w:rsidRDefault="00B12CE9" w:rsidP="00B12CE9">
      <w:pPr>
        <w:rPr>
          <w:rFonts w:asciiTheme="minorHAnsi" w:hAnsiTheme="minorHAnsi" w:cstheme="minorHAnsi"/>
        </w:rPr>
      </w:pPr>
    </w:p>
    <w:p w14:paraId="53C93343" w14:textId="77777777" w:rsidR="00B12CE9" w:rsidRPr="00CD05D7" w:rsidRDefault="00B12CE9" w:rsidP="00B12CE9">
      <w:pPr>
        <w:pStyle w:val="Heading1"/>
        <w:rPr>
          <w:rFonts w:asciiTheme="minorHAnsi" w:hAnsiTheme="minorHAnsi" w:cstheme="minorHAnsi"/>
        </w:rPr>
      </w:pPr>
      <w:r w:rsidRPr="00CD05D7">
        <w:rPr>
          <w:rFonts w:asciiTheme="minorHAnsi" w:hAnsiTheme="minorHAnsi" w:cstheme="minorHAnsi"/>
        </w:rPr>
        <w:t>Introduction</w:t>
      </w:r>
    </w:p>
    <w:p w14:paraId="68C080E8" w14:textId="77777777" w:rsidR="00B12CE9" w:rsidRPr="00CD05D7" w:rsidRDefault="00B12CE9" w:rsidP="00B12CE9">
      <w:pPr>
        <w:tabs>
          <w:tab w:val="left" w:pos="720"/>
        </w:tabs>
        <w:spacing w:line="280" w:lineRule="exact"/>
        <w:rPr>
          <w:rFonts w:asciiTheme="minorHAnsi" w:hAnsiTheme="minorHAnsi" w:cstheme="minorHAnsi"/>
        </w:rPr>
      </w:pPr>
    </w:p>
    <w:p w14:paraId="3C1E2FE1" w14:textId="77777777" w:rsidR="00B12CE9" w:rsidRPr="00CD05D7" w:rsidRDefault="00B12CE9" w:rsidP="00B12CE9">
      <w:pPr>
        <w:ind w:firstLine="720"/>
        <w:rPr>
          <w:rFonts w:asciiTheme="minorHAnsi" w:hAnsiTheme="minorHAnsi" w:cstheme="minorHAnsi"/>
        </w:rPr>
      </w:pPr>
      <w:r w:rsidRPr="00CD05D7">
        <w:rPr>
          <w:rFonts w:asciiTheme="minorHAnsi" w:hAnsiTheme="minorHAnsi" w:cstheme="minorHAnsi"/>
        </w:rPr>
        <w:t xml:space="preserve">The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case is a case about credit analysis.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is a German retail and tourism company that was in financial difficulties during the first half of the 2000s.  The company underwent restructuring during 2005 and claimed to be almost debt-free after the first half year of 2006. The objective of the case is to teach students which factors a credit analyst should focus on when analyzing the creditworthiness of a company that is restructuring both its operations and its financial obligations. </w:t>
      </w:r>
    </w:p>
    <w:p w14:paraId="6D1F9E48" w14:textId="77777777" w:rsidR="00B12CE9" w:rsidRPr="00CD05D7" w:rsidRDefault="00B12CE9" w:rsidP="00B12CE9">
      <w:pPr>
        <w:ind w:firstLine="720"/>
        <w:rPr>
          <w:rFonts w:asciiTheme="minorHAnsi" w:hAnsiTheme="minorHAnsi" w:cstheme="minorHAnsi"/>
        </w:rPr>
      </w:pPr>
    </w:p>
    <w:p w14:paraId="71081E4C" w14:textId="77777777" w:rsidR="00B12CE9" w:rsidRPr="00CD05D7" w:rsidRDefault="00B12CE9" w:rsidP="00B12CE9">
      <w:pPr>
        <w:pStyle w:val="Heading1"/>
        <w:rPr>
          <w:rFonts w:asciiTheme="minorHAnsi" w:hAnsiTheme="minorHAnsi" w:cstheme="minorHAnsi"/>
        </w:rPr>
      </w:pPr>
      <w:r w:rsidRPr="00CD05D7">
        <w:rPr>
          <w:rFonts w:asciiTheme="minorHAnsi" w:hAnsiTheme="minorHAnsi" w:cstheme="minorHAnsi"/>
        </w:rPr>
        <w:t>Questions for students</w:t>
      </w:r>
    </w:p>
    <w:p w14:paraId="5F7F4A69" w14:textId="77777777" w:rsidR="00B12CE9" w:rsidRPr="00CD05D7" w:rsidRDefault="00B12CE9" w:rsidP="00B12CE9">
      <w:pPr>
        <w:tabs>
          <w:tab w:val="left" w:pos="720"/>
        </w:tabs>
        <w:spacing w:line="280" w:lineRule="exact"/>
        <w:rPr>
          <w:rFonts w:asciiTheme="minorHAnsi" w:hAnsiTheme="minorHAnsi" w:cstheme="minorHAnsi"/>
        </w:rPr>
      </w:pPr>
    </w:p>
    <w:p w14:paraId="31568147" w14:textId="77777777" w:rsidR="00B12CE9" w:rsidRPr="00CD05D7" w:rsidRDefault="00B12CE9" w:rsidP="00B12CE9">
      <w:pPr>
        <w:numPr>
          <w:ilvl w:val="0"/>
          <w:numId w:val="2"/>
        </w:numPr>
        <w:rPr>
          <w:rFonts w:asciiTheme="minorHAnsi" w:hAnsiTheme="minorHAnsi" w:cstheme="minorHAnsi"/>
        </w:rPr>
      </w:pPr>
      <w:r w:rsidRPr="00CD05D7">
        <w:rPr>
          <w:rFonts w:asciiTheme="minorHAnsi" w:hAnsiTheme="minorHAnsi" w:cstheme="minorHAnsi"/>
        </w:rPr>
        <w:t xml:space="preserve">When preparing a report that summarizes the main factors affecting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creditworthiness, which factors should the credit analyst focus on? How do these factors affect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creditworthiness?</w:t>
      </w:r>
    </w:p>
    <w:p w14:paraId="5EAA402E" w14:textId="77777777" w:rsidR="00B12CE9" w:rsidRPr="00CD05D7" w:rsidRDefault="00B12CE9" w:rsidP="00B12CE9">
      <w:pPr>
        <w:numPr>
          <w:ilvl w:val="0"/>
          <w:numId w:val="2"/>
        </w:numPr>
        <w:rPr>
          <w:rFonts w:asciiTheme="minorHAnsi" w:hAnsiTheme="minorHAnsi" w:cstheme="minorHAnsi"/>
        </w:rPr>
      </w:pPr>
      <w:r w:rsidRPr="00CD05D7">
        <w:rPr>
          <w:rFonts w:asciiTheme="minorHAnsi" w:hAnsiTheme="minorHAnsi" w:cstheme="minorHAnsi"/>
        </w:rPr>
        <w:t xml:space="preserve">Assess whether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could bear the burden of another €500 million loan. If so, what would be the appropriate interest rate on this new loan?</w:t>
      </w:r>
    </w:p>
    <w:p w14:paraId="446D182D" w14:textId="77777777" w:rsidR="00B12CE9" w:rsidRPr="00CD05D7" w:rsidRDefault="00B12CE9" w:rsidP="00B12CE9">
      <w:pPr>
        <w:rPr>
          <w:rFonts w:asciiTheme="minorHAnsi" w:hAnsiTheme="minorHAnsi" w:cstheme="minorHAnsi"/>
        </w:rPr>
      </w:pPr>
    </w:p>
    <w:p w14:paraId="28454CAB" w14:textId="77777777" w:rsidR="00B12CE9" w:rsidRPr="00CD05D7" w:rsidRDefault="00B12CE9" w:rsidP="00B12CE9">
      <w:pPr>
        <w:pStyle w:val="Heading1"/>
        <w:rPr>
          <w:rFonts w:asciiTheme="minorHAnsi" w:hAnsiTheme="minorHAnsi" w:cstheme="minorHAnsi"/>
        </w:rPr>
      </w:pPr>
      <w:r w:rsidRPr="00CD05D7">
        <w:rPr>
          <w:rFonts w:asciiTheme="minorHAnsi" w:hAnsiTheme="minorHAnsi" w:cstheme="minorHAnsi"/>
        </w:rPr>
        <w:t xml:space="preserve">Case analysis </w:t>
      </w:r>
    </w:p>
    <w:p w14:paraId="059AF931" w14:textId="77777777" w:rsidR="00B12CE9" w:rsidRPr="00CD05D7" w:rsidRDefault="00B12CE9" w:rsidP="00B12CE9">
      <w:pPr>
        <w:pStyle w:val="Heading2"/>
        <w:rPr>
          <w:rFonts w:asciiTheme="minorHAnsi" w:hAnsiTheme="minorHAnsi" w:cstheme="minorHAnsi"/>
        </w:rPr>
      </w:pPr>
    </w:p>
    <w:p w14:paraId="255681B4" w14:textId="77777777" w:rsidR="00B12CE9" w:rsidRPr="00CD05D7" w:rsidRDefault="00B12CE9" w:rsidP="00B12CE9">
      <w:pPr>
        <w:pStyle w:val="Heading2"/>
        <w:rPr>
          <w:rFonts w:asciiTheme="minorHAnsi" w:hAnsiTheme="minorHAnsi" w:cstheme="minorHAnsi"/>
        </w:rPr>
      </w:pPr>
      <w:r w:rsidRPr="00CD05D7">
        <w:rPr>
          <w:rFonts w:asciiTheme="minorHAnsi" w:hAnsiTheme="minorHAnsi" w:cstheme="minorHAnsi"/>
        </w:rPr>
        <w:t>Question 1</w:t>
      </w:r>
    </w:p>
    <w:p w14:paraId="02BA9303" w14:textId="77777777" w:rsidR="00B12CE9" w:rsidRPr="00CD05D7" w:rsidRDefault="00B12CE9" w:rsidP="00B12CE9">
      <w:pPr>
        <w:rPr>
          <w:rFonts w:asciiTheme="minorHAnsi" w:hAnsiTheme="minorHAnsi" w:cstheme="minorHAnsi"/>
        </w:rPr>
      </w:pPr>
    </w:p>
    <w:p w14:paraId="4AA68B8B" w14:textId="77777777" w:rsidR="00B12CE9" w:rsidRPr="00CD05D7" w:rsidRDefault="00B12CE9" w:rsidP="00B12CE9">
      <w:pPr>
        <w:rPr>
          <w:rFonts w:asciiTheme="minorHAnsi" w:hAnsiTheme="minorHAnsi" w:cstheme="minorHAnsi"/>
        </w:rPr>
      </w:pPr>
      <w:r w:rsidRPr="00CD05D7">
        <w:rPr>
          <w:rFonts w:asciiTheme="minorHAnsi" w:hAnsiTheme="minorHAnsi" w:cstheme="minorHAnsi"/>
        </w:rPr>
        <w:t xml:space="preserve">The factors that credit analysts typically focus on when analyzing the creditworthiness of a company are: (1) profitability; (2) leverage, (3) interest coverage, and (4) firm size. Leverage is negatively related to creditworthiness; the other three factors are positively related to creditworthiness. </w:t>
      </w:r>
    </w:p>
    <w:p w14:paraId="724428D7" w14:textId="77777777" w:rsidR="00B12CE9" w:rsidRPr="00CD05D7" w:rsidRDefault="00B12CE9" w:rsidP="00B12CE9">
      <w:pPr>
        <w:ind w:firstLine="360"/>
        <w:rPr>
          <w:rFonts w:asciiTheme="minorHAnsi" w:hAnsiTheme="minorHAnsi" w:cstheme="minorHAnsi"/>
        </w:rPr>
      </w:pPr>
      <w:r w:rsidRPr="00CD05D7">
        <w:rPr>
          <w:rFonts w:asciiTheme="minorHAnsi" w:hAnsiTheme="minorHAnsi" w:cstheme="minorHAnsi"/>
        </w:rPr>
        <w:t xml:space="preserve">Important in this particular case is that profitability and leverage have been and will continue to be affected by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financial and operational restructuring. Although the credit analyst typically would focus on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w:t>
      </w:r>
      <w:r w:rsidRPr="00CD05D7">
        <w:rPr>
          <w:rFonts w:asciiTheme="minorHAnsi" w:hAnsiTheme="minorHAnsi" w:cstheme="minorHAnsi"/>
          <w:i/>
        </w:rPr>
        <w:t>current</w:t>
      </w:r>
      <w:r w:rsidRPr="00CD05D7">
        <w:rPr>
          <w:rFonts w:asciiTheme="minorHAnsi" w:hAnsiTheme="minorHAnsi" w:cstheme="minorHAnsi"/>
        </w:rPr>
        <w:t xml:space="preserve"> financial performance and financial position, </w:t>
      </w:r>
      <w:r w:rsidRPr="00CD05D7">
        <w:rPr>
          <w:rFonts w:asciiTheme="minorHAnsi" w:hAnsiTheme="minorHAnsi" w:cstheme="minorHAnsi"/>
          <w:i/>
        </w:rPr>
        <w:t>near-term changes</w:t>
      </w:r>
      <w:r w:rsidRPr="00CD05D7">
        <w:rPr>
          <w:rFonts w:asciiTheme="minorHAnsi" w:hAnsiTheme="minorHAnsi" w:cstheme="minorHAnsi"/>
        </w:rPr>
        <w:t xml:space="preserve"> that will almost certainly take place during the second half of 2006 are likely to affect the analysts’ assessment of the company’s ability to carry the burden of another loan. An important task of the credit analyst is therefore to find out:</w:t>
      </w:r>
    </w:p>
    <w:p w14:paraId="3BDFACAD" w14:textId="77777777" w:rsidR="00B12CE9" w:rsidRPr="00CD05D7" w:rsidRDefault="00B12CE9" w:rsidP="00B12CE9">
      <w:pPr>
        <w:numPr>
          <w:ilvl w:val="0"/>
          <w:numId w:val="3"/>
        </w:numPr>
        <w:rPr>
          <w:rFonts w:asciiTheme="minorHAnsi" w:hAnsiTheme="minorHAnsi" w:cstheme="minorHAnsi"/>
        </w:rPr>
      </w:pPr>
      <w:r w:rsidRPr="00CD05D7">
        <w:rPr>
          <w:rFonts w:asciiTheme="minorHAnsi" w:hAnsiTheme="minorHAnsi" w:cstheme="minorHAnsi"/>
        </w:rPr>
        <w:t xml:space="preserve">Whether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financial statements accurately reflect the company’s financial position. (In other words, is the company really close to being debt-free?)</w:t>
      </w:r>
      <w:bookmarkStart w:id="0" w:name="_GoBack"/>
      <w:bookmarkEnd w:id="0"/>
    </w:p>
    <w:p w14:paraId="0EF04A55" w14:textId="77777777" w:rsidR="00B12CE9" w:rsidRPr="00CD05D7" w:rsidRDefault="00B12CE9" w:rsidP="00B12CE9">
      <w:pPr>
        <w:numPr>
          <w:ilvl w:val="0"/>
          <w:numId w:val="3"/>
        </w:numPr>
        <w:rPr>
          <w:rFonts w:asciiTheme="minorHAnsi" w:hAnsiTheme="minorHAnsi" w:cstheme="minorHAnsi"/>
        </w:rPr>
      </w:pPr>
      <w:r w:rsidRPr="00CD05D7">
        <w:rPr>
          <w:rFonts w:asciiTheme="minorHAnsi" w:hAnsiTheme="minorHAnsi" w:cstheme="minorHAnsi"/>
        </w:rPr>
        <w:lastRenderedPageBreak/>
        <w:t xml:space="preserve">How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operational restructuring will affect near-term profitability;</w:t>
      </w:r>
    </w:p>
    <w:p w14:paraId="33605E6B" w14:textId="77777777" w:rsidR="00B12CE9" w:rsidRPr="00CD05D7" w:rsidRDefault="00B12CE9" w:rsidP="00B12CE9">
      <w:pPr>
        <w:numPr>
          <w:ilvl w:val="0"/>
          <w:numId w:val="3"/>
        </w:numPr>
        <w:rPr>
          <w:rFonts w:asciiTheme="minorHAnsi" w:hAnsiTheme="minorHAnsi" w:cstheme="minorHAnsi"/>
        </w:rPr>
      </w:pPr>
      <w:r w:rsidRPr="00CD05D7">
        <w:rPr>
          <w:rFonts w:asciiTheme="minorHAnsi" w:hAnsiTheme="minorHAnsi" w:cstheme="minorHAnsi"/>
        </w:rPr>
        <w:t xml:space="preserve">How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financial restructuring will affect near-term leverage.</w:t>
      </w:r>
    </w:p>
    <w:p w14:paraId="131309E9" w14:textId="77777777" w:rsidR="00B12CE9" w:rsidRPr="00CD05D7" w:rsidRDefault="00B12CE9" w:rsidP="00B12CE9">
      <w:pPr>
        <w:rPr>
          <w:rFonts w:asciiTheme="minorHAnsi" w:hAnsiTheme="minorHAnsi" w:cstheme="minorHAnsi"/>
        </w:rPr>
      </w:pPr>
    </w:p>
    <w:p w14:paraId="5C6FFDB8" w14:textId="77777777" w:rsidR="00B12CE9" w:rsidRPr="00CD05D7" w:rsidRDefault="00B12CE9" w:rsidP="00B12CE9">
      <w:pPr>
        <w:rPr>
          <w:rFonts w:asciiTheme="minorHAnsi" w:hAnsiTheme="minorHAnsi" w:cstheme="minorHAnsi"/>
          <w:i/>
        </w:rPr>
      </w:pPr>
      <w:r w:rsidRPr="00CD05D7">
        <w:rPr>
          <w:rFonts w:asciiTheme="minorHAnsi" w:hAnsiTheme="minorHAnsi" w:cstheme="minorHAnsi"/>
          <w:i/>
        </w:rPr>
        <w:t>Accounting choices</w:t>
      </w:r>
    </w:p>
    <w:p w14:paraId="4F656006" w14:textId="77777777" w:rsidR="00B12CE9" w:rsidRPr="00CD05D7" w:rsidRDefault="00B12CE9" w:rsidP="00B12CE9">
      <w:pPr>
        <w:rPr>
          <w:rFonts w:asciiTheme="minorHAnsi" w:hAnsiTheme="minorHAnsi" w:cstheme="minorHAnsi"/>
        </w:rPr>
      </w:pP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engages in a few financial transactions that need further attention. </w:t>
      </w:r>
    </w:p>
    <w:p w14:paraId="7F219A65" w14:textId="77777777" w:rsidR="00B12CE9" w:rsidRPr="00CD05D7" w:rsidRDefault="00B12CE9" w:rsidP="00B12CE9">
      <w:pPr>
        <w:ind w:firstLine="720"/>
        <w:rPr>
          <w:rFonts w:asciiTheme="minorHAnsi" w:hAnsiTheme="minorHAnsi" w:cstheme="minorHAnsi"/>
          <w:i/>
        </w:rPr>
      </w:pPr>
    </w:p>
    <w:p w14:paraId="472D1B30" w14:textId="77777777" w:rsidR="00B12CE9" w:rsidRPr="00CD05D7" w:rsidRDefault="00B12CE9" w:rsidP="00B12CE9">
      <w:pPr>
        <w:ind w:firstLine="720"/>
        <w:rPr>
          <w:rFonts w:asciiTheme="minorHAnsi" w:hAnsiTheme="minorHAnsi" w:cstheme="minorHAnsi"/>
        </w:rPr>
      </w:pPr>
      <w:r w:rsidRPr="00CD05D7">
        <w:rPr>
          <w:rFonts w:asciiTheme="minorHAnsi" w:hAnsiTheme="minorHAnsi" w:cstheme="minorHAnsi"/>
          <w:i/>
        </w:rPr>
        <w:t>Receivables sold.</w:t>
      </w:r>
      <w:r w:rsidRPr="00CD05D7">
        <w:rPr>
          <w:rFonts w:asciiTheme="minorHAnsi" w:hAnsiTheme="minorHAnsi" w:cstheme="minorHAnsi"/>
        </w:rPr>
        <w:t xml:space="preserve"> In 2005,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sold its shares in </w:t>
      </w:r>
      <w:proofErr w:type="spellStart"/>
      <w:r w:rsidRPr="00CD05D7">
        <w:rPr>
          <w:rFonts w:asciiTheme="minorHAnsi" w:hAnsiTheme="minorHAnsi" w:cstheme="minorHAnsi"/>
        </w:rPr>
        <w:t>Karstadt</w:t>
      </w:r>
      <w:proofErr w:type="spellEnd"/>
      <w:r w:rsidRPr="00CD05D7">
        <w:rPr>
          <w:rFonts w:asciiTheme="minorHAnsi" w:hAnsiTheme="minorHAnsi" w:cstheme="minorHAnsi"/>
        </w:rPr>
        <w:t xml:space="preserve"> </w:t>
      </w:r>
      <w:proofErr w:type="spellStart"/>
      <w:r w:rsidRPr="00CD05D7">
        <w:rPr>
          <w:rFonts w:asciiTheme="minorHAnsi" w:hAnsiTheme="minorHAnsi" w:cstheme="minorHAnsi"/>
        </w:rPr>
        <w:t>Hypothekenbank</w:t>
      </w:r>
      <w:proofErr w:type="spellEnd"/>
      <w:r w:rsidRPr="00CD05D7">
        <w:rPr>
          <w:rFonts w:asciiTheme="minorHAnsi" w:hAnsiTheme="minorHAnsi" w:cstheme="minorHAnsi"/>
        </w:rPr>
        <w:t xml:space="preserve"> to one of its own pension trusts in exchange for shares in finance company Quelle </w:t>
      </w:r>
      <w:proofErr w:type="spellStart"/>
      <w:r w:rsidRPr="00CD05D7">
        <w:rPr>
          <w:rFonts w:asciiTheme="minorHAnsi" w:hAnsiTheme="minorHAnsi" w:cstheme="minorHAnsi"/>
        </w:rPr>
        <w:t>Neckermann</w:t>
      </w:r>
      <w:proofErr w:type="spellEnd"/>
      <w:r w:rsidRPr="00CD05D7">
        <w:rPr>
          <w:rFonts w:asciiTheme="minorHAnsi" w:hAnsiTheme="minorHAnsi" w:cstheme="minorHAnsi"/>
        </w:rPr>
        <w:t xml:space="preserve"> </w:t>
      </w:r>
      <w:proofErr w:type="spellStart"/>
      <w:r w:rsidRPr="00CD05D7">
        <w:rPr>
          <w:rFonts w:asciiTheme="minorHAnsi" w:hAnsiTheme="minorHAnsi" w:cstheme="minorHAnsi"/>
        </w:rPr>
        <w:t>Versand</w:t>
      </w:r>
      <w:proofErr w:type="spellEnd"/>
      <w:r w:rsidRPr="00CD05D7">
        <w:rPr>
          <w:rFonts w:asciiTheme="minorHAnsi" w:hAnsiTheme="minorHAnsi" w:cstheme="minorHAnsi"/>
        </w:rPr>
        <w:t xml:space="preserve">. Consequently, the company deconsolidated </w:t>
      </w:r>
      <w:proofErr w:type="spellStart"/>
      <w:r w:rsidRPr="00CD05D7">
        <w:rPr>
          <w:rFonts w:asciiTheme="minorHAnsi" w:hAnsiTheme="minorHAnsi" w:cstheme="minorHAnsi"/>
        </w:rPr>
        <w:t>Karstadt</w:t>
      </w:r>
      <w:proofErr w:type="spellEnd"/>
      <w:r w:rsidRPr="00CD05D7">
        <w:rPr>
          <w:rFonts w:asciiTheme="minorHAnsi" w:hAnsiTheme="minorHAnsi" w:cstheme="minorHAnsi"/>
        </w:rPr>
        <w:t xml:space="preserve"> </w:t>
      </w:r>
      <w:proofErr w:type="spellStart"/>
      <w:r w:rsidRPr="00CD05D7">
        <w:rPr>
          <w:rFonts w:asciiTheme="minorHAnsi" w:hAnsiTheme="minorHAnsi" w:cstheme="minorHAnsi"/>
        </w:rPr>
        <w:t>Hypothekenbank</w:t>
      </w:r>
      <w:proofErr w:type="spellEnd"/>
      <w:r w:rsidRPr="00CD05D7">
        <w:rPr>
          <w:rFonts w:asciiTheme="minorHAnsi" w:hAnsiTheme="minorHAnsi" w:cstheme="minorHAnsi"/>
        </w:rPr>
        <w:t xml:space="preserve"> from its financial statements. The company’s notes to the financial statements indicate that receivables sold to </w:t>
      </w:r>
      <w:proofErr w:type="spellStart"/>
      <w:r w:rsidRPr="00CD05D7">
        <w:rPr>
          <w:rFonts w:asciiTheme="minorHAnsi" w:hAnsiTheme="minorHAnsi" w:cstheme="minorHAnsi"/>
        </w:rPr>
        <w:t>Karstadt</w:t>
      </w:r>
      <w:proofErr w:type="spellEnd"/>
      <w:r w:rsidRPr="00CD05D7">
        <w:rPr>
          <w:rFonts w:asciiTheme="minorHAnsi" w:hAnsiTheme="minorHAnsi" w:cstheme="minorHAnsi"/>
        </w:rPr>
        <w:t xml:space="preserve"> </w:t>
      </w:r>
      <w:proofErr w:type="spellStart"/>
      <w:r w:rsidRPr="00CD05D7">
        <w:rPr>
          <w:rFonts w:asciiTheme="minorHAnsi" w:hAnsiTheme="minorHAnsi" w:cstheme="minorHAnsi"/>
        </w:rPr>
        <w:t>Hypothekenbank</w:t>
      </w:r>
      <w:proofErr w:type="spellEnd"/>
      <w:r w:rsidRPr="00CD05D7">
        <w:rPr>
          <w:rFonts w:asciiTheme="minorHAnsi" w:hAnsiTheme="minorHAnsi" w:cstheme="minorHAnsi"/>
        </w:rPr>
        <w:t xml:space="preserve"> can be derecognized (in accordance with IAS 39), whereas receivables sold to the company’s finance company cannot. Presumably, not all risks and rewards of the latter receivables were transferred. </w:t>
      </w:r>
    </w:p>
    <w:p w14:paraId="2878DC14" w14:textId="77777777" w:rsidR="00B12CE9" w:rsidRPr="00CD05D7" w:rsidRDefault="00B12CE9" w:rsidP="00B12CE9">
      <w:pPr>
        <w:ind w:firstLine="720"/>
        <w:rPr>
          <w:rFonts w:asciiTheme="minorHAnsi" w:hAnsiTheme="minorHAnsi" w:cstheme="minorHAnsi"/>
        </w:rPr>
      </w:pPr>
      <w:r w:rsidRPr="00CD05D7">
        <w:rPr>
          <w:rFonts w:asciiTheme="minorHAnsi" w:hAnsiTheme="minorHAnsi" w:cstheme="minorHAnsi"/>
        </w:rPr>
        <w:t xml:space="preserve">In 2005, </w:t>
      </w:r>
      <w:proofErr w:type="spellStart"/>
      <w:r w:rsidRPr="00CD05D7">
        <w:rPr>
          <w:rFonts w:asciiTheme="minorHAnsi" w:hAnsiTheme="minorHAnsi" w:cstheme="minorHAnsi"/>
        </w:rPr>
        <w:t>Karstadt</w:t>
      </w:r>
      <w:proofErr w:type="spellEnd"/>
      <w:r w:rsidRPr="00CD05D7">
        <w:rPr>
          <w:rFonts w:asciiTheme="minorHAnsi" w:hAnsiTheme="minorHAnsi" w:cstheme="minorHAnsi"/>
        </w:rPr>
        <w:t xml:space="preserve"> </w:t>
      </w:r>
      <w:proofErr w:type="spellStart"/>
      <w:r w:rsidRPr="00CD05D7">
        <w:rPr>
          <w:rFonts w:asciiTheme="minorHAnsi" w:hAnsiTheme="minorHAnsi" w:cstheme="minorHAnsi"/>
        </w:rPr>
        <w:t>Hypothekenbank</w:t>
      </w:r>
      <w:proofErr w:type="spellEnd"/>
      <w:r w:rsidRPr="00CD05D7">
        <w:rPr>
          <w:rFonts w:asciiTheme="minorHAnsi" w:hAnsiTheme="minorHAnsi" w:cstheme="minorHAnsi"/>
        </w:rPr>
        <w:t xml:space="preserve"> purchased from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finance </w:t>
      </w:r>
      <w:proofErr w:type="gramStart"/>
      <w:r w:rsidRPr="00CD05D7">
        <w:rPr>
          <w:rFonts w:asciiTheme="minorHAnsi" w:hAnsiTheme="minorHAnsi" w:cstheme="minorHAnsi"/>
        </w:rPr>
        <w:t>companies</w:t>
      </w:r>
      <w:proofErr w:type="gramEnd"/>
      <w:r w:rsidRPr="00CD05D7">
        <w:rPr>
          <w:rFonts w:asciiTheme="minorHAnsi" w:hAnsiTheme="minorHAnsi" w:cstheme="minorHAnsi"/>
        </w:rPr>
        <w:t xml:space="preserve"> receivables (for an amount of €613 million) that these finance companies previously had purchased from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and had financed by issuing in asset-backed securities. Consequently, the company deconsolidated these receivables.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reports that it has set aside provisions for the collection risk of sold receivables that the company assumes. A point of attention for the analyst would be whether the provisions set aside are sufficient. Given that only a minor fraction of the sold receivables will still be outstanding at the end of fiscal 2006, the transaction with </w:t>
      </w:r>
      <w:proofErr w:type="spellStart"/>
      <w:r w:rsidRPr="00CD05D7">
        <w:rPr>
          <w:rFonts w:asciiTheme="minorHAnsi" w:hAnsiTheme="minorHAnsi" w:cstheme="minorHAnsi"/>
        </w:rPr>
        <w:t>Karstadt</w:t>
      </w:r>
      <w:proofErr w:type="spellEnd"/>
      <w:r w:rsidRPr="00CD05D7">
        <w:rPr>
          <w:rFonts w:asciiTheme="minorHAnsi" w:hAnsiTheme="minorHAnsi" w:cstheme="minorHAnsi"/>
        </w:rPr>
        <w:t xml:space="preserve"> </w:t>
      </w:r>
      <w:proofErr w:type="spellStart"/>
      <w:r w:rsidRPr="00CD05D7">
        <w:rPr>
          <w:rFonts w:asciiTheme="minorHAnsi" w:hAnsiTheme="minorHAnsi" w:cstheme="minorHAnsi"/>
        </w:rPr>
        <w:t>Hypothekenbank</w:t>
      </w:r>
      <w:proofErr w:type="spellEnd"/>
      <w:r w:rsidRPr="00CD05D7">
        <w:rPr>
          <w:rFonts w:asciiTheme="minorHAnsi" w:hAnsiTheme="minorHAnsi" w:cstheme="minorHAnsi"/>
        </w:rPr>
        <w:t xml:space="preserve"> is, however, not likely to have a significant impact on the analysts’ assessment of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creditworthiness.</w:t>
      </w:r>
    </w:p>
    <w:p w14:paraId="3F9FA45D" w14:textId="77777777" w:rsidR="00B12CE9" w:rsidRPr="00CD05D7" w:rsidRDefault="00B12CE9" w:rsidP="00B12CE9">
      <w:pPr>
        <w:rPr>
          <w:rFonts w:asciiTheme="minorHAnsi" w:hAnsiTheme="minorHAnsi" w:cstheme="minorHAnsi"/>
        </w:rPr>
      </w:pPr>
    </w:p>
    <w:p w14:paraId="6A7146FE" w14:textId="77777777" w:rsidR="00B12CE9" w:rsidRPr="00CD05D7" w:rsidRDefault="00B12CE9" w:rsidP="00B12CE9">
      <w:pPr>
        <w:rPr>
          <w:rFonts w:asciiTheme="minorHAnsi" w:hAnsiTheme="minorHAnsi" w:cstheme="minorHAnsi"/>
        </w:rPr>
      </w:pPr>
      <w:r w:rsidRPr="00CD05D7">
        <w:rPr>
          <w:rFonts w:asciiTheme="minorHAnsi" w:hAnsiTheme="minorHAnsi" w:cstheme="minorHAnsi"/>
        </w:rPr>
        <w:tab/>
      </w:r>
      <w:r w:rsidRPr="00CD05D7">
        <w:rPr>
          <w:rFonts w:asciiTheme="minorHAnsi" w:hAnsiTheme="minorHAnsi" w:cstheme="minorHAnsi"/>
          <w:i/>
        </w:rPr>
        <w:t>Operating leases.</w:t>
      </w:r>
      <w:r w:rsidRPr="00CD05D7">
        <w:rPr>
          <w:rFonts w:asciiTheme="minorHAnsi" w:hAnsiTheme="minorHAnsi" w:cstheme="minorHAnsi"/>
        </w:rPr>
        <w:t xml:space="preserve">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has purchased aircraft under operating lease agreements. The net present value of the contractual operating lease payments equals €1,749 million on </w:t>
      </w:r>
      <w:smartTag w:uri="urn:schemas-microsoft-com:office:smarttags" w:element="date">
        <w:smartTagPr>
          <w:attr w:name="Year" w:val="2005"/>
          <w:attr w:name="Day" w:val="31"/>
          <w:attr w:name="Month" w:val="12"/>
        </w:smartTagPr>
        <w:r w:rsidRPr="00CD05D7">
          <w:rPr>
            <w:rFonts w:asciiTheme="minorHAnsi" w:hAnsiTheme="minorHAnsi" w:cstheme="minorHAnsi"/>
          </w:rPr>
          <w:t>December 31, 2005</w:t>
        </w:r>
      </w:smartTag>
      <w:r w:rsidRPr="00CD05D7">
        <w:rPr>
          <w:rFonts w:asciiTheme="minorHAnsi" w:hAnsiTheme="minorHAnsi" w:cstheme="minorHAnsi"/>
        </w:rPr>
        <w:t xml:space="preserve">. An amount of €332 million is current; €1,417 million is non-current. The obligation arising from operating leases is not recognized on the company’s balance sheet but does represent a financial obligation. In addition, the distinction between operating and capital leases is somewhat arbitrary. When analyzing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creditworthiness it is therefore advisable that the net present value of operating leases is recognized on the company’s balance sheet as a lease liability (€1,417m non-current; €332m current) and that the same amount is recognized as a non-current tangible asset. The recognition of the operating lease obligation also affects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interest expense. Exhibit TN-1 shows that the interest rate that is implicit in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operating lease payments is approximately 6.6 percent. Using this interest rate, the interest expense from operating leases (if recognized) would be €104.6 million (6.6% x 1,417 + [343.4 – 332.3]). Note that earnings before interest would also increase by €104.6 million because the recognition of operating leases would reduce operating expenses (by an amount of – operating lease payments + depreciation on operating leases ≈ interest expense from operating leases).</w:t>
      </w:r>
    </w:p>
    <w:p w14:paraId="16BD7BDB" w14:textId="77777777" w:rsidR="00B12CE9" w:rsidRPr="00CD05D7" w:rsidRDefault="00B12CE9" w:rsidP="00B12CE9">
      <w:pPr>
        <w:rPr>
          <w:rFonts w:asciiTheme="minorHAnsi" w:hAnsiTheme="minorHAnsi" w:cstheme="minorHAnsi"/>
        </w:rPr>
      </w:pPr>
      <w:r w:rsidRPr="00CD05D7">
        <w:rPr>
          <w:rFonts w:asciiTheme="minorHAnsi" w:hAnsiTheme="minorHAnsi" w:cstheme="minorHAnsi"/>
        </w:rPr>
        <w:lastRenderedPageBreak/>
        <w:tab/>
        <w:t xml:space="preserve">Under the (simplifying) assumptions that (1) interest on lease obligations can be split evenly between the first and the second half of the year, (2) lease payments are made throughout the year, and (3)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does not engage in new operating leases in 2006, </w:t>
      </w:r>
      <w:r w:rsidR="00260B72" w:rsidRPr="00CD05D7">
        <w:rPr>
          <w:rFonts w:asciiTheme="minorHAnsi" w:hAnsiTheme="minorHAnsi" w:cstheme="minorHAnsi"/>
        </w:rPr>
        <w:t xml:space="preserve">on June 30, 2006 </w:t>
      </w:r>
      <w:r w:rsidRPr="00CD05D7">
        <w:rPr>
          <w:rFonts w:asciiTheme="minorHAnsi" w:hAnsiTheme="minorHAnsi" w:cstheme="minorHAnsi"/>
        </w:rPr>
        <w:t>the (operating) lease liability has a carrying value of €1,635 million (1,749 + (6.6% x 1,417)/2 + [343.4 – 332.3]/2 – 343.4/2), of which approximately €166 million (343.4/2 - [343.4 – 332.3]/2) is current (hence, €1,469 is non-current).</w:t>
      </w:r>
    </w:p>
    <w:p w14:paraId="7E454484" w14:textId="77777777" w:rsidR="00B12CE9" w:rsidRPr="00CD05D7" w:rsidRDefault="00B12CE9" w:rsidP="00B12CE9">
      <w:pPr>
        <w:rPr>
          <w:rFonts w:asciiTheme="minorHAnsi" w:hAnsiTheme="minorHAnsi" w:cstheme="minorHAnsi"/>
        </w:rPr>
      </w:pPr>
    </w:p>
    <w:p w14:paraId="4262727D" w14:textId="77777777" w:rsidR="00B12CE9" w:rsidRPr="00CD05D7" w:rsidRDefault="00B12CE9" w:rsidP="00B12CE9">
      <w:pPr>
        <w:ind w:firstLine="720"/>
        <w:rPr>
          <w:rFonts w:asciiTheme="minorHAnsi" w:hAnsiTheme="minorHAnsi" w:cstheme="minorHAnsi"/>
        </w:rPr>
      </w:pPr>
      <w:r w:rsidRPr="00CD05D7">
        <w:rPr>
          <w:rFonts w:asciiTheme="minorHAnsi" w:hAnsiTheme="minorHAnsi" w:cstheme="minorHAnsi"/>
          <w:i/>
        </w:rPr>
        <w:t>Sale and leaseback transaction.</w:t>
      </w:r>
      <w:r w:rsidRPr="00CD05D7">
        <w:rPr>
          <w:rFonts w:asciiTheme="minorHAnsi" w:hAnsiTheme="minorHAnsi" w:cstheme="minorHAnsi"/>
        </w:rPr>
        <w:t xml:space="preserve"> In 2006,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entered into a sale and leaseback agreement with an entity that was jointly owned by the company (49%) and the Whitehall Fund (51%). This transaction involved the sale of property, plant and equipment for an amount of €4.5 billion. The first payment of €2.7 billion would be made on </w:t>
      </w:r>
      <w:smartTag w:uri="urn:schemas-microsoft-com:office:smarttags" w:element="date">
        <w:smartTagPr>
          <w:attr w:name="Year" w:val="2006"/>
          <w:attr w:name="Day" w:val="3"/>
          <w:attr w:name="Month" w:val="7"/>
        </w:smartTagPr>
        <w:r w:rsidRPr="00CD05D7">
          <w:rPr>
            <w:rFonts w:asciiTheme="minorHAnsi" w:hAnsiTheme="minorHAnsi" w:cstheme="minorHAnsi"/>
          </w:rPr>
          <w:t>July 3, 2006</w:t>
        </w:r>
      </w:smartTag>
      <w:r w:rsidRPr="00CD05D7">
        <w:rPr>
          <w:rFonts w:asciiTheme="minorHAnsi" w:hAnsiTheme="minorHAnsi" w:cstheme="minorHAnsi"/>
        </w:rPr>
        <w:t xml:space="preserve">. The first phase of the transaction (which included the first payment) had roughly the following effects on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balance sheet for the half year ending on </w:t>
      </w:r>
      <w:smartTag w:uri="urn:schemas-microsoft-com:office:smarttags" w:element="date">
        <w:smartTagPr>
          <w:attr w:name="Year" w:val="2006"/>
          <w:attr w:name="Day" w:val="30"/>
          <w:attr w:name="Month" w:val="6"/>
        </w:smartTagPr>
        <w:r w:rsidRPr="00CD05D7">
          <w:rPr>
            <w:rFonts w:asciiTheme="minorHAnsi" w:hAnsiTheme="minorHAnsi" w:cstheme="minorHAnsi"/>
          </w:rPr>
          <w:t>June 30, 2006</w:t>
        </w:r>
      </w:smartTag>
      <w:r w:rsidRPr="00CD05D7">
        <w:rPr>
          <w:rFonts w:asciiTheme="minorHAnsi" w:hAnsiTheme="minorHAnsi" w:cstheme="minorHAnsi"/>
        </w:rPr>
        <w:t>:</w:t>
      </w:r>
    </w:p>
    <w:p w14:paraId="55CF0D09"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The company recognized a receivable of €2.7 billion on its balance sheet;</w:t>
      </w:r>
    </w:p>
    <w:p w14:paraId="0333F421"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 xml:space="preserve">The company recognized non-operating gains on the disposal of non-current assets, amounting to approximately €900 million (which is, presumably, equal to 51 percent the difference between the book value of the assets sold and leaseback and the first payment; note that 49% of the profit on disposal is eliminated because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owns 49% of the joint venture’s equity).</w:t>
      </w:r>
    </w:p>
    <w:p w14:paraId="7B295201"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The company reduced the book value of non-current tangible assets by approximately €1 billion (2.7 – 0.9/0.51).</w:t>
      </w:r>
    </w:p>
    <w:p w14:paraId="7B3BDD29" w14:textId="77777777" w:rsidR="00B12CE9" w:rsidRPr="00CD05D7" w:rsidRDefault="00B12CE9" w:rsidP="00B12CE9">
      <w:pPr>
        <w:rPr>
          <w:rFonts w:asciiTheme="minorHAnsi" w:hAnsiTheme="minorHAnsi" w:cstheme="minorHAnsi"/>
        </w:rPr>
      </w:pPr>
      <w:r w:rsidRPr="00CD05D7">
        <w:rPr>
          <w:rFonts w:asciiTheme="minorHAnsi" w:hAnsiTheme="minorHAnsi" w:cstheme="minorHAnsi"/>
        </w:rPr>
        <w:t xml:space="preserve">Management’s claim that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is almost debt-free suggests that it plans to use the proceeds from the transaction to pay-off (current) financial liabilities, thereby reducing net debt. (Note that it is possible for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to treat the lease as an operating lease because the real estate is likely to have a useful life than is substantially longer than the contractually agreed lease period.) </w:t>
      </w:r>
    </w:p>
    <w:p w14:paraId="42A054EC" w14:textId="77777777" w:rsidR="00B12CE9" w:rsidRPr="00CD05D7" w:rsidRDefault="00B12CE9" w:rsidP="00B12CE9">
      <w:pPr>
        <w:ind w:firstLine="720"/>
        <w:rPr>
          <w:rFonts w:asciiTheme="minorHAnsi" w:hAnsiTheme="minorHAnsi" w:cstheme="minorHAnsi"/>
        </w:rPr>
      </w:pPr>
      <w:r w:rsidRPr="00CD05D7">
        <w:rPr>
          <w:rFonts w:asciiTheme="minorHAnsi" w:hAnsiTheme="minorHAnsi" w:cstheme="minorHAnsi"/>
        </w:rPr>
        <w:t xml:space="preserve">Implicit in the transaction is the company’s commitment to lease back the non-current tangible assets. To get a good view of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financial obligations it is therefore better to recognize the net present value of the real estate lease obligation as a lease liability on the balance sheet. Effectively, this would imply that (part of) the “purchase price receivable from real estate transaction” would be reclassified as non-current tangible assets and an equal amount of current liabilities would be reclassified as non-current (reflecting that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uses the proceeds to pay-off non-current obligations). Because the present value of the future real estate lease payments is not disclosed in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interim report, the credit analyst must make an assumption about the size of the lease obligation. Given that the company classifies the lease as an operating lease, the present value of the future lease payments is likely to be lower than the fair value of the real estate (which is assumed to be equal to the payment). However, for reasons of simplicity (and given that the present value of the minimum lease payments is likely to be at least close to the fair value of the real estate), we assume that the present value of the future lease payments is equal to the receivable of €2.7 billion.</w:t>
      </w:r>
    </w:p>
    <w:p w14:paraId="1BE6B249" w14:textId="77777777" w:rsidR="00B12CE9" w:rsidRPr="00CD05D7" w:rsidRDefault="00B12CE9" w:rsidP="00B12CE9">
      <w:pPr>
        <w:rPr>
          <w:rFonts w:asciiTheme="minorHAnsi" w:hAnsiTheme="minorHAnsi" w:cstheme="minorHAnsi"/>
        </w:rPr>
      </w:pPr>
    </w:p>
    <w:p w14:paraId="7C52581B" w14:textId="77777777" w:rsidR="00B12CE9" w:rsidRPr="00CD05D7" w:rsidRDefault="00B12CE9" w:rsidP="00B12CE9">
      <w:pPr>
        <w:ind w:firstLine="720"/>
        <w:rPr>
          <w:rFonts w:asciiTheme="minorHAnsi" w:hAnsiTheme="minorHAnsi" w:cstheme="minorHAnsi"/>
        </w:rPr>
      </w:pPr>
      <w:r w:rsidRPr="00CD05D7">
        <w:rPr>
          <w:rFonts w:asciiTheme="minorHAnsi" w:hAnsiTheme="minorHAnsi" w:cstheme="minorHAnsi"/>
          <w:i/>
        </w:rPr>
        <w:t>Pension obligations.</w:t>
      </w:r>
      <w:r w:rsidRPr="00CD05D7">
        <w:rPr>
          <w:rFonts w:asciiTheme="minorHAnsi" w:hAnsiTheme="minorHAnsi" w:cstheme="minorHAnsi"/>
        </w:rPr>
        <w:t xml:space="preserve"> At the end of 2005, the present value of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future pension commitments equaled €2,585 million. The fair value of the company’s plan assets amounted to only €1,485. </w:t>
      </w:r>
      <w:r w:rsidR="00EC6677" w:rsidRPr="00CD05D7">
        <w:rPr>
          <w:rFonts w:asciiTheme="minorHAnsi" w:hAnsiTheme="minorHAnsi" w:cstheme="minorHAnsi"/>
        </w:rPr>
        <w:t xml:space="preserve">It is common for German companies that </w:t>
      </w:r>
      <w:r w:rsidRPr="00CD05D7">
        <w:rPr>
          <w:rFonts w:asciiTheme="minorHAnsi" w:hAnsiTheme="minorHAnsi" w:cstheme="minorHAnsi"/>
        </w:rPr>
        <w:t xml:space="preserve">the fair value of </w:t>
      </w:r>
      <w:r w:rsidR="00EC6677" w:rsidRPr="00CD05D7">
        <w:rPr>
          <w:rFonts w:asciiTheme="minorHAnsi" w:hAnsiTheme="minorHAnsi" w:cstheme="minorHAnsi"/>
        </w:rPr>
        <w:t xml:space="preserve">their </w:t>
      </w:r>
      <w:r w:rsidRPr="00CD05D7">
        <w:rPr>
          <w:rFonts w:asciiTheme="minorHAnsi" w:hAnsiTheme="minorHAnsi" w:cstheme="minorHAnsi"/>
        </w:rPr>
        <w:t>pension plan assets is substantially below the present value of future pension commitments</w:t>
      </w:r>
      <w:r w:rsidR="00EC6677" w:rsidRPr="00CD05D7">
        <w:rPr>
          <w:rFonts w:asciiTheme="minorHAnsi" w:hAnsiTheme="minorHAnsi" w:cstheme="minorHAnsi"/>
        </w:rPr>
        <w:t>. This is so because they</w:t>
      </w:r>
      <w:r w:rsidRPr="00CD05D7">
        <w:rPr>
          <w:rFonts w:asciiTheme="minorHAnsi" w:hAnsiTheme="minorHAnsi" w:cstheme="minorHAnsi"/>
        </w:rPr>
        <w:t xml:space="preserve"> typically do not fund all commitments but use a part of their pension obligation to finance operations. The difference between the present value of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pension commitments and the fair value of its plan asset represents the company’s pension liability (the amount that is still to be funded). However, at the end of 2005, only €909 million was recognized on the company’s balance sheet. An amount of €190 million remained off-balance (unrecognized actuarial gains/losses and unrecognized past service costs). When analyzing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creditworthiness it is advisable that the amount of €190 million is recognized on the company’s balance sheet as a pension liability. The recognition of this amount would not affect the company’s interest expense because the interest expense from pension obligation is already based on the present value of all future pension commitments.</w:t>
      </w:r>
    </w:p>
    <w:p w14:paraId="7E0B0FD9" w14:textId="77777777" w:rsidR="00B12CE9" w:rsidRPr="00CD05D7" w:rsidRDefault="00B12CE9" w:rsidP="00B12CE9">
      <w:pPr>
        <w:ind w:firstLine="720"/>
        <w:rPr>
          <w:rFonts w:asciiTheme="minorHAnsi" w:hAnsiTheme="minorHAnsi" w:cstheme="minorHAnsi"/>
        </w:rPr>
      </w:pPr>
      <w:r w:rsidRPr="00CD05D7">
        <w:rPr>
          <w:rFonts w:asciiTheme="minorHAnsi" w:hAnsiTheme="minorHAnsi" w:cstheme="minorHAnsi"/>
        </w:rPr>
        <w:t xml:space="preserve">Like most other European companies,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provides no detailed information about its pensions in its interim financial reports. At the end of the first half of 2006, the analyst can therefore only assume that the off-balance sheet liability has not changed since December 2005.</w:t>
      </w:r>
    </w:p>
    <w:p w14:paraId="096BE468" w14:textId="77777777" w:rsidR="00B12CE9" w:rsidRPr="00CD05D7" w:rsidRDefault="00B12CE9" w:rsidP="00B12CE9">
      <w:pPr>
        <w:rPr>
          <w:rFonts w:asciiTheme="minorHAnsi" w:hAnsiTheme="minorHAnsi" w:cstheme="minorHAnsi"/>
        </w:rPr>
      </w:pPr>
    </w:p>
    <w:p w14:paraId="0B2624E7" w14:textId="77777777" w:rsidR="00B12CE9" w:rsidRPr="00CD05D7" w:rsidRDefault="00B12CE9" w:rsidP="00B12CE9">
      <w:pPr>
        <w:rPr>
          <w:rFonts w:asciiTheme="minorHAnsi" w:hAnsiTheme="minorHAnsi" w:cstheme="minorHAnsi"/>
          <w:i/>
        </w:rPr>
      </w:pPr>
      <w:r w:rsidRPr="00CD05D7">
        <w:rPr>
          <w:rFonts w:asciiTheme="minorHAnsi" w:hAnsiTheme="minorHAnsi" w:cstheme="minorHAnsi"/>
          <w:i/>
        </w:rPr>
        <w:t>Expected near-term changes in profitability</w:t>
      </w:r>
    </w:p>
    <w:p w14:paraId="51627175" w14:textId="77777777" w:rsidR="00B12CE9" w:rsidRPr="00CD05D7" w:rsidRDefault="00B12CE9" w:rsidP="00B12CE9">
      <w:pPr>
        <w:numPr>
          <w:ilvl w:val="0"/>
          <w:numId w:val="1"/>
        </w:numPr>
        <w:rPr>
          <w:rFonts w:asciiTheme="minorHAnsi" w:hAnsiTheme="minorHAnsi" w:cstheme="minorHAnsi"/>
        </w:rPr>
      </w:pP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sales decreased by 7.9 percent between 2004 and 2005 ([15,845m / 17,199m] – 1). Between the first half of 2005 and the first half of 2006 the company’s sales decreased by 9.7 percent ([6,474m / 7,166m] – 1). During 2005,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has undertaken several measures to improve its profitability. Part of the decrease in sales can be attributed to the company’s divestments of smaller department stores and specialty store chains and will, therefore, not sustain in the second half of 2006. If the company’s renewed focus in the mail order segment and reorientation of the group start to yield results in the second half of 2006, as management expects, the sales decline should come to a stop. If so, sales for the fiscal year 2006 would not be less than 90 percent of fiscal 2005 sales.</w:t>
      </w:r>
    </w:p>
    <w:p w14:paraId="48A7708B"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 xml:space="preserve">The cash flow statement reveals that a substantial amount of non-operating gains is included in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net profits for 2005 and the first half of 2006. In particular, the company is able to boost net profits, especially in the first half of 2006, as a result of the profits it earns on the disposal of fixed assets (€900 million, see above). Since these gains are the result of a one-time event, they are not related to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future cash flow generating ability and should, therefore, be excluded from net profit when analyzing the company’s creditworthiness.</w:t>
      </w:r>
    </w:p>
    <w:p w14:paraId="5A955292" w14:textId="77777777" w:rsidR="00B12CE9" w:rsidRPr="00CD05D7" w:rsidRDefault="00B12CE9" w:rsidP="00B12CE9">
      <w:pPr>
        <w:ind w:left="720"/>
        <w:rPr>
          <w:rFonts w:asciiTheme="minorHAnsi" w:hAnsiTheme="minorHAnsi" w:cstheme="minorHAnsi"/>
        </w:rPr>
      </w:pPr>
      <w:r w:rsidRPr="00CD05D7">
        <w:rPr>
          <w:rFonts w:asciiTheme="minorHAnsi" w:hAnsiTheme="minorHAnsi" w:cstheme="minorHAnsi"/>
        </w:rPr>
        <w:lastRenderedPageBreak/>
        <w:t>Similarly, the company’s operating expenses in fiscal 2005 include restructuring expenses. The cash flow statement indicates, however, that during the first half of 2006, the company decreased its restructuring provision.</w:t>
      </w:r>
    </w:p>
    <w:p w14:paraId="2D8D8F38" w14:textId="77777777" w:rsidR="008D26C5" w:rsidRPr="00CD05D7" w:rsidRDefault="008D26C5" w:rsidP="008D26C5">
      <w:pPr>
        <w:numPr>
          <w:ilvl w:val="0"/>
          <w:numId w:val="1"/>
        </w:numPr>
        <w:rPr>
          <w:rFonts w:asciiTheme="minorHAnsi" w:hAnsiTheme="minorHAnsi" w:cstheme="minorHAnsi"/>
        </w:rPr>
      </w:pPr>
      <w:r w:rsidRPr="00CD05D7">
        <w:rPr>
          <w:rFonts w:asciiTheme="minorHAnsi" w:hAnsiTheme="minorHAnsi" w:cstheme="minorHAnsi"/>
        </w:rPr>
        <w:t xml:space="preserve">In fiscal years 2004 and 2005,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reported pre-tax losses of -€1.433 billion and -€314 million, respectively. The effective tax rates in these two years were only 12.4 and 20.5 percent, respectively—much less than the company’s statutory tax rate of 39 percent. The most obvious explanation for the relatively low effective tax rates during these two loss years is that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management expected that the company would not be able to make use of the full amount of its tax loss carryforwards. The IFRS require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to recognize deferred tax assets only for the realizable portion of its tax loss carryforwards. In the first half year of 2006,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reported a pre-tax profit of €365,463, primarily because of the profit on the sale of the company’s real estate. Despite being profitable during this period,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recognized a tax benefit of €194,500. This was because the profit on the sale of the real estate helped </w:t>
      </w:r>
      <w:r w:rsidR="006B58B5" w:rsidRPr="00CD05D7">
        <w:rPr>
          <w:rFonts w:asciiTheme="minorHAnsi" w:hAnsiTheme="minorHAnsi" w:cstheme="minorHAnsi"/>
        </w:rPr>
        <w:t>management</w:t>
      </w:r>
      <w:r w:rsidRPr="00CD05D7">
        <w:rPr>
          <w:rFonts w:asciiTheme="minorHAnsi" w:hAnsiTheme="minorHAnsi" w:cstheme="minorHAnsi"/>
        </w:rPr>
        <w:t xml:space="preserve"> to realize tax l</w:t>
      </w:r>
      <w:r w:rsidR="006B58B5" w:rsidRPr="00CD05D7">
        <w:rPr>
          <w:rFonts w:asciiTheme="minorHAnsi" w:hAnsiTheme="minorHAnsi" w:cstheme="minorHAnsi"/>
        </w:rPr>
        <w:t>oss carryforwards that i</w:t>
      </w:r>
      <w:r w:rsidRPr="00CD05D7">
        <w:rPr>
          <w:rFonts w:asciiTheme="minorHAnsi" w:hAnsiTheme="minorHAnsi" w:cstheme="minorHAnsi"/>
        </w:rPr>
        <w:t xml:space="preserve">t previously considered unrealizable. In its interim statement,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reported:</w:t>
      </w:r>
    </w:p>
    <w:p w14:paraId="2ABC2B91" w14:textId="77777777" w:rsidR="008D26C5" w:rsidRPr="00CD05D7" w:rsidRDefault="008D26C5" w:rsidP="008D26C5">
      <w:pPr>
        <w:ind w:left="1440"/>
        <w:rPr>
          <w:rFonts w:asciiTheme="minorHAnsi" w:hAnsiTheme="minorHAnsi" w:cstheme="minorHAnsi"/>
        </w:rPr>
      </w:pPr>
      <w:r w:rsidRPr="00CD05D7">
        <w:rPr>
          <w:rFonts w:asciiTheme="minorHAnsi" w:hAnsiTheme="minorHAnsi" w:cstheme="minorHAnsi"/>
        </w:rPr>
        <w:t>“Because of the real estate transaction the assessment changes with regard to the recoverability of deferred tax assets on tax loss carry-forwards. As a result allowances for deferred tax assets amounting to €290 million were released.”</w:t>
      </w:r>
    </w:p>
    <w:p w14:paraId="0FE01373" w14:textId="77777777" w:rsidR="008D26C5" w:rsidRPr="00CD05D7" w:rsidRDefault="007B5047" w:rsidP="008D26C5">
      <w:pPr>
        <w:ind w:left="720"/>
        <w:rPr>
          <w:rFonts w:asciiTheme="minorHAnsi" w:hAnsiTheme="minorHAnsi" w:cstheme="minorHAnsi"/>
        </w:rPr>
      </w:pPr>
      <w:r w:rsidRPr="00CD05D7">
        <w:rPr>
          <w:rFonts w:asciiTheme="minorHAnsi" w:hAnsiTheme="minorHAnsi" w:cstheme="minorHAnsi"/>
        </w:rPr>
        <w:t xml:space="preserve">Hence, </w:t>
      </w:r>
      <w:r w:rsidR="008D26C5" w:rsidRPr="00CD05D7">
        <w:rPr>
          <w:rFonts w:asciiTheme="minorHAnsi" w:hAnsiTheme="minorHAnsi" w:cstheme="minorHAnsi"/>
        </w:rPr>
        <w:t xml:space="preserve">€290 million of </w:t>
      </w:r>
      <w:proofErr w:type="spellStart"/>
      <w:r w:rsidR="008D26C5" w:rsidRPr="00CD05D7">
        <w:rPr>
          <w:rFonts w:asciiTheme="minorHAnsi" w:hAnsiTheme="minorHAnsi" w:cstheme="minorHAnsi"/>
        </w:rPr>
        <w:t>KarstadtQuelle’s</w:t>
      </w:r>
      <w:proofErr w:type="spellEnd"/>
      <w:r w:rsidR="008D26C5" w:rsidRPr="00CD05D7">
        <w:rPr>
          <w:rFonts w:asciiTheme="minorHAnsi" w:hAnsiTheme="minorHAnsi" w:cstheme="minorHAnsi"/>
        </w:rPr>
        <w:t xml:space="preserve"> net profit for the first half of 2006 is incidental/temporary. </w:t>
      </w:r>
      <w:r w:rsidRPr="00CD05D7">
        <w:rPr>
          <w:rFonts w:asciiTheme="minorHAnsi" w:hAnsiTheme="minorHAnsi" w:cstheme="minorHAnsi"/>
        </w:rPr>
        <w:t>In addition, i</w:t>
      </w:r>
      <w:r w:rsidR="008D26C5" w:rsidRPr="00CD05D7">
        <w:rPr>
          <w:rFonts w:asciiTheme="minorHAnsi" w:hAnsiTheme="minorHAnsi" w:cstheme="minorHAnsi"/>
        </w:rPr>
        <w:t>t is likely that in the coming periods, if the company becomes profitable</w:t>
      </w:r>
      <w:r w:rsidRPr="00CD05D7">
        <w:rPr>
          <w:rFonts w:asciiTheme="minorHAnsi" w:hAnsiTheme="minorHAnsi" w:cstheme="minorHAnsi"/>
        </w:rPr>
        <w:t xml:space="preserve"> again</w:t>
      </w:r>
      <w:r w:rsidR="008D26C5" w:rsidRPr="00CD05D7">
        <w:rPr>
          <w:rFonts w:asciiTheme="minorHAnsi" w:hAnsiTheme="minorHAnsi" w:cstheme="minorHAnsi"/>
        </w:rPr>
        <w:t>, its tax expense will increase (i.e., move towards 39 percent of pre-tax</w:t>
      </w:r>
      <w:r w:rsidR="00DF46EA" w:rsidRPr="00CD05D7">
        <w:rPr>
          <w:rFonts w:asciiTheme="minorHAnsi" w:hAnsiTheme="minorHAnsi" w:cstheme="minorHAnsi"/>
        </w:rPr>
        <w:t xml:space="preserve"> profits</w:t>
      </w:r>
      <w:r w:rsidR="00066366" w:rsidRPr="00CD05D7">
        <w:rPr>
          <w:rFonts w:asciiTheme="minorHAnsi" w:hAnsiTheme="minorHAnsi" w:cstheme="minorHAnsi"/>
        </w:rPr>
        <w:t xml:space="preserve"> (statutory tax rate)</w:t>
      </w:r>
      <w:r w:rsidR="008D26C5" w:rsidRPr="00CD05D7">
        <w:rPr>
          <w:rFonts w:asciiTheme="minorHAnsi" w:hAnsiTheme="minorHAnsi" w:cstheme="minorHAnsi"/>
        </w:rPr>
        <w:t>).</w:t>
      </w:r>
    </w:p>
    <w:p w14:paraId="2256D7FB"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 xml:space="preserve">In 2005,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management announced that they expected to realize cost savings of €360 million in 2006. Assuming that these cost savings are gradually realized throughout the year, operating expenses as a percentage of sales in the first half of 2006 should already include these savings and, consequently, be predictive of the percentage in the second half. </w:t>
      </w:r>
    </w:p>
    <w:p w14:paraId="78A86A4F" w14:textId="77777777" w:rsidR="00B12CE9" w:rsidRPr="00CD05D7" w:rsidRDefault="00B12CE9" w:rsidP="00B12CE9">
      <w:pPr>
        <w:numPr>
          <w:ilvl w:val="0"/>
          <w:numId w:val="1"/>
        </w:numPr>
        <w:rPr>
          <w:rFonts w:asciiTheme="minorHAnsi" w:hAnsiTheme="minorHAnsi" w:cstheme="minorHAnsi"/>
        </w:rPr>
      </w:pP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management expects to be able to reduce cost of sales because of the cooperation with Li and Fung. The size of such a reduction is unknown.</w:t>
      </w:r>
    </w:p>
    <w:p w14:paraId="70034664" w14:textId="77777777" w:rsidR="00B12CE9" w:rsidRPr="00CD05D7" w:rsidRDefault="00B12CE9" w:rsidP="00B12CE9">
      <w:pPr>
        <w:rPr>
          <w:rFonts w:asciiTheme="minorHAnsi" w:hAnsiTheme="minorHAnsi" w:cstheme="minorHAnsi"/>
        </w:rPr>
      </w:pPr>
    </w:p>
    <w:p w14:paraId="48B06788" w14:textId="77777777" w:rsidR="00B12CE9" w:rsidRPr="00CD05D7" w:rsidRDefault="00B12CE9" w:rsidP="00B12CE9">
      <w:pPr>
        <w:rPr>
          <w:rFonts w:asciiTheme="minorHAnsi" w:hAnsiTheme="minorHAnsi" w:cstheme="minorHAnsi"/>
          <w:i/>
        </w:rPr>
      </w:pPr>
      <w:r w:rsidRPr="00CD05D7">
        <w:rPr>
          <w:rFonts w:asciiTheme="minorHAnsi" w:hAnsiTheme="minorHAnsi" w:cstheme="minorHAnsi"/>
          <w:i/>
        </w:rPr>
        <w:t>Expected near-term changes in leverage</w:t>
      </w:r>
    </w:p>
    <w:p w14:paraId="3280BA54" w14:textId="77777777" w:rsidR="00B12CE9" w:rsidRPr="00CD05D7" w:rsidRDefault="00B12CE9" w:rsidP="00B12CE9">
      <w:pPr>
        <w:numPr>
          <w:ilvl w:val="0"/>
          <w:numId w:val="1"/>
        </w:numPr>
        <w:rPr>
          <w:rFonts w:asciiTheme="minorHAnsi" w:hAnsiTheme="minorHAnsi" w:cstheme="minorHAnsi"/>
        </w:rPr>
      </w:pP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balance sheet for the half year ending on </w:t>
      </w:r>
      <w:smartTag w:uri="urn:schemas-microsoft-com:office:smarttags" w:element="date">
        <w:smartTagPr>
          <w:attr w:name="Year" w:val="2006"/>
          <w:attr w:name="Day" w:val="30"/>
          <w:attr w:name="Month" w:val="6"/>
        </w:smartTagPr>
        <w:r w:rsidRPr="00CD05D7">
          <w:rPr>
            <w:rFonts w:asciiTheme="minorHAnsi" w:hAnsiTheme="minorHAnsi" w:cstheme="minorHAnsi"/>
          </w:rPr>
          <w:t>June 30, 2006</w:t>
        </w:r>
      </w:smartTag>
      <w:r w:rsidRPr="00CD05D7">
        <w:rPr>
          <w:rFonts w:asciiTheme="minorHAnsi" w:hAnsiTheme="minorHAnsi" w:cstheme="minorHAnsi"/>
        </w:rPr>
        <w:t xml:space="preserve">, reports assets classified as held for sale for an amount of €482 million and liabilities from assets classified as held for sale for an amount of €31 million. If the company sells these assets, it can further reduce its financial obligations. For example, if the assets are sold for an amount that is equal to the assets’ current book value, the company receives €482 million, with which it can reduce current financial liabilities by €451 million (482 – 31). Given the current situation, it is likely that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will choose to use the proceeds to reduce debt; however, the value of the proceeds is uncertain.</w:t>
      </w:r>
    </w:p>
    <w:p w14:paraId="0F78EDE7" w14:textId="77777777" w:rsidR="00B12CE9" w:rsidRPr="00CD05D7" w:rsidRDefault="00B12CE9" w:rsidP="00B12CE9">
      <w:pPr>
        <w:numPr>
          <w:ilvl w:val="0"/>
          <w:numId w:val="1"/>
        </w:numPr>
        <w:rPr>
          <w:rFonts w:asciiTheme="minorHAnsi" w:hAnsiTheme="minorHAnsi" w:cstheme="minorHAnsi"/>
        </w:rPr>
      </w:pPr>
      <w:proofErr w:type="spellStart"/>
      <w:r w:rsidRPr="00CD05D7">
        <w:rPr>
          <w:rFonts w:asciiTheme="minorHAnsi" w:hAnsiTheme="minorHAnsi" w:cstheme="minorHAnsi"/>
        </w:rPr>
        <w:lastRenderedPageBreak/>
        <w:t>KarstadtQuelle’s</w:t>
      </w:r>
      <w:proofErr w:type="spellEnd"/>
      <w:r w:rsidRPr="00CD05D7">
        <w:rPr>
          <w:rFonts w:asciiTheme="minorHAnsi" w:hAnsiTheme="minorHAnsi" w:cstheme="minorHAnsi"/>
        </w:rPr>
        <w:t xml:space="preserve"> management expects to be able to reduce working capital by an amount of 500 million because of the cooperation with Li and Fung. This reduction in working capital would result in a reduction in net capital and, possibly, a reduction in net debt. Note, however, that this predicted reduction in working capital is still uncertain and will unlikely be incorporated in the analyst’s assessment of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creditworthiness.</w:t>
      </w:r>
    </w:p>
    <w:p w14:paraId="2D4B720A"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 xml:space="preserve">As explained above, the receipt of the second payment from the real estate transaction will </w:t>
      </w:r>
      <w:r w:rsidRPr="00CD05D7">
        <w:rPr>
          <w:rFonts w:asciiTheme="minorHAnsi" w:hAnsiTheme="minorHAnsi" w:cstheme="minorHAnsi"/>
          <w:i/>
        </w:rPr>
        <w:t xml:space="preserve">not </w:t>
      </w:r>
      <w:r w:rsidRPr="00CD05D7">
        <w:rPr>
          <w:rFonts w:asciiTheme="minorHAnsi" w:hAnsiTheme="minorHAnsi" w:cstheme="minorHAnsi"/>
        </w:rPr>
        <w:t>change the company’s leverage (if the credit analyst recognizes a lease liability for the real estate operating lease).</w:t>
      </w:r>
    </w:p>
    <w:p w14:paraId="4262A92C" w14:textId="77777777" w:rsidR="00B12CE9" w:rsidRPr="00CD05D7" w:rsidRDefault="00B12CE9" w:rsidP="00B12CE9">
      <w:pPr>
        <w:rPr>
          <w:rFonts w:asciiTheme="minorHAnsi" w:hAnsiTheme="minorHAnsi" w:cstheme="minorHAnsi"/>
        </w:rPr>
      </w:pPr>
    </w:p>
    <w:p w14:paraId="5E00D805" w14:textId="77777777" w:rsidR="00B12CE9" w:rsidRPr="00CD05D7" w:rsidRDefault="00B12CE9" w:rsidP="00B12CE9">
      <w:pPr>
        <w:rPr>
          <w:rFonts w:asciiTheme="minorHAnsi" w:hAnsiTheme="minorHAnsi" w:cstheme="minorHAnsi"/>
          <w:i/>
        </w:rPr>
      </w:pPr>
      <w:r w:rsidRPr="00CD05D7">
        <w:rPr>
          <w:rFonts w:asciiTheme="minorHAnsi" w:hAnsiTheme="minorHAnsi" w:cstheme="minorHAnsi"/>
          <w:i/>
        </w:rPr>
        <w:t>Summary</w:t>
      </w:r>
    </w:p>
    <w:p w14:paraId="616C2C41" w14:textId="77777777" w:rsidR="00B12CE9" w:rsidRPr="00CD05D7" w:rsidRDefault="00B12CE9" w:rsidP="00B12CE9">
      <w:pPr>
        <w:rPr>
          <w:rFonts w:asciiTheme="minorHAnsi" w:hAnsiTheme="minorHAnsi" w:cstheme="minorHAnsi"/>
        </w:rPr>
      </w:pPr>
      <w:r w:rsidRPr="00CD05D7">
        <w:rPr>
          <w:rFonts w:asciiTheme="minorHAnsi" w:hAnsiTheme="minorHAnsi" w:cstheme="minorHAnsi"/>
        </w:rPr>
        <w:t>In summary, the analyst’s report should pay attention to the following issues:</w:t>
      </w:r>
    </w:p>
    <w:p w14:paraId="0DEA9DCC" w14:textId="77777777" w:rsidR="00B12CE9" w:rsidRPr="00CD05D7" w:rsidRDefault="00B12CE9" w:rsidP="00B12CE9">
      <w:pPr>
        <w:numPr>
          <w:ilvl w:val="0"/>
          <w:numId w:val="4"/>
        </w:numPr>
        <w:rPr>
          <w:rFonts w:asciiTheme="minorHAnsi" w:hAnsiTheme="minorHAnsi" w:cstheme="minorHAnsi"/>
        </w:rPr>
      </w:pPr>
      <w:r w:rsidRPr="00CD05D7">
        <w:rPr>
          <w:rFonts w:asciiTheme="minorHAnsi" w:hAnsiTheme="minorHAnsi" w:cstheme="minorHAnsi"/>
        </w:rPr>
        <w:t>Creditworthiness is typically determined by (1) profitability, (2) leverage, (3) interest coverage, and (4) firm size.</w:t>
      </w:r>
    </w:p>
    <w:p w14:paraId="7CB448F6" w14:textId="77777777" w:rsidR="00B12CE9" w:rsidRPr="00CD05D7" w:rsidRDefault="00B12CE9" w:rsidP="00B12CE9">
      <w:pPr>
        <w:numPr>
          <w:ilvl w:val="0"/>
          <w:numId w:val="4"/>
        </w:numPr>
        <w:rPr>
          <w:rFonts w:asciiTheme="minorHAnsi" w:hAnsiTheme="minorHAnsi" w:cstheme="minorHAnsi"/>
        </w:rPr>
      </w:pPr>
      <w:r w:rsidRPr="00CD05D7">
        <w:rPr>
          <w:rFonts w:asciiTheme="minorHAnsi" w:hAnsiTheme="minorHAnsi" w:cstheme="minorHAnsi"/>
        </w:rPr>
        <w:t xml:space="preserve">The following accounting adjustments need to be made to the balance sheet of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on </w:t>
      </w:r>
      <w:smartTag w:uri="urn:schemas-microsoft-com:office:smarttags" w:element="date">
        <w:smartTagPr>
          <w:attr w:name="Year" w:val="2006"/>
          <w:attr w:name="Day" w:val="30"/>
          <w:attr w:name="Month" w:val="6"/>
        </w:smartTagPr>
        <w:r w:rsidRPr="00CD05D7">
          <w:rPr>
            <w:rFonts w:asciiTheme="minorHAnsi" w:hAnsiTheme="minorHAnsi" w:cstheme="minorHAnsi"/>
          </w:rPr>
          <w:t>June 30, 2006</w:t>
        </w:r>
      </w:smartTag>
      <w:r w:rsidRPr="00CD05D7">
        <w:rPr>
          <w:rFonts w:asciiTheme="minorHAnsi" w:hAnsiTheme="minorHAnsi" w:cstheme="minorHAnsi"/>
        </w:rPr>
        <w:t>:</w:t>
      </w:r>
    </w:p>
    <w:p w14:paraId="2B600BDD" w14:textId="77777777" w:rsidR="00B12CE9" w:rsidRPr="00CD05D7" w:rsidRDefault="00B12CE9" w:rsidP="00B12CE9">
      <w:pPr>
        <w:numPr>
          <w:ilvl w:val="1"/>
          <w:numId w:val="4"/>
        </w:numPr>
        <w:rPr>
          <w:rFonts w:asciiTheme="minorHAnsi" w:hAnsiTheme="minorHAnsi" w:cstheme="minorHAnsi"/>
        </w:rPr>
      </w:pPr>
      <w:r w:rsidRPr="00CD05D7">
        <w:rPr>
          <w:rFonts w:asciiTheme="minorHAnsi" w:hAnsiTheme="minorHAnsi" w:cstheme="minorHAnsi"/>
          <w:i/>
        </w:rPr>
        <w:t>Operating leases.</w:t>
      </w:r>
      <w:r w:rsidRPr="00CD05D7">
        <w:rPr>
          <w:rFonts w:asciiTheme="minorHAnsi" w:hAnsiTheme="minorHAnsi" w:cstheme="minorHAnsi"/>
        </w:rPr>
        <w:t xml:space="preserve"> Increase non-current liabilities by an amount of €1,469 million, current liabilities by €166 million and non-current assets by €1,635 million.</w:t>
      </w:r>
    </w:p>
    <w:p w14:paraId="1EB3F8ED" w14:textId="77777777" w:rsidR="00B12CE9" w:rsidRPr="00CD05D7" w:rsidRDefault="00B12CE9" w:rsidP="00B12CE9">
      <w:pPr>
        <w:numPr>
          <w:ilvl w:val="1"/>
          <w:numId w:val="4"/>
        </w:numPr>
        <w:rPr>
          <w:rFonts w:asciiTheme="minorHAnsi" w:hAnsiTheme="minorHAnsi" w:cstheme="minorHAnsi"/>
          <w:i/>
        </w:rPr>
      </w:pPr>
      <w:r w:rsidRPr="00CD05D7">
        <w:rPr>
          <w:rFonts w:asciiTheme="minorHAnsi" w:hAnsiTheme="minorHAnsi" w:cstheme="minorHAnsi"/>
          <w:i/>
        </w:rPr>
        <w:t xml:space="preserve">Sale and leaseback. </w:t>
      </w:r>
      <w:r w:rsidRPr="00CD05D7">
        <w:rPr>
          <w:rFonts w:asciiTheme="minorHAnsi" w:hAnsiTheme="minorHAnsi" w:cstheme="minorHAnsi"/>
        </w:rPr>
        <w:t xml:space="preserve">Increase non-current debt and non-current assets by an amount of €2,700 million. Decrease current debt </w:t>
      </w:r>
      <w:r w:rsidR="00F116AB" w:rsidRPr="00CD05D7">
        <w:rPr>
          <w:rFonts w:asciiTheme="minorHAnsi" w:hAnsiTheme="minorHAnsi" w:cstheme="minorHAnsi"/>
        </w:rPr>
        <w:t xml:space="preserve">and current assets </w:t>
      </w:r>
      <w:r w:rsidRPr="00CD05D7">
        <w:rPr>
          <w:rFonts w:asciiTheme="minorHAnsi" w:hAnsiTheme="minorHAnsi" w:cstheme="minorHAnsi"/>
        </w:rPr>
        <w:t>by the same amount.</w:t>
      </w:r>
    </w:p>
    <w:p w14:paraId="79615531" w14:textId="77777777" w:rsidR="00B12CE9" w:rsidRPr="00CD05D7" w:rsidRDefault="00B12CE9" w:rsidP="00B12CE9">
      <w:pPr>
        <w:numPr>
          <w:ilvl w:val="1"/>
          <w:numId w:val="4"/>
        </w:numPr>
        <w:rPr>
          <w:rFonts w:asciiTheme="minorHAnsi" w:hAnsiTheme="minorHAnsi" w:cstheme="minorHAnsi"/>
          <w:i/>
        </w:rPr>
      </w:pPr>
      <w:r w:rsidRPr="00CD05D7">
        <w:rPr>
          <w:rFonts w:asciiTheme="minorHAnsi" w:hAnsiTheme="minorHAnsi" w:cstheme="minorHAnsi"/>
          <w:i/>
        </w:rPr>
        <w:t>Pensions.</w:t>
      </w:r>
      <w:r w:rsidRPr="00CD05D7">
        <w:rPr>
          <w:rFonts w:asciiTheme="minorHAnsi" w:hAnsiTheme="minorHAnsi" w:cstheme="minorHAnsi"/>
        </w:rPr>
        <w:t xml:space="preserve"> Increase non-current liabilities and decrease equity by an amount of €190 million.</w:t>
      </w:r>
    </w:p>
    <w:p w14:paraId="260E2260" w14:textId="77777777" w:rsidR="00B12CE9" w:rsidRPr="00CD05D7" w:rsidRDefault="00B12CE9" w:rsidP="00B12CE9">
      <w:pPr>
        <w:numPr>
          <w:ilvl w:val="0"/>
          <w:numId w:val="4"/>
        </w:numPr>
        <w:rPr>
          <w:rFonts w:asciiTheme="minorHAnsi" w:hAnsiTheme="minorHAnsi" w:cstheme="minorHAnsi"/>
          <w:i/>
        </w:rPr>
      </w:pPr>
      <w:r w:rsidRPr="00CD05D7">
        <w:rPr>
          <w:rFonts w:asciiTheme="minorHAnsi" w:hAnsiTheme="minorHAnsi" w:cstheme="minorHAnsi"/>
        </w:rPr>
        <w:t xml:space="preserve">The following accounting adjustments need to be made to the income statement of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on </w:t>
      </w:r>
      <w:smartTag w:uri="urn:schemas-microsoft-com:office:smarttags" w:element="date">
        <w:smartTagPr>
          <w:attr w:name="Year" w:val="2006"/>
          <w:attr w:name="Day" w:val="30"/>
          <w:attr w:name="Month" w:val="6"/>
        </w:smartTagPr>
        <w:r w:rsidRPr="00CD05D7">
          <w:rPr>
            <w:rFonts w:asciiTheme="minorHAnsi" w:hAnsiTheme="minorHAnsi" w:cstheme="minorHAnsi"/>
          </w:rPr>
          <w:t>June 30, 2006</w:t>
        </w:r>
      </w:smartTag>
      <w:r w:rsidRPr="00CD05D7">
        <w:rPr>
          <w:rFonts w:asciiTheme="minorHAnsi" w:hAnsiTheme="minorHAnsi" w:cstheme="minorHAnsi"/>
        </w:rPr>
        <w:t>:</w:t>
      </w:r>
    </w:p>
    <w:p w14:paraId="0749942C" w14:textId="77777777" w:rsidR="00B12CE9" w:rsidRPr="00CD05D7" w:rsidRDefault="00B12CE9" w:rsidP="00B12CE9">
      <w:pPr>
        <w:numPr>
          <w:ilvl w:val="1"/>
          <w:numId w:val="4"/>
        </w:numPr>
        <w:rPr>
          <w:rFonts w:asciiTheme="minorHAnsi" w:hAnsiTheme="minorHAnsi" w:cstheme="minorHAnsi"/>
        </w:rPr>
      </w:pPr>
      <w:r w:rsidRPr="00CD05D7">
        <w:rPr>
          <w:rFonts w:asciiTheme="minorHAnsi" w:hAnsiTheme="minorHAnsi" w:cstheme="minorHAnsi"/>
          <w:i/>
        </w:rPr>
        <w:t>Operating leases.</w:t>
      </w:r>
      <w:r w:rsidRPr="00CD05D7">
        <w:rPr>
          <w:rFonts w:asciiTheme="minorHAnsi" w:hAnsiTheme="minorHAnsi" w:cstheme="minorHAnsi"/>
        </w:rPr>
        <w:t xml:space="preserve"> Increase the interest expense and decrease operating expenses by an amount of €52.3 million.</w:t>
      </w:r>
    </w:p>
    <w:p w14:paraId="2CC6008D" w14:textId="77777777" w:rsidR="00B12CE9" w:rsidRPr="00CD05D7" w:rsidRDefault="00B12CE9" w:rsidP="00B12CE9">
      <w:pPr>
        <w:numPr>
          <w:ilvl w:val="0"/>
          <w:numId w:val="4"/>
        </w:numPr>
        <w:rPr>
          <w:rFonts w:asciiTheme="minorHAnsi" w:hAnsiTheme="minorHAnsi" w:cstheme="minorHAnsi"/>
        </w:rPr>
      </w:pPr>
      <w:r w:rsidRPr="00CD05D7">
        <w:rPr>
          <w:rFonts w:asciiTheme="minorHAnsi" w:hAnsiTheme="minorHAnsi" w:cstheme="minorHAnsi"/>
        </w:rPr>
        <w:t>Expected near-term changes to earnings performance are:</w:t>
      </w:r>
    </w:p>
    <w:p w14:paraId="430FED46" w14:textId="77777777" w:rsidR="00B12CE9" w:rsidRPr="00CD05D7" w:rsidRDefault="00B12CE9" w:rsidP="00B12CE9">
      <w:pPr>
        <w:numPr>
          <w:ilvl w:val="1"/>
          <w:numId w:val="4"/>
        </w:numPr>
        <w:rPr>
          <w:rFonts w:asciiTheme="minorHAnsi" w:hAnsiTheme="minorHAnsi" w:cstheme="minorHAnsi"/>
        </w:rPr>
      </w:pPr>
      <w:r w:rsidRPr="00CD05D7">
        <w:rPr>
          <w:rFonts w:asciiTheme="minorHAnsi" w:hAnsiTheme="minorHAnsi" w:cstheme="minorHAnsi"/>
        </w:rPr>
        <w:t>Sales for the fiscal year 2006 will probably not be less than 90 percent of sales in 2005.</w:t>
      </w:r>
    </w:p>
    <w:p w14:paraId="550E7E48" w14:textId="77777777" w:rsidR="00B12CE9" w:rsidRPr="00CD05D7" w:rsidRDefault="00B12CE9" w:rsidP="00B12CE9">
      <w:pPr>
        <w:numPr>
          <w:ilvl w:val="1"/>
          <w:numId w:val="4"/>
        </w:numPr>
        <w:rPr>
          <w:rFonts w:asciiTheme="minorHAnsi" w:hAnsiTheme="minorHAnsi" w:cstheme="minorHAnsi"/>
        </w:rPr>
      </w:pPr>
      <w:r w:rsidRPr="00CD05D7">
        <w:rPr>
          <w:rFonts w:asciiTheme="minorHAnsi" w:hAnsiTheme="minorHAnsi" w:cstheme="minorHAnsi"/>
        </w:rPr>
        <w:t>Non-operating gains of €900 million that were recognized during the first half of 2006 were one-time gains.</w:t>
      </w:r>
    </w:p>
    <w:p w14:paraId="280F608E" w14:textId="77777777" w:rsidR="007B5047" w:rsidRPr="00CD05D7" w:rsidRDefault="007B5047" w:rsidP="00B12CE9">
      <w:pPr>
        <w:numPr>
          <w:ilvl w:val="1"/>
          <w:numId w:val="4"/>
        </w:numPr>
        <w:rPr>
          <w:rFonts w:asciiTheme="minorHAnsi" w:hAnsiTheme="minorHAnsi" w:cstheme="minorHAnsi"/>
        </w:rPr>
      </w:pPr>
      <w:r w:rsidRPr="00CD05D7">
        <w:rPr>
          <w:rFonts w:asciiTheme="minorHAnsi" w:hAnsiTheme="minorHAnsi" w:cstheme="minorHAnsi"/>
        </w:rPr>
        <w:t>The tax expense will revert to a normal level (</w:t>
      </w:r>
      <w:r w:rsidR="001643DD" w:rsidRPr="00CD05D7">
        <w:rPr>
          <w:rFonts w:asciiTheme="minorHAnsi" w:hAnsiTheme="minorHAnsi" w:cstheme="minorHAnsi"/>
        </w:rPr>
        <w:t>effective tax rate</w:t>
      </w:r>
      <w:r w:rsidR="00DF46EA" w:rsidRPr="00CD05D7">
        <w:rPr>
          <w:rFonts w:asciiTheme="minorHAnsi" w:hAnsiTheme="minorHAnsi" w:cstheme="minorHAnsi"/>
        </w:rPr>
        <w:t xml:space="preserve"> will move </w:t>
      </w:r>
      <w:r w:rsidR="001643DD" w:rsidRPr="00CD05D7">
        <w:rPr>
          <w:rFonts w:asciiTheme="minorHAnsi" w:hAnsiTheme="minorHAnsi" w:cstheme="minorHAnsi"/>
        </w:rPr>
        <w:t xml:space="preserve">towards </w:t>
      </w:r>
      <w:r w:rsidR="00DF46EA" w:rsidRPr="00CD05D7">
        <w:rPr>
          <w:rFonts w:asciiTheme="minorHAnsi" w:hAnsiTheme="minorHAnsi" w:cstheme="minorHAnsi"/>
        </w:rPr>
        <w:t xml:space="preserve">the statutory tax rate of </w:t>
      </w:r>
      <w:r w:rsidR="001643DD" w:rsidRPr="00CD05D7">
        <w:rPr>
          <w:rFonts w:asciiTheme="minorHAnsi" w:hAnsiTheme="minorHAnsi" w:cstheme="minorHAnsi"/>
        </w:rPr>
        <w:t>39 percent)</w:t>
      </w:r>
    </w:p>
    <w:p w14:paraId="70F7FD9A" w14:textId="77777777" w:rsidR="00B12CE9" w:rsidRPr="00CD05D7" w:rsidRDefault="00B12CE9" w:rsidP="00B12CE9">
      <w:pPr>
        <w:numPr>
          <w:ilvl w:val="1"/>
          <w:numId w:val="4"/>
        </w:numPr>
        <w:rPr>
          <w:rFonts w:asciiTheme="minorHAnsi" w:hAnsiTheme="minorHAnsi" w:cstheme="minorHAnsi"/>
        </w:rPr>
      </w:pPr>
      <w:r w:rsidRPr="00CD05D7">
        <w:rPr>
          <w:rFonts w:asciiTheme="minorHAnsi" w:hAnsiTheme="minorHAnsi" w:cstheme="minorHAnsi"/>
        </w:rPr>
        <w:t>Operating expenses as a percentage of sales in the first half of 2006 are probably predictive of the percentage in the second half (after the adjustment for non-operating gains of €900 million).</w:t>
      </w:r>
    </w:p>
    <w:p w14:paraId="74C8EADD" w14:textId="77777777" w:rsidR="00B12CE9" w:rsidRPr="00CD05D7" w:rsidRDefault="00B12CE9" w:rsidP="00B12CE9">
      <w:pPr>
        <w:numPr>
          <w:ilvl w:val="1"/>
          <w:numId w:val="4"/>
        </w:numPr>
        <w:rPr>
          <w:rFonts w:asciiTheme="minorHAnsi" w:hAnsiTheme="minorHAnsi" w:cstheme="minorHAnsi"/>
        </w:rPr>
      </w:pPr>
      <w:r w:rsidRPr="00CD05D7">
        <w:rPr>
          <w:rFonts w:asciiTheme="minorHAnsi" w:hAnsiTheme="minorHAnsi" w:cstheme="minorHAnsi"/>
        </w:rPr>
        <w:t>The effects of the cooperation with Li &amp; Fung are unknown and uncertain. It is better not to take these into account when predicting near-term profits.</w:t>
      </w:r>
    </w:p>
    <w:p w14:paraId="5AE70C1B" w14:textId="77777777" w:rsidR="00B12CE9" w:rsidRPr="00CD05D7" w:rsidRDefault="00B12CE9" w:rsidP="00B12CE9">
      <w:pPr>
        <w:numPr>
          <w:ilvl w:val="0"/>
          <w:numId w:val="4"/>
        </w:numPr>
        <w:rPr>
          <w:rFonts w:asciiTheme="minorHAnsi" w:hAnsiTheme="minorHAnsi" w:cstheme="minorHAnsi"/>
        </w:rPr>
      </w:pPr>
      <w:r w:rsidRPr="00CD05D7">
        <w:rPr>
          <w:rFonts w:asciiTheme="minorHAnsi" w:hAnsiTheme="minorHAnsi" w:cstheme="minorHAnsi"/>
        </w:rPr>
        <w:t>Expected near-term changes to leverage are:</w:t>
      </w:r>
    </w:p>
    <w:p w14:paraId="6CC85055" w14:textId="77777777" w:rsidR="00B12CE9" w:rsidRPr="00CD05D7" w:rsidRDefault="00B12CE9" w:rsidP="00B12CE9">
      <w:pPr>
        <w:numPr>
          <w:ilvl w:val="1"/>
          <w:numId w:val="4"/>
        </w:numPr>
        <w:rPr>
          <w:rFonts w:asciiTheme="minorHAnsi" w:hAnsiTheme="minorHAnsi" w:cstheme="minorHAnsi"/>
        </w:rPr>
      </w:pPr>
      <w:r w:rsidRPr="00CD05D7">
        <w:rPr>
          <w:rFonts w:asciiTheme="minorHAnsi" w:hAnsiTheme="minorHAnsi" w:cstheme="minorHAnsi"/>
        </w:rPr>
        <w:t>Leverage will decrease if management uses the proceeds from the sale of assets (approximately €450 million) to reduce debt.</w:t>
      </w:r>
    </w:p>
    <w:p w14:paraId="5BBEB5A1" w14:textId="77777777" w:rsidR="00B12CE9" w:rsidRPr="00CD05D7" w:rsidRDefault="00B12CE9" w:rsidP="00B12CE9">
      <w:pPr>
        <w:rPr>
          <w:rFonts w:asciiTheme="minorHAnsi" w:hAnsiTheme="minorHAnsi" w:cstheme="minorHAnsi"/>
        </w:rPr>
      </w:pPr>
    </w:p>
    <w:p w14:paraId="3E4AB8EE" w14:textId="77777777" w:rsidR="00B12CE9" w:rsidRPr="00CD05D7" w:rsidRDefault="00B12CE9" w:rsidP="00B12CE9">
      <w:pPr>
        <w:rPr>
          <w:rFonts w:asciiTheme="minorHAnsi" w:hAnsiTheme="minorHAnsi" w:cstheme="minorHAnsi"/>
          <w:i/>
        </w:rPr>
      </w:pPr>
      <w:r w:rsidRPr="00CD05D7">
        <w:rPr>
          <w:rFonts w:asciiTheme="minorHAnsi" w:hAnsiTheme="minorHAnsi" w:cstheme="minorHAnsi"/>
          <w:i/>
        </w:rPr>
        <w:t>Analysis of profitability and leverage</w:t>
      </w:r>
    </w:p>
    <w:p w14:paraId="53A55B53" w14:textId="77777777" w:rsidR="00B12CE9" w:rsidRPr="00CD05D7" w:rsidRDefault="00B12CE9" w:rsidP="00B12CE9">
      <w:pPr>
        <w:rPr>
          <w:rFonts w:asciiTheme="minorHAnsi" w:hAnsiTheme="minorHAnsi" w:cstheme="minorHAnsi"/>
        </w:rPr>
      </w:pPr>
      <w:r w:rsidRPr="00CD05D7">
        <w:rPr>
          <w:rFonts w:asciiTheme="minorHAnsi" w:hAnsiTheme="minorHAnsi" w:cstheme="minorHAnsi"/>
        </w:rPr>
        <w:t>Chapter 10 of the text book describes four variables that are indicative of a firm’s creditworthiness:</w:t>
      </w:r>
    </w:p>
    <w:p w14:paraId="09AD6954"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NOPAT to net capital</w:t>
      </w:r>
    </w:p>
    <w:p w14:paraId="5CAE7DC0"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Pretax interest coverage</w:t>
      </w:r>
    </w:p>
    <w:p w14:paraId="2D1B1E78"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Cash flow from operations to total debt</w:t>
      </w:r>
    </w:p>
    <w:p w14:paraId="046CB4C5" w14:textId="77777777" w:rsidR="00B12CE9" w:rsidRPr="00CD05D7" w:rsidRDefault="00B12CE9" w:rsidP="00B12CE9">
      <w:pPr>
        <w:numPr>
          <w:ilvl w:val="0"/>
          <w:numId w:val="1"/>
        </w:numPr>
        <w:rPr>
          <w:rFonts w:asciiTheme="minorHAnsi" w:hAnsiTheme="minorHAnsi" w:cstheme="minorHAnsi"/>
        </w:rPr>
      </w:pPr>
      <w:r w:rsidRPr="00CD05D7">
        <w:rPr>
          <w:rFonts w:asciiTheme="minorHAnsi" w:hAnsiTheme="minorHAnsi" w:cstheme="minorHAnsi"/>
        </w:rPr>
        <w:t>Net debt to net capital</w:t>
      </w:r>
    </w:p>
    <w:p w14:paraId="595F8E81" w14:textId="77777777" w:rsidR="00B12CE9" w:rsidRPr="00CD05D7" w:rsidRDefault="00255FAC" w:rsidP="00B12CE9">
      <w:pPr>
        <w:rPr>
          <w:rFonts w:asciiTheme="minorHAnsi" w:hAnsiTheme="minorHAnsi" w:cstheme="minorHAnsi"/>
        </w:rPr>
      </w:pPr>
      <w:r w:rsidRPr="00CD05D7">
        <w:rPr>
          <w:rFonts w:asciiTheme="minorHAnsi" w:hAnsiTheme="minorHAnsi" w:cstheme="minorHAnsi"/>
        </w:rPr>
        <w:t xml:space="preserve">Exhibit TN-2 displays the values of these four indicators for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for the fiscal years 2004 and 2005 as well as the first half year of 2006. The implied debt rating (per indicator) is based on the values reported in table 10-</w:t>
      </w:r>
      <w:r w:rsidR="00714DCF" w:rsidRPr="00CD05D7">
        <w:rPr>
          <w:rFonts w:asciiTheme="minorHAnsi" w:hAnsiTheme="minorHAnsi" w:cstheme="minorHAnsi"/>
        </w:rPr>
        <w:t>3</w:t>
      </w:r>
      <w:r w:rsidRPr="00CD05D7">
        <w:rPr>
          <w:rFonts w:asciiTheme="minorHAnsi" w:hAnsiTheme="minorHAnsi" w:cstheme="minorHAnsi"/>
        </w:rPr>
        <w:t xml:space="preserve"> in Chapter 10 of the textbook.</w:t>
      </w:r>
    </w:p>
    <w:p w14:paraId="41EAD9C2" w14:textId="77777777" w:rsidR="00255FAC" w:rsidRPr="00CD05D7" w:rsidRDefault="00255FAC" w:rsidP="00B12CE9">
      <w:pPr>
        <w:rPr>
          <w:rFonts w:asciiTheme="minorHAnsi" w:hAnsiTheme="minorHAnsi" w:cstheme="minorHAnsi"/>
        </w:rPr>
      </w:pPr>
      <w:r w:rsidRPr="00CD05D7">
        <w:rPr>
          <w:rFonts w:asciiTheme="minorHAnsi" w:hAnsiTheme="minorHAnsi" w:cstheme="minorHAnsi"/>
        </w:rPr>
        <w:tab/>
        <w:t xml:space="preserve">The analysis of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creditworthiness </w:t>
      </w:r>
      <w:r w:rsidR="004E1CC3" w:rsidRPr="00CD05D7">
        <w:rPr>
          <w:rFonts w:asciiTheme="minorHAnsi" w:hAnsiTheme="minorHAnsi" w:cstheme="minorHAnsi"/>
        </w:rPr>
        <w:t xml:space="preserve">using unadjusted financial statement data suggests that </w:t>
      </w:r>
      <w:proofErr w:type="spellStart"/>
      <w:r w:rsidR="00B05A7F" w:rsidRPr="00CD05D7">
        <w:rPr>
          <w:rFonts w:asciiTheme="minorHAnsi" w:hAnsiTheme="minorHAnsi" w:cstheme="minorHAnsi"/>
        </w:rPr>
        <w:t>KarstadtQuelle’s</w:t>
      </w:r>
      <w:proofErr w:type="spellEnd"/>
      <w:r w:rsidR="00B05A7F" w:rsidRPr="00CD05D7">
        <w:rPr>
          <w:rFonts w:asciiTheme="minorHAnsi" w:hAnsiTheme="minorHAnsi" w:cstheme="minorHAnsi"/>
        </w:rPr>
        <w:t xml:space="preserve"> creditworthiness has, indeed, improved over the past two years. In particular, NOPAT to net capital has increased to 22.6 percent (annualized), which is the typical value for companies with AAA debt ratings. Pre-tax interest coverage has increased to 2.12, which is the typical value for companies with BB debt ratings. In addition, leverage—measured as net debt to net capital—has decreased from 91.4 percent to 77.7 percent. Some students may argue that leverage will further decrease when </w:t>
      </w:r>
      <w:proofErr w:type="spellStart"/>
      <w:r w:rsidR="00B05A7F" w:rsidRPr="00CD05D7">
        <w:rPr>
          <w:rFonts w:asciiTheme="minorHAnsi" w:hAnsiTheme="minorHAnsi" w:cstheme="minorHAnsi"/>
        </w:rPr>
        <w:t>KarstadtQuelle</w:t>
      </w:r>
      <w:proofErr w:type="spellEnd"/>
      <w:r w:rsidR="00B05A7F" w:rsidRPr="00CD05D7">
        <w:rPr>
          <w:rFonts w:asciiTheme="minorHAnsi" w:hAnsiTheme="minorHAnsi" w:cstheme="minorHAnsi"/>
        </w:rPr>
        <w:t xml:space="preserve"> uses the proceeds from the sale and leaseback transaction to pay off debt. </w:t>
      </w:r>
      <w:r w:rsidR="00E81924" w:rsidRPr="00CD05D7">
        <w:rPr>
          <w:rFonts w:asciiTheme="minorHAnsi" w:hAnsiTheme="minorHAnsi" w:cstheme="minorHAnsi"/>
        </w:rPr>
        <w:t>More specifically, if net debt and net assets would be reduced by €2.7 billion, the net debt to net capital ratio would decrease</w:t>
      </w:r>
      <w:r w:rsidR="00B05A7F" w:rsidRPr="00CD05D7">
        <w:rPr>
          <w:rFonts w:asciiTheme="minorHAnsi" w:hAnsiTheme="minorHAnsi" w:cstheme="minorHAnsi"/>
        </w:rPr>
        <w:t xml:space="preserve"> </w:t>
      </w:r>
      <w:r w:rsidR="00E81924" w:rsidRPr="00CD05D7">
        <w:rPr>
          <w:rFonts w:asciiTheme="minorHAnsi" w:hAnsiTheme="minorHAnsi" w:cstheme="minorHAnsi"/>
        </w:rPr>
        <w:t>to 58.7 percent, which is the typical value for companies with B ratings but fairly close to the typical values of companies with ratings of BB (54.9 percent).</w:t>
      </w:r>
    </w:p>
    <w:p w14:paraId="69B0BAB8" w14:textId="77777777" w:rsidR="00E81924" w:rsidRPr="00CD05D7" w:rsidRDefault="00E81924" w:rsidP="00B12CE9">
      <w:pPr>
        <w:rPr>
          <w:rFonts w:asciiTheme="minorHAnsi" w:hAnsiTheme="minorHAnsi" w:cstheme="minorHAnsi"/>
        </w:rPr>
      </w:pPr>
      <w:r w:rsidRPr="00CD05D7">
        <w:rPr>
          <w:rFonts w:asciiTheme="minorHAnsi" w:hAnsiTheme="minorHAnsi" w:cstheme="minorHAnsi"/>
        </w:rPr>
        <w:tab/>
        <w:t xml:space="preserve">This rather positive view of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creditworthiness is similar to the view that the company’s management </w:t>
      </w:r>
      <w:r w:rsidR="00FE2143" w:rsidRPr="00CD05D7">
        <w:rPr>
          <w:rFonts w:asciiTheme="minorHAnsi" w:hAnsiTheme="minorHAnsi" w:cstheme="minorHAnsi"/>
        </w:rPr>
        <w:t>is trying to articulate. However, this analysis does not take the results of the accounting analysis into account. When we do make the above-described accounting adjustments, a different picture arises.</w:t>
      </w:r>
    </w:p>
    <w:p w14:paraId="3BF81D7B" w14:textId="77777777" w:rsidR="00B12CE9" w:rsidRPr="00CD05D7" w:rsidRDefault="00B12CE9" w:rsidP="00B12CE9">
      <w:pPr>
        <w:rPr>
          <w:rFonts w:asciiTheme="minorHAnsi" w:hAnsiTheme="minorHAnsi" w:cstheme="minorHAnsi"/>
        </w:rPr>
      </w:pPr>
    </w:p>
    <w:p w14:paraId="388FBC18" w14:textId="77777777" w:rsidR="00CA402D" w:rsidRPr="00CD05D7" w:rsidRDefault="00B12CE9" w:rsidP="00B12CE9">
      <w:pPr>
        <w:rPr>
          <w:rFonts w:asciiTheme="minorHAnsi" w:hAnsiTheme="minorHAnsi" w:cstheme="minorHAnsi"/>
        </w:rPr>
      </w:pPr>
      <w:r w:rsidRPr="00CD05D7">
        <w:rPr>
          <w:rFonts w:asciiTheme="minorHAnsi" w:hAnsiTheme="minorHAnsi" w:cstheme="minorHAnsi"/>
        </w:rPr>
        <w:tab/>
      </w:r>
      <w:r w:rsidRPr="00CD05D7">
        <w:rPr>
          <w:rFonts w:asciiTheme="minorHAnsi" w:hAnsiTheme="minorHAnsi" w:cstheme="minorHAnsi"/>
          <w:i/>
        </w:rPr>
        <w:t>Profitability.</w:t>
      </w:r>
      <w:r w:rsidR="00CA402D" w:rsidRPr="00CD05D7">
        <w:rPr>
          <w:rFonts w:asciiTheme="minorHAnsi" w:hAnsiTheme="minorHAnsi" w:cstheme="minorHAnsi"/>
          <w:i/>
        </w:rPr>
        <w:t xml:space="preserve"> </w:t>
      </w:r>
      <w:r w:rsidR="00CA402D" w:rsidRPr="00CD05D7">
        <w:rPr>
          <w:rFonts w:asciiTheme="minorHAnsi" w:hAnsiTheme="minorHAnsi" w:cstheme="minorHAnsi"/>
        </w:rPr>
        <w:t>Profitability is an indicator of creditworthiness</w:t>
      </w:r>
      <w:r w:rsidR="002E5203" w:rsidRPr="00CD05D7">
        <w:rPr>
          <w:rFonts w:asciiTheme="minorHAnsi" w:hAnsiTheme="minorHAnsi" w:cstheme="minorHAnsi"/>
        </w:rPr>
        <w:t>, primarily</w:t>
      </w:r>
      <w:r w:rsidR="00CA402D" w:rsidRPr="00CD05D7">
        <w:rPr>
          <w:rFonts w:asciiTheme="minorHAnsi" w:hAnsiTheme="minorHAnsi" w:cstheme="minorHAnsi"/>
        </w:rPr>
        <w:t xml:space="preserve"> because current profits are predictive of future operating cash flows</w:t>
      </w:r>
      <w:r w:rsidR="00D97360" w:rsidRPr="00CD05D7">
        <w:rPr>
          <w:rFonts w:asciiTheme="minorHAnsi" w:hAnsiTheme="minorHAnsi" w:cstheme="minorHAnsi"/>
        </w:rPr>
        <w:t xml:space="preserve"> (which should cover future interest expenses)</w:t>
      </w:r>
      <w:r w:rsidR="00CA402D" w:rsidRPr="00CD05D7">
        <w:rPr>
          <w:rFonts w:asciiTheme="minorHAnsi" w:hAnsiTheme="minorHAnsi" w:cstheme="minorHAnsi"/>
        </w:rPr>
        <w:t>. The predictive value of current profits is, however, negatively influenced by the degree to which profits include non-operating</w:t>
      </w:r>
      <w:r w:rsidR="00DA26F0" w:rsidRPr="00CD05D7">
        <w:rPr>
          <w:rFonts w:asciiTheme="minorHAnsi" w:hAnsiTheme="minorHAnsi" w:cstheme="minorHAnsi"/>
        </w:rPr>
        <w:t>/</w:t>
      </w:r>
      <w:r w:rsidR="00CA402D" w:rsidRPr="00CD05D7">
        <w:rPr>
          <w:rFonts w:asciiTheme="minorHAnsi" w:hAnsiTheme="minorHAnsi" w:cstheme="minorHAnsi"/>
        </w:rPr>
        <w:t xml:space="preserve">one-time gains and losses. Before analyzing </w:t>
      </w:r>
      <w:proofErr w:type="spellStart"/>
      <w:r w:rsidR="00CA402D" w:rsidRPr="00CD05D7">
        <w:rPr>
          <w:rFonts w:asciiTheme="minorHAnsi" w:hAnsiTheme="minorHAnsi" w:cstheme="minorHAnsi"/>
        </w:rPr>
        <w:t>KarstadtQuelle’s</w:t>
      </w:r>
      <w:proofErr w:type="spellEnd"/>
      <w:r w:rsidR="00CA402D" w:rsidRPr="00CD05D7">
        <w:rPr>
          <w:rFonts w:asciiTheme="minorHAnsi" w:hAnsiTheme="minorHAnsi" w:cstheme="minorHAnsi"/>
        </w:rPr>
        <w:t xml:space="preserve"> profitability, the </w:t>
      </w:r>
      <w:r w:rsidR="00D97360" w:rsidRPr="00CD05D7">
        <w:rPr>
          <w:rFonts w:asciiTheme="minorHAnsi" w:hAnsiTheme="minorHAnsi" w:cstheme="minorHAnsi"/>
        </w:rPr>
        <w:t>analyst should, therefore,</w:t>
      </w:r>
      <w:r w:rsidR="00CA402D" w:rsidRPr="00CD05D7">
        <w:rPr>
          <w:rFonts w:asciiTheme="minorHAnsi" w:hAnsiTheme="minorHAnsi" w:cstheme="minorHAnsi"/>
        </w:rPr>
        <w:t xml:space="preserve"> remove such gains </w:t>
      </w:r>
      <w:r w:rsidR="007A44A9" w:rsidRPr="00CD05D7">
        <w:rPr>
          <w:rFonts w:asciiTheme="minorHAnsi" w:hAnsiTheme="minorHAnsi" w:cstheme="minorHAnsi"/>
        </w:rPr>
        <w:t>and/</w:t>
      </w:r>
      <w:r w:rsidR="00DA26F0" w:rsidRPr="00CD05D7">
        <w:rPr>
          <w:rFonts w:asciiTheme="minorHAnsi" w:hAnsiTheme="minorHAnsi" w:cstheme="minorHAnsi"/>
        </w:rPr>
        <w:t>or</w:t>
      </w:r>
      <w:r w:rsidR="00CA402D" w:rsidRPr="00CD05D7">
        <w:rPr>
          <w:rFonts w:asciiTheme="minorHAnsi" w:hAnsiTheme="minorHAnsi" w:cstheme="minorHAnsi"/>
        </w:rPr>
        <w:t xml:space="preserve"> losses from earnings.</w:t>
      </w:r>
    </w:p>
    <w:p w14:paraId="7D2FB856" w14:textId="77777777" w:rsidR="006570F5" w:rsidRPr="00CD05D7" w:rsidRDefault="0027798A" w:rsidP="00CA402D">
      <w:pPr>
        <w:ind w:firstLine="720"/>
        <w:rPr>
          <w:rFonts w:asciiTheme="minorHAnsi" w:hAnsiTheme="minorHAnsi" w:cstheme="minorHAnsi"/>
        </w:rPr>
      </w:pPr>
      <w:r w:rsidRPr="00CD05D7">
        <w:rPr>
          <w:rFonts w:asciiTheme="minorHAnsi" w:hAnsiTheme="minorHAnsi" w:cstheme="minorHAnsi"/>
        </w:rPr>
        <w:t xml:space="preserve">The above discussion emphasized that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profitability improved primarily because of temporary gains</w:t>
      </w:r>
      <w:r w:rsidR="00D543F3" w:rsidRPr="00CD05D7">
        <w:rPr>
          <w:rFonts w:asciiTheme="minorHAnsi" w:hAnsiTheme="minorHAnsi" w:cstheme="minorHAnsi"/>
        </w:rPr>
        <w:t>,</w:t>
      </w:r>
      <w:r w:rsidRPr="00CD05D7">
        <w:rPr>
          <w:rFonts w:asciiTheme="minorHAnsi" w:hAnsiTheme="minorHAnsi" w:cstheme="minorHAnsi"/>
        </w:rPr>
        <w:t xml:space="preserve"> such as the profit on the sale of real estate and the release of deferred tax asset valuation allowances.</w:t>
      </w:r>
      <w:r w:rsidR="00DC0495" w:rsidRPr="00CD05D7">
        <w:rPr>
          <w:rFonts w:asciiTheme="minorHAnsi" w:hAnsiTheme="minorHAnsi" w:cstheme="minorHAnsi"/>
        </w:rPr>
        <w:t xml:space="preserve"> If net profit is adjusted for these temporary gains, </w:t>
      </w:r>
      <w:proofErr w:type="spellStart"/>
      <w:r w:rsidR="00DC0495" w:rsidRPr="00CD05D7">
        <w:rPr>
          <w:rFonts w:asciiTheme="minorHAnsi" w:hAnsiTheme="minorHAnsi" w:cstheme="minorHAnsi"/>
        </w:rPr>
        <w:t>KarstadtQuelle</w:t>
      </w:r>
      <w:proofErr w:type="spellEnd"/>
      <w:r w:rsidR="00DC0495" w:rsidRPr="00CD05D7">
        <w:rPr>
          <w:rFonts w:asciiTheme="minorHAnsi" w:hAnsiTheme="minorHAnsi" w:cstheme="minorHAnsi"/>
        </w:rPr>
        <w:t xml:space="preserve"> appears to be loss making also in the first half of 2006. The company’s operating profit also becomes negative if the profit on the sale of real estate is deducted from the company’s “operating expense, net of operating income”.</w:t>
      </w:r>
      <w:r w:rsidR="002E5203" w:rsidRPr="00CD05D7">
        <w:rPr>
          <w:rFonts w:asciiTheme="minorHAnsi" w:hAnsiTheme="minorHAnsi" w:cstheme="minorHAnsi"/>
        </w:rPr>
        <w:t xml:space="preserve"> Based on these observations, one can conclude that in the near-term </w:t>
      </w:r>
      <w:proofErr w:type="spellStart"/>
      <w:r w:rsidR="002E5203" w:rsidRPr="00CD05D7">
        <w:rPr>
          <w:rFonts w:asciiTheme="minorHAnsi" w:hAnsiTheme="minorHAnsi" w:cstheme="minorHAnsi"/>
        </w:rPr>
        <w:t>KarstadtQuelle</w:t>
      </w:r>
      <w:proofErr w:type="spellEnd"/>
      <w:r w:rsidR="002E5203" w:rsidRPr="00CD05D7">
        <w:rPr>
          <w:rFonts w:asciiTheme="minorHAnsi" w:hAnsiTheme="minorHAnsi" w:cstheme="minorHAnsi"/>
        </w:rPr>
        <w:t xml:space="preserve"> will not able to cover its current interest expense unless the company can improve its operating performance. At the end of the first half of 2006, it is still uncertain whether </w:t>
      </w:r>
      <w:r w:rsidR="002E5203" w:rsidRPr="00CD05D7">
        <w:rPr>
          <w:rFonts w:asciiTheme="minorHAnsi" w:hAnsiTheme="minorHAnsi" w:cstheme="minorHAnsi"/>
        </w:rPr>
        <w:lastRenderedPageBreak/>
        <w:t xml:space="preserve">and how the company can achieve </w:t>
      </w:r>
      <w:r w:rsidR="006570F5" w:rsidRPr="00CD05D7">
        <w:rPr>
          <w:rFonts w:asciiTheme="minorHAnsi" w:hAnsiTheme="minorHAnsi" w:cstheme="minorHAnsi"/>
        </w:rPr>
        <w:t>such an improvement, especially since we concluded that:</w:t>
      </w:r>
    </w:p>
    <w:p w14:paraId="2ABFB05B" w14:textId="77777777" w:rsidR="00475928" w:rsidRPr="00CD05D7" w:rsidRDefault="006570F5" w:rsidP="006570F5">
      <w:pPr>
        <w:numPr>
          <w:ilvl w:val="0"/>
          <w:numId w:val="1"/>
        </w:numPr>
        <w:rPr>
          <w:rFonts w:asciiTheme="minorHAnsi" w:hAnsiTheme="minorHAnsi" w:cstheme="minorHAnsi"/>
        </w:rPr>
      </w:pPr>
      <w:r w:rsidRPr="00CD05D7">
        <w:rPr>
          <w:rFonts w:asciiTheme="minorHAnsi" w:hAnsiTheme="minorHAnsi" w:cstheme="minorHAnsi"/>
        </w:rPr>
        <w:t xml:space="preserve">operating performance in the first half of 2006 should already include (part of) the effect of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expected costs savings in the department store business and the universal mail order business and</w:t>
      </w:r>
    </w:p>
    <w:p w14:paraId="16DD694E" w14:textId="77777777" w:rsidR="006570F5" w:rsidRPr="00CD05D7" w:rsidRDefault="006570F5" w:rsidP="006570F5">
      <w:pPr>
        <w:numPr>
          <w:ilvl w:val="0"/>
          <w:numId w:val="1"/>
        </w:numPr>
        <w:rPr>
          <w:rFonts w:asciiTheme="minorHAnsi" w:hAnsiTheme="minorHAnsi" w:cstheme="minorHAnsi"/>
        </w:rPr>
      </w:pPr>
      <w:r w:rsidRPr="00CD05D7">
        <w:rPr>
          <w:rFonts w:asciiTheme="minorHAnsi" w:hAnsiTheme="minorHAnsi" w:cstheme="minorHAnsi"/>
        </w:rPr>
        <w:t>the effects of the cooperation with Li &amp; Fung are unknown and uncertain.</w:t>
      </w:r>
    </w:p>
    <w:p w14:paraId="471D8B6F" w14:textId="77777777" w:rsidR="006570F5" w:rsidRPr="00CD05D7" w:rsidRDefault="00ED1147" w:rsidP="006570F5">
      <w:pPr>
        <w:rPr>
          <w:rFonts w:asciiTheme="minorHAnsi" w:hAnsiTheme="minorHAnsi" w:cstheme="minorHAnsi"/>
        </w:rPr>
      </w:pPr>
      <w:r w:rsidRPr="00CD05D7">
        <w:rPr>
          <w:rFonts w:asciiTheme="minorHAnsi" w:hAnsiTheme="minorHAnsi" w:cstheme="minorHAnsi"/>
        </w:rPr>
        <w:t xml:space="preserve">Exhibit TN-3 displays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income statement (for the first half of 2006) after accounting adjustments. The company’s adjusted net profit is almost zero. Note, however, that the adjusted income statement still includes a tax benefit because of the release of deferred tax allowances. Because adjusted profit before tax is negative, net profi</w:t>
      </w:r>
      <w:r w:rsidR="006112D3" w:rsidRPr="00CD05D7">
        <w:rPr>
          <w:rFonts w:asciiTheme="minorHAnsi" w:hAnsiTheme="minorHAnsi" w:cstheme="minorHAnsi"/>
        </w:rPr>
        <w:t>t would also be negative if</w:t>
      </w:r>
      <w:r w:rsidRPr="00CD05D7">
        <w:rPr>
          <w:rFonts w:asciiTheme="minorHAnsi" w:hAnsiTheme="minorHAnsi" w:cstheme="minorHAnsi"/>
        </w:rPr>
        <w:t xml:space="preserve"> the incidental tax benefit</w:t>
      </w:r>
      <w:r w:rsidR="006112D3" w:rsidRPr="00CD05D7">
        <w:rPr>
          <w:rFonts w:asciiTheme="minorHAnsi" w:hAnsiTheme="minorHAnsi" w:cstheme="minorHAnsi"/>
        </w:rPr>
        <w:t xml:space="preserve"> would be excluded from the income statement</w:t>
      </w:r>
      <w:r w:rsidRPr="00CD05D7">
        <w:rPr>
          <w:rFonts w:asciiTheme="minorHAnsi" w:hAnsiTheme="minorHAnsi" w:cstheme="minorHAnsi"/>
        </w:rPr>
        <w:t>.</w:t>
      </w:r>
    </w:p>
    <w:p w14:paraId="537B00B5" w14:textId="77777777" w:rsidR="00BD706D" w:rsidRPr="00CD05D7" w:rsidRDefault="00BD706D" w:rsidP="006570F5">
      <w:pPr>
        <w:rPr>
          <w:rFonts w:asciiTheme="minorHAnsi" w:hAnsiTheme="minorHAnsi" w:cstheme="minorHAnsi"/>
        </w:rPr>
      </w:pPr>
    </w:p>
    <w:p w14:paraId="30D7025C" w14:textId="77777777" w:rsidR="00BD706D" w:rsidRPr="00CD05D7" w:rsidRDefault="00BD706D" w:rsidP="006570F5">
      <w:pPr>
        <w:rPr>
          <w:rFonts w:asciiTheme="minorHAnsi" w:hAnsiTheme="minorHAnsi" w:cstheme="minorHAnsi"/>
        </w:rPr>
      </w:pPr>
      <w:r w:rsidRPr="00CD05D7">
        <w:rPr>
          <w:rFonts w:asciiTheme="minorHAnsi" w:hAnsiTheme="minorHAnsi" w:cstheme="minorHAnsi"/>
          <w:i/>
        </w:rPr>
        <w:tab/>
        <w:t xml:space="preserve">Leverage. </w:t>
      </w:r>
      <w:r w:rsidR="003D48FE" w:rsidRPr="00CD05D7">
        <w:rPr>
          <w:rFonts w:asciiTheme="minorHAnsi" w:hAnsiTheme="minorHAnsi" w:cstheme="minorHAnsi"/>
        </w:rPr>
        <w:t xml:space="preserve">Exhibit TN-4 displays </w:t>
      </w:r>
      <w:proofErr w:type="spellStart"/>
      <w:r w:rsidR="002E68D1" w:rsidRPr="00CD05D7">
        <w:rPr>
          <w:rFonts w:asciiTheme="minorHAnsi" w:hAnsiTheme="minorHAnsi" w:cstheme="minorHAnsi"/>
        </w:rPr>
        <w:t>KarstadtQuelle’s</w:t>
      </w:r>
      <w:proofErr w:type="spellEnd"/>
      <w:r w:rsidR="002E68D1" w:rsidRPr="00CD05D7">
        <w:rPr>
          <w:rFonts w:asciiTheme="minorHAnsi" w:hAnsiTheme="minorHAnsi" w:cstheme="minorHAnsi"/>
        </w:rPr>
        <w:t xml:space="preserve"> (condensed) balance sheet after the proposed adjustments for operating leases, sale and leaseback, pensions, and assets/liabilities held for sale. The adjusted net debt to net capital ratio is much closer to the ratio’s historical values</w:t>
      </w:r>
      <w:r w:rsidR="00E662A4" w:rsidRPr="00CD05D7">
        <w:rPr>
          <w:rFonts w:asciiTheme="minorHAnsi" w:hAnsiTheme="minorHAnsi" w:cstheme="minorHAnsi"/>
        </w:rPr>
        <w:t xml:space="preserve"> (Note, however, that these historical values have not been adjusted for operating leases and pensions)</w:t>
      </w:r>
      <w:r w:rsidR="002E68D1" w:rsidRPr="00CD05D7">
        <w:rPr>
          <w:rFonts w:asciiTheme="minorHAnsi" w:hAnsiTheme="minorHAnsi" w:cstheme="minorHAnsi"/>
        </w:rPr>
        <w:t>.</w:t>
      </w:r>
    </w:p>
    <w:p w14:paraId="43825EC2" w14:textId="77777777" w:rsidR="00E662A4" w:rsidRPr="00CD05D7" w:rsidRDefault="00E662A4" w:rsidP="006570F5">
      <w:pPr>
        <w:rPr>
          <w:rFonts w:asciiTheme="minorHAnsi" w:hAnsiTheme="minorHAnsi" w:cstheme="minorHAnsi"/>
        </w:rPr>
      </w:pPr>
    </w:p>
    <w:p w14:paraId="7B7A226C" w14:textId="77777777" w:rsidR="00E662A4" w:rsidRPr="00CD05D7" w:rsidRDefault="00E662A4" w:rsidP="006570F5">
      <w:pPr>
        <w:rPr>
          <w:rFonts w:asciiTheme="minorHAnsi" w:hAnsiTheme="minorHAnsi" w:cstheme="minorHAnsi"/>
        </w:rPr>
      </w:pPr>
      <w:r w:rsidRPr="00CD05D7">
        <w:rPr>
          <w:rFonts w:asciiTheme="minorHAnsi" w:hAnsiTheme="minorHAnsi" w:cstheme="minorHAnsi"/>
        </w:rPr>
        <w:tab/>
      </w:r>
      <w:r w:rsidRPr="00CD05D7">
        <w:rPr>
          <w:rFonts w:asciiTheme="minorHAnsi" w:hAnsiTheme="minorHAnsi" w:cstheme="minorHAnsi"/>
          <w:i/>
        </w:rPr>
        <w:t xml:space="preserve">Conclusion. </w:t>
      </w:r>
      <w:r w:rsidRPr="00CD05D7">
        <w:rPr>
          <w:rFonts w:asciiTheme="minorHAnsi" w:hAnsiTheme="minorHAnsi" w:cstheme="minorHAnsi"/>
        </w:rPr>
        <w:t xml:space="preserve">After removing transitory items from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profit and making adjustments to its balance sheet it becomes obvious that the company’s creditworthiness has not significantly improved. </w:t>
      </w:r>
    </w:p>
    <w:p w14:paraId="1787834C" w14:textId="77777777" w:rsidR="00B12CE9" w:rsidRPr="00CD05D7" w:rsidRDefault="00B12CE9" w:rsidP="00B12CE9">
      <w:pPr>
        <w:rPr>
          <w:rFonts w:asciiTheme="minorHAnsi" w:hAnsiTheme="minorHAnsi" w:cstheme="minorHAnsi"/>
        </w:rPr>
      </w:pPr>
    </w:p>
    <w:p w14:paraId="44C4AA0A" w14:textId="77777777" w:rsidR="00B12CE9" w:rsidRPr="00CD05D7" w:rsidRDefault="00066F51" w:rsidP="00B12CE9">
      <w:pPr>
        <w:rPr>
          <w:rFonts w:asciiTheme="minorHAnsi" w:hAnsiTheme="minorHAnsi" w:cstheme="minorHAnsi"/>
          <w:u w:val="single"/>
        </w:rPr>
      </w:pPr>
      <w:r w:rsidRPr="00CD05D7">
        <w:rPr>
          <w:rFonts w:asciiTheme="minorHAnsi" w:hAnsiTheme="minorHAnsi" w:cstheme="minorHAnsi"/>
          <w:u w:val="single"/>
        </w:rPr>
        <w:t>Question 2</w:t>
      </w:r>
    </w:p>
    <w:p w14:paraId="47BC1AA6" w14:textId="77777777" w:rsidR="00066F51" w:rsidRPr="00CD05D7" w:rsidRDefault="008649ED" w:rsidP="00B12CE9">
      <w:pPr>
        <w:rPr>
          <w:rFonts w:asciiTheme="minorHAnsi" w:hAnsiTheme="minorHAnsi" w:cstheme="minorHAnsi"/>
        </w:rPr>
      </w:pPr>
      <w:r w:rsidRPr="00CD05D7">
        <w:rPr>
          <w:rFonts w:asciiTheme="minorHAnsi" w:hAnsiTheme="minorHAnsi" w:cstheme="minorHAnsi"/>
        </w:rPr>
        <w:t xml:space="preserve">The previous analysis shows—after making the necessary accounting adjustments—that </w:t>
      </w:r>
      <w:proofErr w:type="spellStart"/>
      <w:r w:rsidRPr="00CD05D7">
        <w:rPr>
          <w:rFonts w:asciiTheme="minorHAnsi" w:hAnsiTheme="minorHAnsi" w:cstheme="minorHAnsi"/>
        </w:rPr>
        <w:t>KarstadtQuelle</w:t>
      </w:r>
      <w:proofErr w:type="spellEnd"/>
      <w:r w:rsidRPr="00CD05D7">
        <w:rPr>
          <w:rFonts w:asciiTheme="minorHAnsi" w:hAnsiTheme="minorHAnsi" w:cstheme="minorHAnsi"/>
        </w:rPr>
        <w:t xml:space="preserve"> is still highly leveraged and does not generate enough profit to cover its interest expense. Based on these findings, one could conclude that the company cannot bear the burden of another loan.</w:t>
      </w:r>
      <w:r w:rsidR="00BA1882" w:rsidRPr="00CD05D7">
        <w:rPr>
          <w:rFonts w:asciiTheme="minorHAnsi" w:hAnsiTheme="minorHAnsi" w:cstheme="minorHAnsi"/>
        </w:rPr>
        <w:t xml:space="preserve"> Lenders may, of course, be willing to extend a loan based on the company’s anticipated performance improvements. In that case, the interest rate charged on the loan would include a premium for the</w:t>
      </w:r>
      <w:r w:rsidR="00803FF1" w:rsidRPr="00CD05D7">
        <w:rPr>
          <w:rFonts w:asciiTheme="minorHAnsi" w:hAnsiTheme="minorHAnsi" w:cstheme="minorHAnsi"/>
        </w:rPr>
        <w:t xml:space="preserve"> additional</w:t>
      </w:r>
      <w:r w:rsidR="00BA1882" w:rsidRPr="00CD05D7">
        <w:rPr>
          <w:rFonts w:asciiTheme="minorHAnsi" w:hAnsiTheme="minorHAnsi" w:cstheme="minorHAnsi"/>
        </w:rPr>
        <w:t xml:space="preserve"> risk</w:t>
      </w:r>
      <w:r w:rsidR="009E2915" w:rsidRPr="00CD05D7">
        <w:rPr>
          <w:rFonts w:asciiTheme="minorHAnsi" w:hAnsiTheme="minorHAnsi" w:cstheme="minorHAnsi"/>
        </w:rPr>
        <w:t xml:space="preserve"> that the lender incurs</w:t>
      </w:r>
      <w:r w:rsidR="00BA1882" w:rsidRPr="00CD05D7">
        <w:rPr>
          <w:rFonts w:asciiTheme="minorHAnsi" w:hAnsiTheme="minorHAnsi" w:cstheme="minorHAnsi"/>
        </w:rPr>
        <w:t>.</w:t>
      </w:r>
    </w:p>
    <w:p w14:paraId="1657240E" w14:textId="77777777" w:rsidR="00BA1882" w:rsidRPr="00CD05D7" w:rsidRDefault="00BA1882" w:rsidP="00B12CE9">
      <w:pPr>
        <w:rPr>
          <w:rFonts w:asciiTheme="minorHAnsi" w:hAnsiTheme="minorHAnsi" w:cstheme="minorHAnsi"/>
        </w:rPr>
      </w:pPr>
      <w:r w:rsidRPr="00CD05D7">
        <w:rPr>
          <w:rFonts w:asciiTheme="minorHAnsi" w:hAnsiTheme="minorHAnsi" w:cstheme="minorHAnsi"/>
        </w:rPr>
        <w:tab/>
      </w:r>
      <w:r w:rsidR="00803FF1" w:rsidRPr="00CD05D7">
        <w:rPr>
          <w:rFonts w:asciiTheme="minorHAnsi" w:hAnsiTheme="minorHAnsi" w:cstheme="minorHAnsi"/>
        </w:rPr>
        <w:t xml:space="preserve">Table </w:t>
      </w:r>
      <w:r w:rsidR="00D11D38" w:rsidRPr="00CD05D7">
        <w:rPr>
          <w:rFonts w:asciiTheme="minorHAnsi" w:hAnsiTheme="minorHAnsi" w:cstheme="minorHAnsi"/>
        </w:rPr>
        <w:t xml:space="preserve">10-2 in the text book displays companies’ average interest expenses by debt rating category. The previous analysis showed that </w:t>
      </w:r>
      <w:proofErr w:type="spellStart"/>
      <w:r w:rsidR="00D11D38" w:rsidRPr="00CD05D7">
        <w:rPr>
          <w:rFonts w:asciiTheme="minorHAnsi" w:hAnsiTheme="minorHAnsi" w:cstheme="minorHAnsi"/>
        </w:rPr>
        <w:t>KarstadtQuelle’s</w:t>
      </w:r>
      <w:proofErr w:type="spellEnd"/>
      <w:r w:rsidR="00D11D38" w:rsidRPr="00CD05D7">
        <w:rPr>
          <w:rFonts w:asciiTheme="minorHAnsi" w:hAnsiTheme="minorHAnsi" w:cstheme="minorHAnsi"/>
        </w:rPr>
        <w:t xml:space="preserve"> debt could be rated B or even lower than B. In fiscal 2005, the average interest expense paid by companies with B ratings was 7.5 percent. The interest rate that lenders would charge </w:t>
      </w:r>
      <w:proofErr w:type="spellStart"/>
      <w:r w:rsidR="00D11D38" w:rsidRPr="00CD05D7">
        <w:rPr>
          <w:rFonts w:asciiTheme="minorHAnsi" w:hAnsiTheme="minorHAnsi" w:cstheme="minorHAnsi"/>
        </w:rPr>
        <w:t>KarstadtQuelle</w:t>
      </w:r>
      <w:proofErr w:type="spellEnd"/>
      <w:r w:rsidR="00D11D38" w:rsidRPr="00CD05D7">
        <w:rPr>
          <w:rFonts w:asciiTheme="minorHAnsi" w:hAnsiTheme="minorHAnsi" w:cstheme="minorHAnsi"/>
        </w:rPr>
        <w:t xml:space="preserve"> is likely to exceed this percentage.</w:t>
      </w:r>
    </w:p>
    <w:p w14:paraId="280EE715" w14:textId="77777777" w:rsidR="008649ED" w:rsidRPr="00CD05D7" w:rsidRDefault="008649ED" w:rsidP="00B12CE9">
      <w:pPr>
        <w:rPr>
          <w:rFonts w:asciiTheme="minorHAnsi" w:hAnsiTheme="minorHAnsi" w:cstheme="minorHAnsi"/>
        </w:rPr>
      </w:pPr>
    </w:p>
    <w:p w14:paraId="5EC3DABB" w14:textId="77777777" w:rsidR="00A74040" w:rsidRPr="00CD05D7" w:rsidRDefault="00A74040" w:rsidP="00A74040">
      <w:pPr>
        <w:rPr>
          <w:rFonts w:asciiTheme="minorHAnsi" w:hAnsiTheme="minorHAnsi" w:cstheme="minorHAnsi"/>
        </w:rPr>
      </w:pPr>
      <w:r w:rsidRPr="00CD05D7">
        <w:rPr>
          <w:rFonts w:asciiTheme="minorHAnsi" w:hAnsiTheme="minorHAnsi" w:cstheme="minorHAnsi"/>
        </w:rPr>
        <w:br w:type="page"/>
      </w:r>
      <w:r w:rsidRPr="00CD05D7">
        <w:rPr>
          <w:rFonts w:asciiTheme="minorHAnsi" w:hAnsiTheme="minorHAnsi" w:cstheme="minorHAnsi"/>
          <w:b/>
        </w:rPr>
        <w:lastRenderedPageBreak/>
        <w:t xml:space="preserve">Exhibit TN-1 </w:t>
      </w:r>
      <w:r w:rsidRPr="00CD05D7">
        <w:rPr>
          <w:rFonts w:asciiTheme="minorHAnsi" w:hAnsiTheme="minorHAnsi" w:cstheme="minorHAnsi"/>
        </w:rPr>
        <w:t>Calculating the interest rate implicit in operating leases (implicit rate = 6.6%)</w:t>
      </w:r>
    </w:p>
    <w:p w14:paraId="1AAB2A6D" w14:textId="77777777" w:rsidR="00A74040" w:rsidRPr="00CD05D7" w:rsidRDefault="00A74040" w:rsidP="00A74040">
      <w:pPr>
        <w:rPr>
          <w:rFonts w:asciiTheme="minorHAnsi" w:hAnsiTheme="minorHAnsi" w:cstheme="minorHAnsi"/>
        </w:rPr>
      </w:pPr>
    </w:p>
    <w:tbl>
      <w:tblPr>
        <w:tblW w:w="8655" w:type="dxa"/>
        <w:tblInd w:w="93" w:type="dxa"/>
        <w:tblLook w:val="0000" w:firstRow="0" w:lastRow="0" w:firstColumn="0" w:lastColumn="0" w:noHBand="0" w:noVBand="0"/>
      </w:tblPr>
      <w:tblGrid>
        <w:gridCol w:w="1995"/>
        <w:gridCol w:w="1980"/>
        <w:gridCol w:w="1800"/>
        <w:gridCol w:w="1260"/>
        <w:gridCol w:w="1620"/>
      </w:tblGrid>
      <w:tr w:rsidR="00A74040" w:rsidRPr="00CD05D7" w14:paraId="64C80149" w14:textId="77777777">
        <w:trPr>
          <w:trHeight w:val="1095"/>
        </w:trPr>
        <w:tc>
          <w:tcPr>
            <w:tcW w:w="1995" w:type="dxa"/>
            <w:tcBorders>
              <w:top w:val="nil"/>
              <w:left w:val="nil"/>
              <w:bottom w:val="single" w:sz="8" w:space="0" w:color="auto"/>
              <w:right w:val="nil"/>
            </w:tcBorders>
            <w:shd w:val="clear" w:color="auto" w:fill="auto"/>
          </w:tcPr>
          <w:p w14:paraId="3387600E" w14:textId="77777777" w:rsidR="00A74040" w:rsidRPr="00CD05D7" w:rsidRDefault="00A74040" w:rsidP="000A1E3A">
            <w:pPr>
              <w:jc w:val="center"/>
              <w:rPr>
                <w:rFonts w:asciiTheme="minorHAnsi" w:hAnsiTheme="minorHAnsi" w:cstheme="minorHAnsi"/>
                <w:b/>
                <w:bCs/>
                <w:sz w:val="20"/>
                <w:szCs w:val="20"/>
              </w:rPr>
            </w:pPr>
            <w:r w:rsidRPr="00CD05D7">
              <w:rPr>
                <w:rFonts w:asciiTheme="minorHAnsi" w:hAnsiTheme="minorHAnsi" w:cstheme="minorHAnsi"/>
                <w:b/>
                <w:bCs/>
                <w:sz w:val="20"/>
                <w:szCs w:val="20"/>
              </w:rPr>
              <w:t>Year</w:t>
            </w:r>
          </w:p>
        </w:tc>
        <w:tc>
          <w:tcPr>
            <w:tcW w:w="1980" w:type="dxa"/>
            <w:tcBorders>
              <w:top w:val="nil"/>
              <w:left w:val="nil"/>
              <w:bottom w:val="single" w:sz="8" w:space="0" w:color="auto"/>
              <w:right w:val="nil"/>
            </w:tcBorders>
            <w:shd w:val="clear" w:color="auto" w:fill="auto"/>
          </w:tcPr>
          <w:p w14:paraId="6B7CC55C" w14:textId="77777777" w:rsidR="00A74040" w:rsidRPr="00CD05D7" w:rsidRDefault="00A74040" w:rsidP="000A1E3A">
            <w:pPr>
              <w:jc w:val="center"/>
              <w:rPr>
                <w:rFonts w:asciiTheme="minorHAnsi" w:hAnsiTheme="minorHAnsi" w:cstheme="minorHAnsi"/>
                <w:b/>
                <w:bCs/>
                <w:sz w:val="20"/>
                <w:szCs w:val="20"/>
              </w:rPr>
            </w:pPr>
            <w:r w:rsidRPr="00CD05D7">
              <w:rPr>
                <w:rFonts w:asciiTheme="minorHAnsi" w:hAnsiTheme="minorHAnsi" w:cstheme="minorHAnsi"/>
                <w:b/>
                <w:bCs/>
                <w:sz w:val="20"/>
                <w:szCs w:val="20"/>
              </w:rPr>
              <w:t>Reported Payment operating leases</w:t>
            </w:r>
          </w:p>
        </w:tc>
        <w:tc>
          <w:tcPr>
            <w:tcW w:w="1800" w:type="dxa"/>
            <w:tcBorders>
              <w:top w:val="nil"/>
              <w:left w:val="nil"/>
              <w:bottom w:val="single" w:sz="8" w:space="0" w:color="auto"/>
              <w:right w:val="nil"/>
            </w:tcBorders>
            <w:shd w:val="clear" w:color="auto" w:fill="auto"/>
          </w:tcPr>
          <w:p w14:paraId="2CAC572E" w14:textId="77777777" w:rsidR="00A74040" w:rsidRPr="00CD05D7" w:rsidRDefault="00A74040" w:rsidP="000A1E3A">
            <w:pPr>
              <w:jc w:val="center"/>
              <w:rPr>
                <w:rFonts w:asciiTheme="minorHAnsi" w:hAnsiTheme="minorHAnsi" w:cstheme="minorHAnsi"/>
                <w:b/>
                <w:bCs/>
                <w:sz w:val="20"/>
                <w:szCs w:val="20"/>
              </w:rPr>
            </w:pPr>
            <w:r w:rsidRPr="00CD05D7">
              <w:rPr>
                <w:rFonts w:asciiTheme="minorHAnsi" w:hAnsiTheme="minorHAnsi" w:cstheme="minorHAnsi"/>
                <w:b/>
                <w:bCs/>
                <w:sz w:val="20"/>
                <w:szCs w:val="20"/>
              </w:rPr>
              <w:t>Assumed payment operating leases</w:t>
            </w:r>
          </w:p>
        </w:tc>
        <w:tc>
          <w:tcPr>
            <w:tcW w:w="1260" w:type="dxa"/>
            <w:tcBorders>
              <w:top w:val="nil"/>
              <w:left w:val="nil"/>
              <w:bottom w:val="single" w:sz="8" w:space="0" w:color="auto"/>
              <w:right w:val="nil"/>
            </w:tcBorders>
            <w:shd w:val="clear" w:color="auto" w:fill="auto"/>
          </w:tcPr>
          <w:p w14:paraId="6A9943D2" w14:textId="77777777" w:rsidR="00A74040" w:rsidRPr="00CD05D7" w:rsidRDefault="00A74040" w:rsidP="000A1E3A">
            <w:pPr>
              <w:jc w:val="center"/>
              <w:rPr>
                <w:rFonts w:asciiTheme="minorHAnsi" w:hAnsiTheme="minorHAnsi" w:cstheme="minorHAnsi"/>
                <w:b/>
                <w:bCs/>
                <w:sz w:val="20"/>
                <w:szCs w:val="20"/>
              </w:rPr>
            </w:pPr>
            <w:r w:rsidRPr="00CD05D7">
              <w:rPr>
                <w:rFonts w:asciiTheme="minorHAnsi" w:hAnsiTheme="minorHAnsi" w:cstheme="minorHAnsi"/>
                <w:b/>
                <w:bCs/>
                <w:sz w:val="20"/>
                <w:szCs w:val="20"/>
              </w:rPr>
              <w:t>Discount rate at 6.6%</w:t>
            </w:r>
          </w:p>
        </w:tc>
        <w:tc>
          <w:tcPr>
            <w:tcW w:w="1620" w:type="dxa"/>
            <w:tcBorders>
              <w:top w:val="nil"/>
              <w:left w:val="nil"/>
              <w:bottom w:val="single" w:sz="8" w:space="0" w:color="auto"/>
              <w:right w:val="nil"/>
            </w:tcBorders>
            <w:shd w:val="clear" w:color="auto" w:fill="auto"/>
          </w:tcPr>
          <w:p w14:paraId="14CBAD67" w14:textId="77777777" w:rsidR="00A74040" w:rsidRPr="00CD05D7" w:rsidRDefault="00A74040" w:rsidP="000A1E3A">
            <w:pPr>
              <w:jc w:val="center"/>
              <w:rPr>
                <w:rFonts w:asciiTheme="minorHAnsi" w:hAnsiTheme="minorHAnsi" w:cstheme="minorHAnsi"/>
                <w:b/>
                <w:bCs/>
                <w:sz w:val="20"/>
                <w:szCs w:val="20"/>
              </w:rPr>
            </w:pPr>
            <w:r w:rsidRPr="00CD05D7">
              <w:rPr>
                <w:rFonts w:asciiTheme="minorHAnsi" w:hAnsiTheme="minorHAnsi" w:cstheme="minorHAnsi"/>
                <w:b/>
                <w:bCs/>
                <w:sz w:val="20"/>
                <w:szCs w:val="20"/>
              </w:rPr>
              <w:t>Present value</w:t>
            </w:r>
          </w:p>
        </w:tc>
      </w:tr>
      <w:tr w:rsidR="00A74040" w:rsidRPr="00CD05D7" w14:paraId="77D3BCBA" w14:textId="77777777">
        <w:trPr>
          <w:trHeight w:hRule="exact" w:val="255"/>
        </w:trPr>
        <w:tc>
          <w:tcPr>
            <w:tcW w:w="1995" w:type="dxa"/>
            <w:tcBorders>
              <w:top w:val="nil"/>
              <w:left w:val="nil"/>
              <w:bottom w:val="nil"/>
              <w:right w:val="nil"/>
            </w:tcBorders>
            <w:shd w:val="clear" w:color="auto" w:fill="auto"/>
          </w:tcPr>
          <w:p w14:paraId="67E6488D"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2006</w:t>
            </w:r>
          </w:p>
        </w:tc>
        <w:tc>
          <w:tcPr>
            <w:tcW w:w="1980" w:type="dxa"/>
            <w:tcBorders>
              <w:top w:val="nil"/>
              <w:left w:val="nil"/>
              <w:bottom w:val="nil"/>
              <w:right w:val="nil"/>
            </w:tcBorders>
            <w:shd w:val="clear" w:color="auto" w:fill="auto"/>
          </w:tcPr>
          <w:p w14:paraId="087A2CCE"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343359</w:t>
            </w:r>
          </w:p>
        </w:tc>
        <w:tc>
          <w:tcPr>
            <w:tcW w:w="1800" w:type="dxa"/>
            <w:tcBorders>
              <w:top w:val="nil"/>
              <w:left w:val="nil"/>
              <w:bottom w:val="nil"/>
              <w:right w:val="nil"/>
            </w:tcBorders>
            <w:shd w:val="clear" w:color="auto" w:fill="auto"/>
          </w:tcPr>
          <w:p w14:paraId="52159DAC" w14:textId="77777777" w:rsidR="00A74040" w:rsidRPr="00CD05D7" w:rsidRDefault="00A74040" w:rsidP="00A74040">
            <w:pPr>
              <w:jc w:val="right"/>
              <w:rPr>
                <w:rFonts w:asciiTheme="minorHAnsi" w:hAnsiTheme="minorHAnsi" w:cstheme="minorHAnsi"/>
                <w:sz w:val="20"/>
                <w:szCs w:val="20"/>
              </w:rPr>
            </w:pPr>
            <w:r w:rsidRPr="00CD05D7">
              <w:rPr>
                <w:rFonts w:asciiTheme="minorHAnsi" w:hAnsiTheme="minorHAnsi" w:cstheme="minorHAnsi"/>
                <w:sz w:val="20"/>
                <w:szCs w:val="20"/>
              </w:rPr>
              <w:t>343,359</w:t>
            </w:r>
          </w:p>
        </w:tc>
        <w:tc>
          <w:tcPr>
            <w:tcW w:w="1260" w:type="dxa"/>
            <w:tcBorders>
              <w:top w:val="nil"/>
              <w:left w:val="nil"/>
              <w:bottom w:val="nil"/>
              <w:right w:val="nil"/>
            </w:tcBorders>
            <w:shd w:val="clear" w:color="auto" w:fill="auto"/>
            <w:noWrap/>
          </w:tcPr>
          <w:p w14:paraId="224EAA3A" w14:textId="77777777" w:rsidR="00A74040" w:rsidRPr="00CD05D7" w:rsidRDefault="00A74040" w:rsidP="00A74040">
            <w:pPr>
              <w:jc w:val="right"/>
              <w:rPr>
                <w:rFonts w:asciiTheme="minorHAnsi" w:hAnsiTheme="minorHAnsi" w:cstheme="minorHAnsi"/>
                <w:sz w:val="20"/>
                <w:szCs w:val="20"/>
              </w:rPr>
            </w:pPr>
            <w:r w:rsidRPr="00CD05D7">
              <w:rPr>
                <w:rFonts w:asciiTheme="minorHAnsi" w:hAnsiTheme="minorHAnsi" w:cstheme="minorHAnsi"/>
                <w:sz w:val="20"/>
                <w:szCs w:val="20"/>
              </w:rPr>
              <w:t>0.9685</w:t>
            </w:r>
          </w:p>
        </w:tc>
        <w:tc>
          <w:tcPr>
            <w:tcW w:w="1620" w:type="dxa"/>
            <w:tcBorders>
              <w:top w:val="nil"/>
              <w:left w:val="nil"/>
              <w:bottom w:val="nil"/>
              <w:right w:val="nil"/>
            </w:tcBorders>
            <w:shd w:val="clear" w:color="auto" w:fill="auto"/>
            <w:noWrap/>
          </w:tcPr>
          <w:p w14:paraId="3EE52546" w14:textId="77777777" w:rsidR="00A74040" w:rsidRPr="00CD05D7" w:rsidRDefault="00A74040" w:rsidP="00A74040">
            <w:pPr>
              <w:jc w:val="right"/>
              <w:rPr>
                <w:rFonts w:asciiTheme="minorHAnsi" w:hAnsiTheme="minorHAnsi" w:cstheme="minorHAnsi"/>
                <w:sz w:val="20"/>
                <w:szCs w:val="20"/>
              </w:rPr>
            </w:pPr>
            <w:r w:rsidRPr="00CD05D7">
              <w:rPr>
                <w:rFonts w:asciiTheme="minorHAnsi" w:hAnsiTheme="minorHAnsi" w:cstheme="minorHAnsi"/>
                <w:sz w:val="20"/>
                <w:szCs w:val="20"/>
              </w:rPr>
              <w:t>332,559.86</w:t>
            </w:r>
          </w:p>
        </w:tc>
      </w:tr>
      <w:tr w:rsidR="00A74040" w:rsidRPr="00CD05D7" w14:paraId="6F99EF11" w14:textId="77777777">
        <w:trPr>
          <w:trHeight w:val="131"/>
        </w:trPr>
        <w:tc>
          <w:tcPr>
            <w:tcW w:w="1995" w:type="dxa"/>
            <w:tcBorders>
              <w:top w:val="nil"/>
              <w:left w:val="nil"/>
              <w:bottom w:val="nil"/>
              <w:right w:val="nil"/>
            </w:tcBorders>
            <w:shd w:val="clear" w:color="auto" w:fill="auto"/>
          </w:tcPr>
          <w:p w14:paraId="10FC24A8"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2007</w:t>
            </w:r>
          </w:p>
        </w:tc>
        <w:tc>
          <w:tcPr>
            <w:tcW w:w="1980" w:type="dxa"/>
            <w:tcBorders>
              <w:top w:val="nil"/>
              <w:left w:val="nil"/>
              <w:bottom w:val="nil"/>
              <w:right w:val="nil"/>
            </w:tcBorders>
            <w:shd w:val="clear" w:color="auto" w:fill="auto"/>
          </w:tcPr>
          <w:p w14:paraId="341708E3"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919,291 in 5 y.</w:t>
            </w:r>
          </w:p>
        </w:tc>
        <w:tc>
          <w:tcPr>
            <w:tcW w:w="1800" w:type="dxa"/>
            <w:tcBorders>
              <w:top w:val="nil"/>
              <w:left w:val="nil"/>
              <w:bottom w:val="nil"/>
              <w:right w:val="nil"/>
            </w:tcBorders>
            <w:shd w:val="clear" w:color="auto" w:fill="auto"/>
          </w:tcPr>
          <w:p w14:paraId="72BCCDB8"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502D0334"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0.9086</w:t>
            </w:r>
          </w:p>
        </w:tc>
        <w:tc>
          <w:tcPr>
            <w:tcW w:w="1620" w:type="dxa"/>
            <w:tcBorders>
              <w:top w:val="nil"/>
              <w:left w:val="nil"/>
              <w:bottom w:val="nil"/>
              <w:right w:val="nil"/>
            </w:tcBorders>
            <w:shd w:val="clear" w:color="auto" w:fill="auto"/>
            <w:noWrap/>
          </w:tcPr>
          <w:p w14:paraId="69E0C95D"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167,050.28</w:t>
            </w:r>
          </w:p>
        </w:tc>
      </w:tr>
      <w:tr w:rsidR="00A74040" w:rsidRPr="00CD05D7" w14:paraId="1AE06053" w14:textId="77777777">
        <w:trPr>
          <w:trHeight w:val="167"/>
        </w:trPr>
        <w:tc>
          <w:tcPr>
            <w:tcW w:w="1995" w:type="dxa"/>
            <w:tcBorders>
              <w:top w:val="nil"/>
              <w:left w:val="nil"/>
              <w:bottom w:val="nil"/>
              <w:right w:val="nil"/>
            </w:tcBorders>
            <w:shd w:val="clear" w:color="auto" w:fill="auto"/>
          </w:tcPr>
          <w:p w14:paraId="7F7549CC"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2008</w:t>
            </w:r>
          </w:p>
        </w:tc>
        <w:tc>
          <w:tcPr>
            <w:tcW w:w="1980" w:type="dxa"/>
            <w:tcBorders>
              <w:top w:val="nil"/>
              <w:left w:val="nil"/>
              <w:bottom w:val="nil"/>
              <w:right w:val="nil"/>
            </w:tcBorders>
            <w:shd w:val="clear" w:color="auto" w:fill="auto"/>
          </w:tcPr>
          <w:p w14:paraId="519D033B"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919,291 in 5 y.</w:t>
            </w:r>
          </w:p>
        </w:tc>
        <w:tc>
          <w:tcPr>
            <w:tcW w:w="1800" w:type="dxa"/>
            <w:tcBorders>
              <w:top w:val="nil"/>
              <w:left w:val="nil"/>
              <w:bottom w:val="nil"/>
              <w:right w:val="nil"/>
            </w:tcBorders>
            <w:shd w:val="clear" w:color="auto" w:fill="auto"/>
          </w:tcPr>
          <w:p w14:paraId="0F91CC79"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675DEFDB"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0.8523</w:t>
            </w:r>
          </w:p>
        </w:tc>
        <w:tc>
          <w:tcPr>
            <w:tcW w:w="1620" w:type="dxa"/>
            <w:tcBorders>
              <w:top w:val="nil"/>
              <w:left w:val="nil"/>
              <w:bottom w:val="nil"/>
              <w:right w:val="nil"/>
            </w:tcBorders>
            <w:shd w:val="clear" w:color="auto" w:fill="auto"/>
            <w:noWrap/>
          </w:tcPr>
          <w:p w14:paraId="19C7A3B7"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156,707.58</w:t>
            </w:r>
          </w:p>
        </w:tc>
      </w:tr>
      <w:tr w:rsidR="00A74040" w:rsidRPr="00CD05D7" w14:paraId="14CD697B" w14:textId="77777777">
        <w:trPr>
          <w:trHeight w:val="189"/>
        </w:trPr>
        <w:tc>
          <w:tcPr>
            <w:tcW w:w="1995" w:type="dxa"/>
            <w:tcBorders>
              <w:top w:val="nil"/>
              <w:left w:val="nil"/>
              <w:bottom w:val="nil"/>
              <w:right w:val="nil"/>
            </w:tcBorders>
            <w:shd w:val="clear" w:color="auto" w:fill="auto"/>
          </w:tcPr>
          <w:p w14:paraId="2CDC1683"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2009</w:t>
            </w:r>
          </w:p>
        </w:tc>
        <w:tc>
          <w:tcPr>
            <w:tcW w:w="1980" w:type="dxa"/>
            <w:tcBorders>
              <w:top w:val="nil"/>
              <w:left w:val="nil"/>
              <w:bottom w:val="nil"/>
              <w:right w:val="nil"/>
            </w:tcBorders>
            <w:shd w:val="clear" w:color="auto" w:fill="auto"/>
          </w:tcPr>
          <w:p w14:paraId="12586893"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919,291 in 5 y.</w:t>
            </w:r>
          </w:p>
        </w:tc>
        <w:tc>
          <w:tcPr>
            <w:tcW w:w="1800" w:type="dxa"/>
            <w:tcBorders>
              <w:top w:val="nil"/>
              <w:left w:val="nil"/>
              <w:bottom w:val="nil"/>
              <w:right w:val="nil"/>
            </w:tcBorders>
            <w:shd w:val="clear" w:color="auto" w:fill="auto"/>
          </w:tcPr>
          <w:p w14:paraId="64B07FBB"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622108D7"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0.7996</w:t>
            </w:r>
          </w:p>
        </w:tc>
        <w:tc>
          <w:tcPr>
            <w:tcW w:w="1620" w:type="dxa"/>
            <w:tcBorders>
              <w:top w:val="nil"/>
              <w:left w:val="nil"/>
              <w:bottom w:val="nil"/>
              <w:right w:val="nil"/>
            </w:tcBorders>
            <w:shd w:val="clear" w:color="auto" w:fill="auto"/>
            <w:noWrap/>
          </w:tcPr>
          <w:p w14:paraId="285D0D21"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147,005.23</w:t>
            </w:r>
          </w:p>
        </w:tc>
      </w:tr>
      <w:tr w:rsidR="00A74040" w:rsidRPr="00CD05D7" w14:paraId="255F4893" w14:textId="77777777">
        <w:trPr>
          <w:trHeight w:val="225"/>
        </w:trPr>
        <w:tc>
          <w:tcPr>
            <w:tcW w:w="1995" w:type="dxa"/>
            <w:tcBorders>
              <w:top w:val="nil"/>
              <w:left w:val="nil"/>
              <w:bottom w:val="nil"/>
              <w:right w:val="nil"/>
            </w:tcBorders>
            <w:shd w:val="clear" w:color="auto" w:fill="auto"/>
          </w:tcPr>
          <w:p w14:paraId="275459E5"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2010</w:t>
            </w:r>
          </w:p>
        </w:tc>
        <w:tc>
          <w:tcPr>
            <w:tcW w:w="1980" w:type="dxa"/>
            <w:tcBorders>
              <w:top w:val="nil"/>
              <w:left w:val="nil"/>
              <w:bottom w:val="nil"/>
              <w:right w:val="nil"/>
            </w:tcBorders>
            <w:shd w:val="clear" w:color="auto" w:fill="auto"/>
          </w:tcPr>
          <w:p w14:paraId="6A09613C"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919,291 in 5 y.</w:t>
            </w:r>
          </w:p>
        </w:tc>
        <w:tc>
          <w:tcPr>
            <w:tcW w:w="1800" w:type="dxa"/>
            <w:tcBorders>
              <w:top w:val="nil"/>
              <w:left w:val="nil"/>
              <w:bottom w:val="nil"/>
              <w:right w:val="nil"/>
            </w:tcBorders>
            <w:shd w:val="clear" w:color="auto" w:fill="auto"/>
          </w:tcPr>
          <w:p w14:paraId="04E419BC"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3DBBFA18"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0.7501</w:t>
            </w:r>
          </w:p>
        </w:tc>
        <w:tc>
          <w:tcPr>
            <w:tcW w:w="1620" w:type="dxa"/>
            <w:tcBorders>
              <w:top w:val="nil"/>
              <w:left w:val="nil"/>
              <w:bottom w:val="nil"/>
              <w:right w:val="nil"/>
            </w:tcBorders>
            <w:shd w:val="clear" w:color="auto" w:fill="auto"/>
            <w:noWrap/>
          </w:tcPr>
          <w:p w14:paraId="6F76386B"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137,903.59</w:t>
            </w:r>
          </w:p>
        </w:tc>
      </w:tr>
      <w:tr w:rsidR="00A74040" w:rsidRPr="00CD05D7" w14:paraId="2C6080AC" w14:textId="77777777">
        <w:trPr>
          <w:trHeight w:val="80"/>
        </w:trPr>
        <w:tc>
          <w:tcPr>
            <w:tcW w:w="1995" w:type="dxa"/>
            <w:tcBorders>
              <w:top w:val="nil"/>
              <w:left w:val="nil"/>
              <w:bottom w:val="nil"/>
              <w:right w:val="nil"/>
            </w:tcBorders>
            <w:shd w:val="clear" w:color="auto" w:fill="auto"/>
          </w:tcPr>
          <w:p w14:paraId="536FF1DD"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2011</w:t>
            </w:r>
          </w:p>
        </w:tc>
        <w:tc>
          <w:tcPr>
            <w:tcW w:w="1980" w:type="dxa"/>
            <w:tcBorders>
              <w:top w:val="nil"/>
              <w:left w:val="nil"/>
              <w:bottom w:val="nil"/>
              <w:right w:val="nil"/>
            </w:tcBorders>
            <w:shd w:val="clear" w:color="auto" w:fill="auto"/>
          </w:tcPr>
          <w:p w14:paraId="089E898C"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919,291 in 5 y.</w:t>
            </w:r>
          </w:p>
        </w:tc>
        <w:tc>
          <w:tcPr>
            <w:tcW w:w="1800" w:type="dxa"/>
            <w:tcBorders>
              <w:top w:val="nil"/>
              <w:left w:val="nil"/>
              <w:bottom w:val="nil"/>
              <w:right w:val="nil"/>
            </w:tcBorders>
            <w:shd w:val="clear" w:color="auto" w:fill="auto"/>
          </w:tcPr>
          <w:p w14:paraId="450F86AB"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7FAE1A8B"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0.7036</w:t>
            </w:r>
          </w:p>
        </w:tc>
        <w:tc>
          <w:tcPr>
            <w:tcW w:w="1620" w:type="dxa"/>
            <w:tcBorders>
              <w:top w:val="nil"/>
              <w:left w:val="nil"/>
              <w:bottom w:val="nil"/>
              <w:right w:val="nil"/>
            </w:tcBorders>
            <w:shd w:val="clear" w:color="auto" w:fill="auto"/>
            <w:noWrap/>
          </w:tcPr>
          <w:p w14:paraId="553D5130"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129,365.47</w:t>
            </w:r>
          </w:p>
        </w:tc>
      </w:tr>
      <w:tr w:rsidR="00A74040" w:rsidRPr="00CD05D7" w14:paraId="4CF26859" w14:textId="77777777">
        <w:trPr>
          <w:trHeight w:val="104"/>
        </w:trPr>
        <w:tc>
          <w:tcPr>
            <w:tcW w:w="1995" w:type="dxa"/>
            <w:tcBorders>
              <w:top w:val="nil"/>
              <w:left w:val="nil"/>
              <w:bottom w:val="nil"/>
              <w:right w:val="nil"/>
            </w:tcBorders>
            <w:shd w:val="clear" w:color="auto" w:fill="auto"/>
            <w:noWrap/>
          </w:tcPr>
          <w:p w14:paraId="0D34FEFC"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2012 and subsequent</w:t>
            </w:r>
          </w:p>
        </w:tc>
        <w:tc>
          <w:tcPr>
            <w:tcW w:w="1980" w:type="dxa"/>
            <w:tcBorders>
              <w:top w:val="nil"/>
              <w:left w:val="nil"/>
              <w:bottom w:val="nil"/>
              <w:right w:val="nil"/>
            </w:tcBorders>
            <w:shd w:val="clear" w:color="auto" w:fill="auto"/>
          </w:tcPr>
          <w:p w14:paraId="4526BB60"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1,221,619 in 6.6 y.</w:t>
            </w:r>
          </w:p>
        </w:tc>
        <w:tc>
          <w:tcPr>
            <w:tcW w:w="1800" w:type="dxa"/>
            <w:tcBorders>
              <w:top w:val="nil"/>
              <w:left w:val="nil"/>
              <w:bottom w:val="nil"/>
              <w:right w:val="nil"/>
            </w:tcBorders>
            <w:shd w:val="clear" w:color="auto" w:fill="auto"/>
            <w:noWrap/>
          </w:tcPr>
          <w:p w14:paraId="79EF23B2"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66394AFD"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0.6601</w:t>
            </w:r>
          </w:p>
        </w:tc>
        <w:tc>
          <w:tcPr>
            <w:tcW w:w="1620" w:type="dxa"/>
            <w:tcBorders>
              <w:top w:val="nil"/>
              <w:left w:val="nil"/>
              <w:bottom w:val="nil"/>
              <w:right w:val="nil"/>
            </w:tcBorders>
            <w:shd w:val="clear" w:color="auto" w:fill="auto"/>
            <w:noWrap/>
          </w:tcPr>
          <w:p w14:paraId="3EFEB855"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121,355.98</w:t>
            </w:r>
          </w:p>
        </w:tc>
      </w:tr>
      <w:tr w:rsidR="00A74040" w:rsidRPr="00CD05D7" w14:paraId="71298B15" w14:textId="77777777">
        <w:trPr>
          <w:trHeight w:val="139"/>
        </w:trPr>
        <w:tc>
          <w:tcPr>
            <w:tcW w:w="1995" w:type="dxa"/>
            <w:tcBorders>
              <w:top w:val="nil"/>
              <w:left w:val="nil"/>
              <w:bottom w:val="nil"/>
              <w:right w:val="nil"/>
            </w:tcBorders>
            <w:shd w:val="clear" w:color="auto" w:fill="auto"/>
            <w:noWrap/>
          </w:tcPr>
          <w:p w14:paraId="0A9A0583" w14:textId="77777777" w:rsidR="00A74040" w:rsidRPr="00CD05D7" w:rsidRDefault="00A74040" w:rsidP="000A1E3A">
            <w:pPr>
              <w:rPr>
                <w:rFonts w:asciiTheme="minorHAnsi" w:hAnsiTheme="minorHAnsi" w:cstheme="minorHAnsi"/>
                <w:sz w:val="20"/>
                <w:szCs w:val="20"/>
              </w:rPr>
            </w:pPr>
          </w:p>
        </w:tc>
        <w:tc>
          <w:tcPr>
            <w:tcW w:w="1980" w:type="dxa"/>
            <w:tcBorders>
              <w:top w:val="nil"/>
              <w:left w:val="nil"/>
              <w:bottom w:val="nil"/>
              <w:right w:val="nil"/>
            </w:tcBorders>
            <w:shd w:val="clear" w:color="auto" w:fill="auto"/>
          </w:tcPr>
          <w:p w14:paraId="51D22AA3"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1,221,619 in 6.6 y.</w:t>
            </w:r>
          </w:p>
        </w:tc>
        <w:tc>
          <w:tcPr>
            <w:tcW w:w="1800" w:type="dxa"/>
            <w:tcBorders>
              <w:top w:val="nil"/>
              <w:left w:val="nil"/>
              <w:bottom w:val="nil"/>
              <w:right w:val="nil"/>
            </w:tcBorders>
            <w:shd w:val="clear" w:color="auto" w:fill="auto"/>
            <w:noWrap/>
          </w:tcPr>
          <w:p w14:paraId="06BA83F6"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3C65388D"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0.6192</w:t>
            </w:r>
          </w:p>
        </w:tc>
        <w:tc>
          <w:tcPr>
            <w:tcW w:w="1620" w:type="dxa"/>
            <w:tcBorders>
              <w:top w:val="nil"/>
              <w:left w:val="nil"/>
              <w:bottom w:val="nil"/>
              <w:right w:val="nil"/>
            </w:tcBorders>
            <w:shd w:val="clear" w:color="auto" w:fill="auto"/>
            <w:noWrap/>
          </w:tcPr>
          <w:p w14:paraId="12375E4E"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113,842.38</w:t>
            </w:r>
          </w:p>
        </w:tc>
      </w:tr>
      <w:tr w:rsidR="00A74040" w:rsidRPr="00CD05D7" w14:paraId="04EC178F" w14:textId="77777777">
        <w:trPr>
          <w:trHeight w:val="161"/>
        </w:trPr>
        <w:tc>
          <w:tcPr>
            <w:tcW w:w="1995" w:type="dxa"/>
            <w:tcBorders>
              <w:top w:val="nil"/>
              <w:left w:val="nil"/>
              <w:bottom w:val="nil"/>
              <w:right w:val="nil"/>
            </w:tcBorders>
            <w:shd w:val="clear" w:color="auto" w:fill="auto"/>
            <w:noWrap/>
          </w:tcPr>
          <w:p w14:paraId="61C9A009" w14:textId="77777777" w:rsidR="00A74040" w:rsidRPr="00CD05D7" w:rsidRDefault="00A74040" w:rsidP="000A1E3A">
            <w:pPr>
              <w:rPr>
                <w:rFonts w:asciiTheme="minorHAnsi" w:hAnsiTheme="minorHAnsi" w:cstheme="minorHAnsi"/>
                <w:sz w:val="20"/>
                <w:szCs w:val="20"/>
              </w:rPr>
            </w:pPr>
          </w:p>
        </w:tc>
        <w:tc>
          <w:tcPr>
            <w:tcW w:w="1980" w:type="dxa"/>
            <w:tcBorders>
              <w:top w:val="nil"/>
              <w:left w:val="nil"/>
              <w:bottom w:val="nil"/>
              <w:right w:val="nil"/>
            </w:tcBorders>
            <w:shd w:val="clear" w:color="auto" w:fill="auto"/>
          </w:tcPr>
          <w:p w14:paraId="0F0D5968"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1,221,619 in 6.6 y.</w:t>
            </w:r>
          </w:p>
        </w:tc>
        <w:tc>
          <w:tcPr>
            <w:tcW w:w="1800" w:type="dxa"/>
            <w:tcBorders>
              <w:top w:val="nil"/>
              <w:left w:val="nil"/>
              <w:bottom w:val="nil"/>
              <w:right w:val="nil"/>
            </w:tcBorders>
            <w:shd w:val="clear" w:color="auto" w:fill="auto"/>
            <w:noWrap/>
          </w:tcPr>
          <w:p w14:paraId="0E2B9FFC"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3AA538AD"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0.5808</w:t>
            </w:r>
          </w:p>
        </w:tc>
        <w:tc>
          <w:tcPr>
            <w:tcW w:w="1620" w:type="dxa"/>
            <w:tcBorders>
              <w:top w:val="nil"/>
              <w:left w:val="nil"/>
              <w:bottom w:val="nil"/>
              <w:right w:val="nil"/>
            </w:tcBorders>
            <w:shd w:val="clear" w:color="auto" w:fill="auto"/>
            <w:noWrap/>
          </w:tcPr>
          <w:p w14:paraId="6F7C0C2D"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106,793.98</w:t>
            </w:r>
          </w:p>
        </w:tc>
      </w:tr>
      <w:tr w:rsidR="00A74040" w:rsidRPr="00CD05D7" w14:paraId="37760D39" w14:textId="77777777">
        <w:trPr>
          <w:trHeight w:val="197"/>
        </w:trPr>
        <w:tc>
          <w:tcPr>
            <w:tcW w:w="1995" w:type="dxa"/>
            <w:tcBorders>
              <w:top w:val="nil"/>
              <w:left w:val="nil"/>
              <w:bottom w:val="nil"/>
              <w:right w:val="nil"/>
            </w:tcBorders>
            <w:shd w:val="clear" w:color="auto" w:fill="auto"/>
            <w:noWrap/>
          </w:tcPr>
          <w:p w14:paraId="70506A24" w14:textId="77777777" w:rsidR="00A74040" w:rsidRPr="00CD05D7" w:rsidRDefault="00A74040" w:rsidP="000A1E3A">
            <w:pPr>
              <w:rPr>
                <w:rFonts w:asciiTheme="minorHAnsi" w:hAnsiTheme="minorHAnsi" w:cstheme="minorHAnsi"/>
                <w:sz w:val="20"/>
                <w:szCs w:val="20"/>
              </w:rPr>
            </w:pPr>
          </w:p>
        </w:tc>
        <w:tc>
          <w:tcPr>
            <w:tcW w:w="1980" w:type="dxa"/>
            <w:tcBorders>
              <w:top w:val="nil"/>
              <w:left w:val="nil"/>
              <w:bottom w:val="nil"/>
              <w:right w:val="nil"/>
            </w:tcBorders>
            <w:shd w:val="clear" w:color="auto" w:fill="auto"/>
          </w:tcPr>
          <w:p w14:paraId="5804D2D3"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1,221,619 in 6.6 y.</w:t>
            </w:r>
          </w:p>
        </w:tc>
        <w:tc>
          <w:tcPr>
            <w:tcW w:w="1800" w:type="dxa"/>
            <w:tcBorders>
              <w:top w:val="nil"/>
              <w:left w:val="nil"/>
              <w:bottom w:val="nil"/>
              <w:right w:val="nil"/>
            </w:tcBorders>
            <w:shd w:val="clear" w:color="auto" w:fill="auto"/>
            <w:noWrap/>
          </w:tcPr>
          <w:p w14:paraId="4C18CA49"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6E151FFE"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0.5449</w:t>
            </w:r>
          </w:p>
        </w:tc>
        <w:tc>
          <w:tcPr>
            <w:tcW w:w="1620" w:type="dxa"/>
            <w:tcBorders>
              <w:top w:val="nil"/>
              <w:left w:val="nil"/>
              <w:bottom w:val="nil"/>
              <w:right w:val="nil"/>
            </w:tcBorders>
            <w:shd w:val="clear" w:color="auto" w:fill="auto"/>
            <w:noWrap/>
          </w:tcPr>
          <w:p w14:paraId="3B794C6F"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100,181.97</w:t>
            </w:r>
          </w:p>
        </w:tc>
      </w:tr>
      <w:tr w:rsidR="00A74040" w:rsidRPr="00CD05D7" w14:paraId="5DF9EDCB" w14:textId="77777777">
        <w:trPr>
          <w:trHeight w:val="219"/>
        </w:trPr>
        <w:tc>
          <w:tcPr>
            <w:tcW w:w="1995" w:type="dxa"/>
            <w:tcBorders>
              <w:top w:val="nil"/>
              <w:left w:val="nil"/>
              <w:bottom w:val="nil"/>
              <w:right w:val="nil"/>
            </w:tcBorders>
            <w:shd w:val="clear" w:color="auto" w:fill="auto"/>
            <w:noWrap/>
          </w:tcPr>
          <w:p w14:paraId="46E627D0" w14:textId="77777777" w:rsidR="00A74040" w:rsidRPr="00CD05D7" w:rsidRDefault="00A74040" w:rsidP="000A1E3A">
            <w:pPr>
              <w:rPr>
                <w:rFonts w:asciiTheme="minorHAnsi" w:hAnsiTheme="minorHAnsi" w:cstheme="minorHAnsi"/>
                <w:sz w:val="20"/>
                <w:szCs w:val="20"/>
              </w:rPr>
            </w:pPr>
          </w:p>
        </w:tc>
        <w:tc>
          <w:tcPr>
            <w:tcW w:w="1980" w:type="dxa"/>
            <w:tcBorders>
              <w:top w:val="nil"/>
              <w:left w:val="nil"/>
              <w:bottom w:val="nil"/>
              <w:right w:val="nil"/>
            </w:tcBorders>
            <w:shd w:val="clear" w:color="auto" w:fill="auto"/>
          </w:tcPr>
          <w:p w14:paraId="069223D1"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1,221,619 in 6.6 y.</w:t>
            </w:r>
          </w:p>
        </w:tc>
        <w:tc>
          <w:tcPr>
            <w:tcW w:w="1800" w:type="dxa"/>
            <w:tcBorders>
              <w:top w:val="nil"/>
              <w:left w:val="nil"/>
              <w:bottom w:val="nil"/>
              <w:right w:val="nil"/>
            </w:tcBorders>
            <w:shd w:val="clear" w:color="auto" w:fill="auto"/>
            <w:noWrap/>
          </w:tcPr>
          <w:p w14:paraId="2F74C6D1"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2DFC1B1D"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0.5112</w:t>
            </w:r>
          </w:p>
        </w:tc>
        <w:tc>
          <w:tcPr>
            <w:tcW w:w="1620" w:type="dxa"/>
            <w:tcBorders>
              <w:top w:val="nil"/>
              <w:left w:val="nil"/>
              <w:bottom w:val="nil"/>
              <w:right w:val="nil"/>
            </w:tcBorders>
            <w:shd w:val="clear" w:color="auto" w:fill="auto"/>
            <w:noWrap/>
          </w:tcPr>
          <w:p w14:paraId="3BA9038C"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93,979.332</w:t>
            </w:r>
          </w:p>
        </w:tc>
      </w:tr>
      <w:tr w:rsidR="00A74040" w:rsidRPr="00CD05D7" w14:paraId="770360EB" w14:textId="77777777">
        <w:trPr>
          <w:trHeight w:val="255"/>
        </w:trPr>
        <w:tc>
          <w:tcPr>
            <w:tcW w:w="1995" w:type="dxa"/>
            <w:tcBorders>
              <w:top w:val="nil"/>
              <w:left w:val="nil"/>
              <w:bottom w:val="nil"/>
              <w:right w:val="nil"/>
            </w:tcBorders>
            <w:shd w:val="clear" w:color="auto" w:fill="auto"/>
            <w:noWrap/>
          </w:tcPr>
          <w:p w14:paraId="58248014" w14:textId="77777777" w:rsidR="00A74040" w:rsidRPr="00CD05D7" w:rsidRDefault="00A74040" w:rsidP="000A1E3A">
            <w:pPr>
              <w:rPr>
                <w:rFonts w:asciiTheme="minorHAnsi" w:hAnsiTheme="minorHAnsi" w:cstheme="minorHAnsi"/>
                <w:sz w:val="20"/>
                <w:szCs w:val="20"/>
              </w:rPr>
            </w:pPr>
          </w:p>
        </w:tc>
        <w:tc>
          <w:tcPr>
            <w:tcW w:w="1980" w:type="dxa"/>
            <w:tcBorders>
              <w:top w:val="nil"/>
              <w:left w:val="nil"/>
              <w:bottom w:val="nil"/>
              <w:right w:val="nil"/>
            </w:tcBorders>
            <w:shd w:val="clear" w:color="auto" w:fill="auto"/>
          </w:tcPr>
          <w:p w14:paraId="0B52585C"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1,221,619 in 6.6 y.</w:t>
            </w:r>
          </w:p>
        </w:tc>
        <w:tc>
          <w:tcPr>
            <w:tcW w:w="1800" w:type="dxa"/>
            <w:tcBorders>
              <w:top w:val="nil"/>
              <w:left w:val="nil"/>
              <w:bottom w:val="nil"/>
              <w:right w:val="nil"/>
            </w:tcBorders>
            <w:shd w:val="clear" w:color="auto" w:fill="auto"/>
            <w:noWrap/>
          </w:tcPr>
          <w:p w14:paraId="711473C5"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183,858.2</w:t>
            </w:r>
          </w:p>
        </w:tc>
        <w:tc>
          <w:tcPr>
            <w:tcW w:w="1260" w:type="dxa"/>
            <w:tcBorders>
              <w:top w:val="nil"/>
              <w:left w:val="nil"/>
              <w:bottom w:val="nil"/>
              <w:right w:val="nil"/>
            </w:tcBorders>
            <w:shd w:val="clear" w:color="auto" w:fill="auto"/>
            <w:noWrap/>
          </w:tcPr>
          <w:p w14:paraId="38AA4F2B"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0.4795</w:t>
            </w:r>
          </w:p>
        </w:tc>
        <w:tc>
          <w:tcPr>
            <w:tcW w:w="1620" w:type="dxa"/>
            <w:tcBorders>
              <w:top w:val="nil"/>
              <w:left w:val="nil"/>
              <w:bottom w:val="nil"/>
              <w:right w:val="nil"/>
            </w:tcBorders>
            <w:shd w:val="clear" w:color="auto" w:fill="auto"/>
            <w:noWrap/>
          </w:tcPr>
          <w:p w14:paraId="78ABEF2C"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88,160.724</w:t>
            </w:r>
          </w:p>
        </w:tc>
      </w:tr>
      <w:tr w:rsidR="00A74040" w:rsidRPr="00CD05D7" w14:paraId="3B8207F4" w14:textId="77777777">
        <w:trPr>
          <w:trHeight w:val="277"/>
        </w:trPr>
        <w:tc>
          <w:tcPr>
            <w:tcW w:w="1995" w:type="dxa"/>
            <w:tcBorders>
              <w:top w:val="nil"/>
              <w:left w:val="nil"/>
              <w:bottom w:val="nil"/>
              <w:right w:val="nil"/>
            </w:tcBorders>
            <w:shd w:val="clear" w:color="auto" w:fill="auto"/>
            <w:noWrap/>
          </w:tcPr>
          <w:p w14:paraId="57AA13FA" w14:textId="77777777" w:rsidR="00A74040" w:rsidRPr="00CD05D7" w:rsidRDefault="00A74040" w:rsidP="000A1E3A">
            <w:pPr>
              <w:rPr>
                <w:rFonts w:asciiTheme="minorHAnsi" w:hAnsiTheme="minorHAnsi" w:cstheme="minorHAnsi"/>
                <w:sz w:val="20"/>
                <w:szCs w:val="20"/>
              </w:rPr>
            </w:pPr>
          </w:p>
        </w:tc>
        <w:tc>
          <w:tcPr>
            <w:tcW w:w="1980" w:type="dxa"/>
            <w:tcBorders>
              <w:top w:val="nil"/>
              <w:left w:val="nil"/>
              <w:bottom w:val="nil"/>
              <w:right w:val="nil"/>
            </w:tcBorders>
            <w:shd w:val="clear" w:color="auto" w:fill="auto"/>
          </w:tcPr>
          <w:p w14:paraId="32CD3A5C" w14:textId="77777777" w:rsidR="00A74040" w:rsidRPr="00CD05D7" w:rsidRDefault="00A74040" w:rsidP="000A1E3A">
            <w:pPr>
              <w:rPr>
                <w:rFonts w:asciiTheme="minorHAnsi" w:hAnsiTheme="minorHAnsi" w:cstheme="minorHAnsi"/>
                <w:sz w:val="20"/>
                <w:szCs w:val="20"/>
              </w:rPr>
            </w:pPr>
            <w:r w:rsidRPr="00CD05D7">
              <w:rPr>
                <w:rFonts w:asciiTheme="minorHAnsi" w:hAnsiTheme="minorHAnsi" w:cstheme="minorHAnsi"/>
                <w:sz w:val="20"/>
                <w:szCs w:val="20"/>
              </w:rPr>
              <w:t>1,221,619 in 6.6 y.</w:t>
            </w:r>
          </w:p>
        </w:tc>
        <w:tc>
          <w:tcPr>
            <w:tcW w:w="1800" w:type="dxa"/>
            <w:tcBorders>
              <w:top w:val="nil"/>
              <w:left w:val="nil"/>
              <w:bottom w:val="nil"/>
              <w:right w:val="nil"/>
            </w:tcBorders>
            <w:shd w:val="clear" w:color="auto" w:fill="auto"/>
            <w:noWrap/>
          </w:tcPr>
          <w:p w14:paraId="06449B6A"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118,469.8</w:t>
            </w:r>
          </w:p>
        </w:tc>
        <w:tc>
          <w:tcPr>
            <w:tcW w:w="1260" w:type="dxa"/>
            <w:tcBorders>
              <w:top w:val="nil"/>
              <w:left w:val="nil"/>
              <w:bottom w:val="nil"/>
              <w:right w:val="nil"/>
            </w:tcBorders>
            <w:shd w:val="clear" w:color="auto" w:fill="auto"/>
            <w:noWrap/>
          </w:tcPr>
          <w:p w14:paraId="110AE9A2"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0.4498</w:t>
            </w:r>
          </w:p>
        </w:tc>
        <w:tc>
          <w:tcPr>
            <w:tcW w:w="1620" w:type="dxa"/>
            <w:tcBorders>
              <w:top w:val="nil"/>
              <w:left w:val="nil"/>
              <w:bottom w:val="single" w:sz="4" w:space="0" w:color="auto"/>
              <w:right w:val="nil"/>
            </w:tcBorders>
            <w:shd w:val="clear" w:color="auto" w:fill="auto"/>
            <w:noWrap/>
          </w:tcPr>
          <w:p w14:paraId="6AB1A133"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53,289.617</w:t>
            </w:r>
          </w:p>
        </w:tc>
      </w:tr>
      <w:tr w:rsidR="00A74040" w:rsidRPr="00CD05D7" w14:paraId="5D350E5F" w14:textId="77777777">
        <w:trPr>
          <w:trHeight w:val="255"/>
        </w:trPr>
        <w:tc>
          <w:tcPr>
            <w:tcW w:w="1995" w:type="dxa"/>
            <w:tcBorders>
              <w:top w:val="nil"/>
              <w:left w:val="nil"/>
              <w:bottom w:val="nil"/>
              <w:right w:val="nil"/>
            </w:tcBorders>
            <w:shd w:val="clear" w:color="auto" w:fill="auto"/>
            <w:noWrap/>
          </w:tcPr>
          <w:p w14:paraId="06780119" w14:textId="77777777" w:rsidR="00A74040" w:rsidRPr="00CD05D7" w:rsidRDefault="00A74040" w:rsidP="000A1E3A">
            <w:pPr>
              <w:rPr>
                <w:rFonts w:asciiTheme="minorHAnsi" w:hAnsiTheme="minorHAnsi" w:cstheme="minorHAnsi"/>
                <w:sz w:val="20"/>
                <w:szCs w:val="20"/>
              </w:rPr>
            </w:pPr>
          </w:p>
        </w:tc>
        <w:tc>
          <w:tcPr>
            <w:tcW w:w="1980" w:type="dxa"/>
            <w:tcBorders>
              <w:top w:val="nil"/>
              <w:left w:val="nil"/>
              <w:bottom w:val="nil"/>
              <w:right w:val="nil"/>
            </w:tcBorders>
            <w:shd w:val="clear" w:color="auto" w:fill="auto"/>
          </w:tcPr>
          <w:p w14:paraId="44CECD4F" w14:textId="77777777" w:rsidR="00A74040" w:rsidRPr="00CD05D7" w:rsidRDefault="00A74040" w:rsidP="000A1E3A">
            <w:pPr>
              <w:rPr>
                <w:rFonts w:asciiTheme="minorHAnsi" w:hAnsiTheme="minorHAnsi" w:cstheme="minorHAnsi"/>
                <w:sz w:val="20"/>
                <w:szCs w:val="20"/>
              </w:rPr>
            </w:pPr>
          </w:p>
        </w:tc>
        <w:tc>
          <w:tcPr>
            <w:tcW w:w="1800" w:type="dxa"/>
            <w:tcBorders>
              <w:top w:val="nil"/>
              <w:left w:val="nil"/>
              <w:bottom w:val="nil"/>
              <w:right w:val="nil"/>
            </w:tcBorders>
            <w:shd w:val="clear" w:color="auto" w:fill="auto"/>
            <w:noWrap/>
          </w:tcPr>
          <w:p w14:paraId="4CA73680" w14:textId="77777777" w:rsidR="00A74040" w:rsidRPr="00CD05D7" w:rsidRDefault="00A74040" w:rsidP="000A1E3A">
            <w:pPr>
              <w:jc w:val="right"/>
              <w:rPr>
                <w:rFonts w:asciiTheme="minorHAnsi" w:hAnsiTheme="minorHAnsi" w:cstheme="minorHAnsi"/>
                <w:sz w:val="20"/>
                <w:szCs w:val="20"/>
              </w:rPr>
            </w:pPr>
          </w:p>
        </w:tc>
        <w:tc>
          <w:tcPr>
            <w:tcW w:w="1260" w:type="dxa"/>
            <w:tcBorders>
              <w:top w:val="nil"/>
              <w:left w:val="nil"/>
              <w:bottom w:val="nil"/>
              <w:right w:val="nil"/>
            </w:tcBorders>
            <w:shd w:val="clear" w:color="auto" w:fill="auto"/>
            <w:noWrap/>
          </w:tcPr>
          <w:p w14:paraId="45E2AE6E" w14:textId="77777777" w:rsidR="00A74040" w:rsidRPr="00CD05D7" w:rsidRDefault="00A74040" w:rsidP="000A1E3A">
            <w:pPr>
              <w:rPr>
                <w:rFonts w:asciiTheme="minorHAnsi" w:hAnsiTheme="minorHAnsi" w:cstheme="minorHAnsi"/>
                <w:sz w:val="20"/>
                <w:szCs w:val="20"/>
              </w:rPr>
            </w:pPr>
          </w:p>
        </w:tc>
        <w:tc>
          <w:tcPr>
            <w:tcW w:w="1620" w:type="dxa"/>
            <w:tcBorders>
              <w:top w:val="single" w:sz="4" w:space="0" w:color="auto"/>
              <w:left w:val="nil"/>
              <w:bottom w:val="nil"/>
              <w:right w:val="nil"/>
            </w:tcBorders>
            <w:shd w:val="clear" w:color="auto" w:fill="auto"/>
            <w:noWrap/>
          </w:tcPr>
          <w:p w14:paraId="244A9B50" w14:textId="77777777" w:rsidR="00A74040" w:rsidRPr="00CD05D7" w:rsidRDefault="00A74040" w:rsidP="000A1E3A">
            <w:pPr>
              <w:jc w:val="right"/>
              <w:rPr>
                <w:rFonts w:asciiTheme="minorHAnsi" w:hAnsiTheme="minorHAnsi" w:cstheme="minorHAnsi"/>
                <w:sz w:val="20"/>
                <w:szCs w:val="20"/>
              </w:rPr>
            </w:pPr>
            <w:r w:rsidRPr="00CD05D7">
              <w:rPr>
                <w:rFonts w:asciiTheme="minorHAnsi" w:hAnsiTheme="minorHAnsi" w:cstheme="minorHAnsi"/>
                <w:sz w:val="20"/>
                <w:szCs w:val="20"/>
              </w:rPr>
              <w:t>1,748,196</w:t>
            </w:r>
          </w:p>
        </w:tc>
      </w:tr>
    </w:tbl>
    <w:p w14:paraId="57754932" w14:textId="77777777" w:rsidR="00A74040" w:rsidRPr="00CD05D7" w:rsidRDefault="00A74040" w:rsidP="00A74040">
      <w:pPr>
        <w:rPr>
          <w:rFonts w:asciiTheme="minorHAnsi" w:hAnsiTheme="minorHAnsi" w:cstheme="minorHAnsi"/>
        </w:rPr>
      </w:pPr>
    </w:p>
    <w:p w14:paraId="4985F894" w14:textId="77777777" w:rsidR="00A74040" w:rsidRPr="00CD05D7" w:rsidRDefault="00A74040" w:rsidP="00A74040">
      <w:pPr>
        <w:rPr>
          <w:rFonts w:asciiTheme="minorHAnsi" w:hAnsiTheme="minorHAnsi" w:cstheme="minorHAnsi"/>
        </w:rPr>
      </w:pPr>
      <w:r w:rsidRPr="00CD05D7">
        <w:rPr>
          <w:rFonts w:asciiTheme="minorHAnsi" w:hAnsiTheme="minorHAnsi" w:cstheme="minorHAnsi"/>
        </w:rPr>
        <w:br w:type="page"/>
      </w:r>
      <w:r w:rsidRPr="00CD05D7">
        <w:rPr>
          <w:rFonts w:asciiTheme="minorHAnsi" w:hAnsiTheme="minorHAnsi" w:cstheme="minorHAnsi"/>
          <w:b/>
        </w:rPr>
        <w:lastRenderedPageBreak/>
        <w:t xml:space="preserve">Exhibit TN-2 </w:t>
      </w:r>
      <w:r w:rsidRPr="00CD05D7">
        <w:rPr>
          <w:rFonts w:asciiTheme="minorHAnsi" w:hAnsiTheme="minorHAnsi" w:cstheme="minorHAnsi"/>
        </w:rPr>
        <w:t xml:space="preserve">Analysis of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w:t>
      </w:r>
      <w:r w:rsidR="004E1CC3" w:rsidRPr="00CD05D7">
        <w:rPr>
          <w:rFonts w:asciiTheme="minorHAnsi" w:hAnsiTheme="minorHAnsi" w:cstheme="minorHAnsi"/>
        </w:rPr>
        <w:t xml:space="preserve">creditworthiness using </w:t>
      </w:r>
      <w:r w:rsidR="008A6429" w:rsidRPr="00CD05D7">
        <w:rPr>
          <w:rFonts w:asciiTheme="minorHAnsi" w:hAnsiTheme="minorHAnsi" w:cstheme="minorHAnsi"/>
        </w:rPr>
        <w:t xml:space="preserve">unadjusted </w:t>
      </w:r>
      <w:r w:rsidR="004E1CC3" w:rsidRPr="00CD05D7">
        <w:rPr>
          <w:rFonts w:asciiTheme="minorHAnsi" w:hAnsiTheme="minorHAnsi" w:cstheme="minorHAnsi"/>
        </w:rPr>
        <w:t>financial statement data</w:t>
      </w:r>
    </w:p>
    <w:p w14:paraId="339E1172" w14:textId="77777777" w:rsidR="002B5D0A" w:rsidRPr="00CD05D7" w:rsidRDefault="002B5D0A">
      <w:pPr>
        <w:rPr>
          <w:rFonts w:asciiTheme="minorHAnsi" w:hAnsiTheme="minorHAnsi"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111"/>
        <w:gridCol w:w="1418"/>
        <w:gridCol w:w="1418"/>
        <w:gridCol w:w="1418"/>
        <w:gridCol w:w="1275"/>
      </w:tblGrid>
      <w:tr w:rsidR="00367F59" w:rsidRPr="00CD05D7" w14:paraId="41273131" w14:textId="77777777" w:rsidTr="006F3600">
        <w:tc>
          <w:tcPr>
            <w:tcW w:w="3168" w:type="dxa"/>
            <w:tcBorders>
              <w:bottom w:val="single" w:sz="4" w:space="0" w:color="auto"/>
            </w:tcBorders>
            <w:vAlign w:val="bottom"/>
          </w:tcPr>
          <w:p w14:paraId="5210076C" w14:textId="77777777" w:rsidR="00367F59" w:rsidRPr="00CD05D7" w:rsidRDefault="00367F59">
            <w:pPr>
              <w:rPr>
                <w:rFonts w:asciiTheme="minorHAnsi" w:hAnsiTheme="minorHAnsi" w:cstheme="minorHAnsi"/>
                <w:sz w:val="20"/>
                <w:szCs w:val="20"/>
              </w:rPr>
            </w:pPr>
          </w:p>
        </w:tc>
        <w:tc>
          <w:tcPr>
            <w:tcW w:w="1440" w:type="dxa"/>
            <w:tcBorders>
              <w:bottom w:val="single" w:sz="4" w:space="0" w:color="auto"/>
            </w:tcBorders>
            <w:vAlign w:val="bottom"/>
          </w:tcPr>
          <w:p w14:paraId="4BF99F3D" w14:textId="77777777" w:rsidR="00367F59" w:rsidRPr="00CD05D7" w:rsidRDefault="00367F59">
            <w:pPr>
              <w:jc w:val="center"/>
              <w:rPr>
                <w:rFonts w:asciiTheme="minorHAnsi" w:hAnsiTheme="minorHAnsi" w:cstheme="minorHAnsi"/>
                <w:b/>
                <w:bCs/>
                <w:sz w:val="20"/>
                <w:szCs w:val="20"/>
              </w:rPr>
            </w:pPr>
            <w:r w:rsidRPr="00CD05D7">
              <w:rPr>
                <w:rFonts w:asciiTheme="minorHAnsi" w:hAnsiTheme="minorHAnsi" w:cstheme="minorHAnsi"/>
                <w:b/>
                <w:bCs/>
                <w:sz w:val="20"/>
                <w:szCs w:val="20"/>
              </w:rPr>
              <w:t>1st half 2006</w:t>
            </w:r>
          </w:p>
        </w:tc>
        <w:tc>
          <w:tcPr>
            <w:tcW w:w="1440" w:type="dxa"/>
            <w:tcBorders>
              <w:bottom w:val="single" w:sz="4" w:space="0" w:color="auto"/>
            </w:tcBorders>
            <w:vAlign w:val="bottom"/>
          </w:tcPr>
          <w:p w14:paraId="425EBB4E" w14:textId="77777777" w:rsidR="00367F59" w:rsidRPr="00CD05D7" w:rsidRDefault="00367F59">
            <w:pPr>
              <w:jc w:val="center"/>
              <w:rPr>
                <w:rFonts w:asciiTheme="minorHAnsi" w:hAnsiTheme="minorHAnsi" w:cstheme="minorHAnsi"/>
                <w:b/>
                <w:bCs/>
                <w:sz w:val="20"/>
                <w:szCs w:val="20"/>
              </w:rPr>
            </w:pPr>
            <w:r w:rsidRPr="00CD05D7">
              <w:rPr>
                <w:rFonts w:asciiTheme="minorHAnsi" w:hAnsiTheme="minorHAnsi" w:cstheme="minorHAnsi"/>
                <w:b/>
                <w:bCs/>
                <w:sz w:val="20"/>
                <w:szCs w:val="20"/>
              </w:rPr>
              <w:t>FY 2005</w:t>
            </w:r>
          </w:p>
        </w:tc>
        <w:tc>
          <w:tcPr>
            <w:tcW w:w="1440" w:type="dxa"/>
            <w:tcBorders>
              <w:bottom w:val="single" w:sz="4" w:space="0" w:color="auto"/>
            </w:tcBorders>
            <w:vAlign w:val="bottom"/>
          </w:tcPr>
          <w:p w14:paraId="47447880" w14:textId="77777777" w:rsidR="00367F59" w:rsidRPr="00CD05D7" w:rsidRDefault="00367F59">
            <w:pPr>
              <w:jc w:val="center"/>
              <w:rPr>
                <w:rFonts w:asciiTheme="minorHAnsi" w:hAnsiTheme="minorHAnsi" w:cstheme="minorHAnsi"/>
                <w:b/>
                <w:bCs/>
                <w:sz w:val="20"/>
                <w:szCs w:val="20"/>
              </w:rPr>
            </w:pPr>
            <w:r w:rsidRPr="00CD05D7">
              <w:rPr>
                <w:rFonts w:asciiTheme="minorHAnsi" w:hAnsiTheme="minorHAnsi" w:cstheme="minorHAnsi"/>
                <w:b/>
                <w:bCs/>
                <w:sz w:val="20"/>
                <w:szCs w:val="20"/>
              </w:rPr>
              <w:t>1st half 2005</w:t>
            </w:r>
          </w:p>
        </w:tc>
        <w:tc>
          <w:tcPr>
            <w:tcW w:w="1292" w:type="dxa"/>
            <w:tcBorders>
              <w:bottom w:val="single" w:sz="4" w:space="0" w:color="auto"/>
            </w:tcBorders>
            <w:vAlign w:val="bottom"/>
          </w:tcPr>
          <w:p w14:paraId="28CFA62F" w14:textId="77777777" w:rsidR="00367F59" w:rsidRPr="00CD05D7" w:rsidRDefault="00367F59">
            <w:pPr>
              <w:jc w:val="center"/>
              <w:rPr>
                <w:rFonts w:asciiTheme="minorHAnsi" w:hAnsiTheme="minorHAnsi" w:cstheme="minorHAnsi"/>
                <w:b/>
                <w:bCs/>
                <w:sz w:val="20"/>
                <w:szCs w:val="20"/>
              </w:rPr>
            </w:pPr>
            <w:r w:rsidRPr="00CD05D7">
              <w:rPr>
                <w:rFonts w:asciiTheme="minorHAnsi" w:hAnsiTheme="minorHAnsi" w:cstheme="minorHAnsi"/>
                <w:b/>
                <w:bCs/>
                <w:sz w:val="20"/>
                <w:szCs w:val="20"/>
              </w:rPr>
              <w:t>FY 2004</w:t>
            </w:r>
          </w:p>
        </w:tc>
      </w:tr>
      <w:tr w:rsidR="00367F59" w:rsidRPr="00CD05D7" w14:paraId="3EB9DD8C" w14:textId="77777777" w:rsidTr="006F3600">
        <w:tc>
          <w:tcPr>
            <w:tcW w:w="3168" w:type="dxa"/>
            <w:tcBorders>
              <w:top w:val="single" w:sz="4" w:space="0" w:color="auto"/>
            </w:tcBorders>
            <w:vAlign w:val="bottom"/>
          </w:tcPr>
          <w:p w14:paraId="1796EFA8" w14:textId="77777777" w:rsidR="00367F59" w:rsidRPr="00CD05D7" w:rsidRDefault="00367F59">
            <w:pPr>
              <w:rPr>
                <w:rFonts w:asciiTheme="minorHAnsi" w:hAnsiTheme="minorHAnsi" w:cstheme="minorHAnsi"/>
                <w:sz w:val="20"/>
                <w:szCs w:val="20"/>
              </w:rPr>
            </w:pPr>
            <w:r w:rsidRPr="00CD05D7">
              <w:rPr>
                <w:rFonts w:asciiTheme="minorHAnsi" w:hAnsiTheme="minorHAnsi" w:cstheme="minorHAnsi"/>
                <w:sz w:val="20"/>
                <w:szCs w:val="20"/>
              </w:rPr>
              <w:t>NOPAT to net capital (annualized)</w:t>
            </w:r>
          </w:p>
        </w:tc>
        <w:tc>
          <w:tcPr>
            <w:tcW w:w="1440" w:type="dxa"/>
            <w:tcBorders>
              <w:top w:val="single" w:sz="4" w:space="0" w:color="auto"/>
            </w:tcBorders>
            <w:vAlign w:val="bottom"/>
          </w:tcPr>
          <w:p w14:paraId="1474C51E"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22.6%</w:t>
            </w:r>
          </w:p>
        </w:tc>
        <w:tc>
          <w:tcPr>
            <w:tcW w:w="1440" w:type="dxa"/>
            <w:tcBorders>
              <w:top w:val="single" w:sz="4" w:space="0" w:color="auto"/>
            </w:tcBorders>
            <w:vAlign w:val="bottom"/>
          </w:tcPr>
          <w:p w14:paraId="5EBAD581"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-3.2%</w:t>
            </w:r>
          </w:p>
        </w:tc>
        <w:tc>
          <w:tcPr>
            <w:tcW w:w="1440" w:type="dxa"/>
            <w:tcBorders>
              <w:top w:val="single" w:sz="4" w:space="0" w:color="auto"/>
            </w:tcBorders>
            <w:vAlign w:val="bottom"/>
          </w:tcPr>
          <w:p w14:paraId="409DAC40"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-5.3%</w:t>
            </w:r>
          </w:p>
        </w:tc>
        <w:tc>
          <w:tcPr>
            <w:tcW w:w="1292" w:type="dxa"/>
            <w:tcBorders>
              <w:top w:val="single" w:sz="4" w:space="0" w:color="auto"/>
            </w:tcBorders>
            <w:vAlign w:val="bottom"/>
          </w:tcPr>
          <w:p w14:paraId="7BE5ECC9"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-20.1%</w:t>
            </w:r>
          </w:p>
        </w:tc>
      </w:tr>
      <w:tr w:rsidR="00367F59" w:rsidRPr="00CD05D7" w14:paraId="1D9D2BD2" w14:textId="77777777" w:rsidTr="006F3600">
        <w:tc>
          <w:tcPr>
            <w:tcW w:w="3168" w:type="dxa"/>
            <w:vAlign w:val="bottom"/>
          </w:tcPr>
          <w:p w14:paraId="7B750784" w14:textId="77777777" w:rsidR="00367F59" w:rsidRPr="00CD05D7" w:rsidRDefault="00367F59">
            <w:pPr>
              <w:rPr>
                <w:rFonts w:asciiTheme="minorHAnsi" w:hAnsiTheme="minorHAnsi" w:cstheme="minorHAnsi"/>
                <w:sz w:val="20"/>
                <w:szCs w:val="20"/>
              </w:rPr>
            </w:pPr>
            <w:r w:rsidRPr="00CD05D7">
              <w:rPr>
                <w:rFonts w:asciiTheme="minorHAnsi" w:hAnsiTheme="minorHAnsi" w:cstheme="minorHAnsi"/>
                <w:sz w:val="20"/>
                <w:szCs w:val="20"/>
              </w:rPr>
              <w:t xml:space="preserve">     Implied debt rating</w:t>
            </w:r>
          </w:p>
        </w:tc>
        <w:tc>
          <w:tcPr>
            <w:tcW w:w="1440" w:type="dxa"/>
            <w:vAlign w:val="bottom"/>
          </w:tcPr>
          <w:p w14:paraId="53AE53FB"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AAA</w:t>
            </w:r>
          </w:p>
        </w:tc>
        <w:tc>
          <w:tcPr>
            <w:tcW w:w="1440" w:type="dxa"/>
            <w:vAlign w:val="bottom"/>
          </w:tcPr>
          <w:p w14:paraId="61D895EE"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c>
          <w:tcPr>
            <w:tcW w:w="1440" w:type="dxa"/>
            <w:vAlign w:val="bottom"/>
          </w:tcPr>
          <w:p w14:paraId="4CFCABD1"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c>
          <w:tcPr>
            <w:tcW w:w="1292" w:type="dxa"/>
            <w:vAlign w:val="bottom"/>
          </w:tcPr>
          <w:p w14:paraId="14586165"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r>
      <w:tr w:rsidR="00367F59" w:rsidRPr="00CD05D7" w14:paraId="16BECA44" w14:textId="77777777" w:rsidTr="006F3600">
        <w:tc>
          <w:tcPr>
            <w:tcW w:w="3168" w:type="dxa"/>
            <w:vAlign w:val="bottom"/>
          </w:tcPr>
          <w:p w14:paraId="31A6DFBF" w14:textId="77777777" w:rsidR="00367F59" w:rsidRPr="00CD05D7" w:rsidRDefault="00367F59">
            <w:pPr>
              <w:rPr>
                <w:rFonts w:asciiTheme="minorHAnsi" w:hAnsiTheme="minorHAnsi" w:cstheme="minorHAnsi"/>
                <w:sz w:val="20"/>
                <w:szCs w:val="20"/>
              </w:rPr>
            </w:pPr>
            <w:r w:rsidRPr="00CD05D7">
              <w:rPr>
                <w:rFonts w:asciiTheme="minorHAnsi" w:hAnsiTheme="minorHAnsi" w:cstheme="minorHAnsi"/>
                <w:sz w:val="20"/>
                <w:szCs w:val="20"/>
              </w:rPr>
              <w:t>Pretax interest coverage</w:t>
            </w:r>
          </w:p>
        </w:tc>
        <w:tc>
          <w:tcPr>
            <w:tcW w:w="1440" w:type="dxa"/>
            <w:vAlign w:val="bottom"/>
          </w:tcPr>
          <w:p w14:paraId="69E26EA9"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2.12</w:t>
            </w:r>
          </w:p>
        </w:tc>
        <w:tc>
          <w:tcPr>
            <w:tcW w:w="1440" w:type="dxa"/>
            <w:vAlign w:val="bottom"/>
          </w:tcPr>
          <w:p w14:paraId="2EBC4627"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-1.43</w:t>
            </w:r>
          </w:p>
        </w:tc>
        <w:tc>
          <w:tcPr>
            <w:tcW w:w="1440" w:type="dxa"/>
            <w:vAlign w:val="bottom"/>
          </w:tcPr>
          <w:p w14:paraId="07DC0A35"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-2.33</w:t>
            </w:r>
          </w:p>
        </w:tc>
        <w:tc>
          <w:tcPr>
            <w:tcW w:w="1292" w:type="dxa"/>
            <w:vAlign w:val="bottom"/>
          </w:tcPr>
          <w:p w14:paraId="1F804409"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-3.66</w:t>
            </w:r>
          </w:p>
        </w:tc>
      </w:tr>
      <w:tr w:rsidR="00367F59" w:rsidRPr="00CD05D7" w14:paraId="47955E84" w14:textId="77777777" w:rsidTr="006F3600">
        <w:tc>
          <w:tcPr>
            <w:tcW w:w="3168" w:type="dxa"/>
            <w:vAlign w:val="bottom"/>
          </w:tcPr>
          <w:p w14:paraId="306240A3" w14:textId="77777777" w:rsidR="00367F59" w:rsidRPr="00CD05D7" w:rsidRDefault="00367F59">
            <w:pPr>
              <w:rPr>
                <w:rFonts w:asciiTheme="minorHAnsi" w:hAnsiTheme="minorHAnsi" w:cstheme="minorHAnsi"/>
                <w:sz w:val="20"/>
                <w:szCs w:val="20"/>
              </w:rPr>
            </w:pPr>
            <w:r w:rsidRPr="00CD05D7">
              <w:rPr>
                <w:rFonts w:asciiTheme="minorHAnsi" w:hAnsiTheme="minorHAnsi" w:cstheme="minorHAnsi"/>
                <w:sz w:val="20"/>
                <w:szCs w:val="20"/>
              </w:rPr>
              <w:t xml:space="preserve">     Implied debt rating</w:t>
            </w:r>
          </w:p>
        </w:tc>
        <w:tc>
          <w:tcPr>
            <w:tcW w:w="1440" w:type="dxa"/>
            <w:vAlign w:val="bottom"/>
          </w:tcPr>
          <w:p w14:paraId="44566DF4"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BB</w:t>
            </w:r>
          </w:p>
        </w:tc>
        <w:tc>
          <w:tcPr>
            <w:tcW w:w="1440" w:type="dxa"/>
            <w:vAlign w:val="bottom"/>
          </w:tcPr>
          <w:p w14:paraId="42C50115"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c>
          <w:tcPr>
            <w:tcW w:w="1440" w:type="dxa"/>
            <w:vAlign w:val="bottom"/>
          </w:tcPr>
          <w:p w14:paraId="1AC75B7F"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c>
          <w:tcPr>
            <w:tcW w:w="1292" w:type="dxa"/>
            <w:vAlign w:val="bottom"/>
          </w:tcPr>
          <w:p w14:paraId="6D0DDAF2"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r>
      <w:tr w:rsidR="00367F59" w:rsidRPr="00CD05D7" w14:paraId="6C718085" w14:textId="77777777" w:rsidTr="006F3600">
        <w:tc>
          <w:tcPr>
            <w:tcW w:w="3168" w:type="dxa"/>
            <w:vAlign w:val="bottom"/>
          </w:tcPr>
          <w:p w14:paraId="4857B74F" w14:textId="77777777" w:rsidR="00367F59" w:rsidRPr="00CD05D7" w:rsidRDefault="00367F59">
            <w:pPr>
              <w:rPr>
                <w:rFonts w:asciiTheme="minorHAnsi" w:hAnsiTheme="minorHAnsi" w:cstheme="minorHAnsi"/>
                <w:sz w:val="20"/>
                <w:szCs w:val="20"/>
              </w:rPr>
            </w:pPr>
            <w:r w:rsidRPr="00CD05D7">
              <w:rPr>
                <w:rFonts w:asciiTheme="minorHAnsi" w:hAnsiTheme="minorHAnsi" w:cstheme="minorHAnsi"/>
                <w:sz w:val="20"/>
                <w:szCs w:val="20"/>
              </w:rPr>
              <w:t>Cash flow from operations to total debt (annualized)</w:t>
            </w:r>
          </w:p>
        </w:tc>
        <w:tc>
          <w:tcPr>
            <w:tcW w:w="1440" w:type="dxa"/>
            <w:vAlign w:val="bottom"/>
          </w:tcPr>
          <w:p w14:paraId="682024DE"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-4.8%</w:t>
            </w:r>
          </w:p>
        </w:tc>
        <w:tc>
          <w:tcPr>
            <w:tcW w:w="1440" w:type="dxa"/>
            <w:vAlign w:val="bottom"/>
          </w:tcPr>
          <w:p w14:paraId="34334A51"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19.6%</w:t>
            </w:r>
          </w:p>
        </w:tc>
        <w:tc>
          <w:tcPr>
            <w:tcW w:w="1440" w:type="dxa"/>
            <w:vAlign w:val="bottom"/>
          </w:tcPr>
          <w:p w14:paraId="2EB6CDF5"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-6.7%</w:t>
            </w:r>
          </w:p>
        </w:tc>
        <w:tc>
          <w:tcPr>
            <w:tcW w:w="1292" w:type="dxa"/>
            <w:vAlign w:val="bottom"/>
          </w:tcPr>
          <w:p w14:paraId="36080340"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6.5%</w:t>
            </w:r>
          </w:p>
        </w:tc>
      </w:tr>
      <w:tr w:rsidR="00367F59" w:rsidRPr="00CD05D7" w14:paraId="00E00A44" w14:textId="77777777" w:rsidTr="006F3600">
        <w:tc>
          <w:tcPr>
            <w:tcW w:w="3168" w:type="dxa"/>
            <w:vAlign w:val="bottom"/>
          </w:tcPr>
          <w:p w14:paraId="595C5917" w14:textId="77777777" w:rsidR="00367F59" w:rsidRPr="00CD05D7" w:rsidRDefault="00367F59">
            <w:pPr>
              <w:rPr>
                <w:rFonts w:asciiTheme="minorHAnsi" w:hAnsiTheme="minorHAnsi" w:cstheme="minorHAnsi"/>
                <w:sz w:val="20"/>
                <w:szCs w:val="20"/>
              </w:rPr>
            </w:pPr>
            <w:r w:rsidRPr="00CD05D7">
              <w:rPr>
                <w:rFonts w:asciiTheme="minorHAnsi" w:hAnsiTheme="minorHAnsi" w:cstheme="minorHAnsi"/>
                <w:sz w:val="20"/>
                <w:szCs w:val="20"/>
              </w:rPr>
              <w:t xml:space="preserve">     Implied debt rating</w:t>
            </w:r>
          </w:p>
        </w:tc>
        <w:tc>
          <w:tcPr>
            <w:tcW w:w="1440" w:type="dxa"/>
            <w:vAlign w:val="bottom"/>
          </w:tcPr>
          <w:p w14:paraId="46D29B0D"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c>
          <w:tcPr>
            <w:tcW w:w="1440" w:type="dxa"/>
            <w:vAlign w:val="bottom"/>
          </w:tcPr>
          <w:p w14:paraId="18931771"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BBB</w:t>
            </w:r>
          </w:p>
        </w:tc>
        <w:tc>
          <w:tcPr>
            <w:tcW w:w="1440" w:type="dxa"/>
            <w:vAlign w:val="bottom"/>
          </w:tcPr>
          <w:p w14:paraId="5DF71C19"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c>
          <w:tcPr>
            <w:tcW w:w="1292" w:type="dxa"/>
            <w:vAlign w:val="bottom"/>
          </w:tcPr>
          <w:p w14:paraId="6BFDC0F3"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BB</w:t>
            </w:r>
          </w:p>
        </w:tc>
      </w:tr>
      <w:tr w:rsidR="00367F59" w:rsidRPr="00CD05D7" w14:paraId="7712EAD1" w14:textId="77777777" w:rsidTr="006F3600">
        <w:tc>
          <w:tcPr>
            <w:tcW w:w="3168" w:type="dxa"/>
            <w:vAlign w:val="bottom"/>
          </w:tcPr>
          <w:p w14:paraId="2DF67A0B" w14:textId="77777777" w:rsidR="00367F59" w:rsidRPr="00CD05D7" w:rsidRDefault="00367F59">
            <w:pPr>
              <w:rPr>
                <w:rFonts w:asciiTheme="minorHAnsi" w:hAnsiTheme="minorHAnsi" w:cstheme="minorHAnsi"/>
                <w:sz w:val="20"/>
                <w:szCs w:val="20"/>
              </w:rPr>
            </w:pPr>
            <w:r w:rsidRPr="00CD05D7">
              <w:rPr>
                <w:rFonts w:asciiTheme="minorHAnsi" w:hAnsiTheme="minorHAnsi" w:cstheme="minorHAnsi"/>
                <w:sz w:val="20"/>
                <w:szCs w:val="20"/>
              </w:rPr>
              <w:t>Net debt to net capital</w:t>
            </w:r>
          </w:p>
        </w:tc>
        <w:tc>
          <w:tcPr>
            <w:tcW w:w="1440" w:type="dxa"/>
            <w:vAlign w:val="bottom"/>
          </w:tcPr>
          <w:p w14:paraId="63B4B955"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77.7%</w:t>
            </w:r>
          </w:p>
        </w:tc>
        <w:tc>
          <w:tcPr>
            <w:tcW w:w="1440" w:type="dxa"/>
            <w:vAlign w:val="bottom"/>
          </w:tcPr>
          <w:p w14:paraId="2736E635"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94.1%</w:t>
            </w:r>
          </w:p>
        </w:tc>
        <w:tc>
          <w:tcPr>
            <w:tcW w:w="1440" w:type="dxa"/>
            <w:vAlign w:val="bottom"/>
          </w:tcPr>
          <w:p w14:paraId="002A45D7"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95.1%</w:t>
            </w:r>
          </w:p>
        </w:tc>
        <w:tc>
          <w:tcPr>
            <w:tcW w:w="1292" w:type="dxa"/>
            <w:vAlign w:val="bottom"/>
          </w:tcPr>
          <w:p w14:paraId="70C600A0" w14:textId="77777777" w:rsidR="00367F59" w:rsidRPr="00CD05D7" w:rsidRDefault="00367F59">
            <w:pPr>
              <w:jc w:val="right"/>
              <w:rPr>
                <w:rFonts w:asciiTheme="minorHAnsi" w:hAnsiTheme="minorHAnsi" w:cstheme="minorHAnsi"/>
                <w:sz w:val="20"/>
                <w:szCs w:val="20"/>
              </w:rPr>
            </w:pPr>
            <w:r w:rsidRPr="00CD05D7">
              <w:rPr>
                <w:rFonts w:asciiTheme="minorHAnsi" w:hAnsiTheme="minorHAnsi" w:cstheme="minorHAnsi"/>
                <w:sz w:val="20"/>
                <w:szCs w:val="20"/>
              </w:rPr>
              <w:t>91.4%</w:t>
            </w:r>
          </w:p>
        </w:tc>
      </w:tr>
      <w:tr w:rsidR="00367F59" w:rsidRPr="00CD05D7" w14:paraId="03415FE3" w14:textId="77777777" w:rsidTr="006F3600">
        <w:tc>
          <w:tcPr>
            <w:tcW w:w="3168" w:type="dxa"/>
            <w:vAlign w:val="bottom"/>
          </w:tcPr>
          <w:p w14:paraId="2BC74359" w14:textId="77777777" w:rsidR="00367F59" w:rsidRPr="00CD05D7" w:rsidRDefault="00367F59">
            <w:pPr>
              <w:rPr>
                <w:rFonts w:asciiTheme="minorHAnsi" w:hAnsiTheme="minorHAnsi" w:cstheme="minorHAnsi"/>
                <w:sz w:val="20"/>
                <w:szCs w:val="20"/>
              </w:rPr>
            </w:pPr>
            <w:r w:rsidRPr="00CD05D7">
              <w:rPr>
                <w:rFonts w:asciiTheme="minorHAnsi" w:hAnsiTheme="minorHAnsi" w:cstheme="minorHAnsi"/>
                <w:sz w:val="20"/>
                <w:szCs w:val="20"/>
              </w:rPr>
              <w:t xml:space="preserve">     Implied debt rating</w:t>
            </w:r>
          </w:p>
        </w:tc>
        <w:tc>
          <w:tcPr>
            <w:tcW w:w="1440" w:type="dxa"/>
            <w:vAlign w:val="bottom"/>
          </w:tcPr>
          <w:p w14:paraId="166F64B5"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c>
          <w:tcPr>
            <w:tcW w:w="1440" w:type="dxa"/>
            <w:vAlign w:val="bottom"/>
          </w:tcPr>
          <w:p w14:paraId="4A773025"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c>
          <w:tcPr>
            <w:tcW w:w="1440" w:type="dxa"/>
            <w:vAlign w:val="bottom"/>
          </w:tcPr>
          <w:p w14:paraId="597EE4B7"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c>
          <w:tcPr>
            <w:tcW w:w="1292" w:type="dxa"/>
            <w:vAlign w:val="bottom"/>
          </w:tcPr>
          <w:p w14:paraId="7419222F" w14:textId="77777777" w:rsidR="00367F59" w:rsidRPr="00CD05D7" w:rsidRDefault="00367F59">
            <w:pPr>
              <w:jc w:val="center"/>
              <w:rPr>
                <w:rFonts w:asciiTheme="minorHAnsi" w:hAnsiTheme="minorHAnsi" w:cstheme="minorHAnsi"/>
                <w:sz w:val="20"/>
                <w:szCs w:val="20"/>
              </w:rPr>
            </w:pPr>
            <w:r w:rsidRPr="00CD05D7">
              <w:rPr>
                <w:rFonts w:asciiTheme="minorHAnsi" w:hAnsiTheme="minorHAnsi" w:cstheme="minorHAnsi"/>
                <w:sz w:val="20"/>
                <w:szCs w:val="20"/>
              </w:rPr>
              <w:t>&lt;B</w:t>
            </w:r>
          </w:p>
        </w:tc>
      </w:tr>
    </w:tbl>
    <w:p w14:paraId="7E082FD9" w14:textId="77777777" w:rsidR="00DC6705" w:rsidRPr="00CD05D7" w:rsidRDefault="00DC6705">
      <w:pPr>
        <w:rPr>
          <w:rFonts w:asciiTheme="minorHAnsi" w:hAnsiTheme="minorHAnsi" w:cstheme="minorHAnsi"/>
        </w:rPr>
      </w:pPr>
    </w:p>
    <w:p w14:paraId="1B20945E" w14:textId="77777777" w:rsidR="00BD706D" w:rsidRPr="00CD05D7" w:rsidRDefault="00BD706D" w:rsidP="00BD706D">
      <w:pPr>
        <w:rPr>
          <w:rFonts w:asciiTheme="minorHAnsi" w:hAnsiTheme="minorHAnsi" w:cstheme="minorHAnsi"/>
        </w:rPr>
      </w:pPr>
      <w:r w:rsidRPr="00CD05D7">
        <w:rPr>
          <w:rFonts w:asciiTheme="minorHAnsi" w:hAnsiTheme="minorHAnsi" w:cstheme="minorHAnsi"/>
          <w:b/>
        </w:rPr>
        <w:t xml:space="preserve">Exhibit TN-3 </w:t>
      </w:r>
      <w:r w:rsidR="006C172F" w:rsidRPr="00CD05D7">
        <w:rPr>
          <w:rFonts w:asciiTheme="minorHAnsi" w:hAnsiTheme="minorHAnsi" w:cstheme="minorHAnsi"/>
        </w:rPr>
        <w:t xml:space="preserve">Adjustments to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w:t>
      </w:r>
      <w:r w:rsidR="006C172F" w:rsidRPr="00CD05D7">
        <w:rPr>
          <w:rFonts w:asciiTheme="minorHAnsi" w:hAnsiTheme="minorHAnsi" w:cstheme="minorHAnsi"/>
        </w:rPr>
        <w:t>income statement</w:t>
      </w:r>
    </w:p>
    <w:p w14:paraId="4BE8A05B" w14:textId="77777777" w:rsidR="00BD706D" w:rsidRPr="00CD05D7" w:rsidRDefault="00BD706D">
      <w:pPr>
        <w:rPr>
          <w:rFonts w:asciiTheme="minorHAnsi" w:hAnsiTheme="minorHAnsi" w:cstheme="minorHAnsi"/>
        </w:rPr>
      </w:pPr>
    </w:p>
    <w:tbl>
      <w:tblPr>
        <w:tblStyle w:val="TableGrid"/>
        <w:tblW w:w="0" w:type="auto"/>
        <w:tblLayout w:type="fixed"/>
        <w:tblLook w:val="01E0" w:firstRow="1" w:lastRow="1" w:firstColumn="1" w:lastColumn="1" w:noHBand="0" w:noVBand="0"/>
      </w:tblPr>
      <w:tblGrid>
        <w:gridCol w:w="1548"/>
        <w:gridCol w:w="1378"/>
        <w:gridCol w:w="1502"/>
        <w:gridCol w:w="1620"/>
        <w:gridCol w:w="1537"/>
        <w:gridCol w:w="1255"/>
      </w:tblGrid>
      <w:tr w:rsidR="00BD706D" w:rsidRPr="00CD05D7" w14:paraId="034D7434" w14:textId="77777777" w:rsidTr="00D4423A">
        <w:tc>
          <w:tcPr>
            <w:tcW w:w="1548" w:type="dxa"/>
            <w:tcBorders>
              <w:top w:val="nil"/>
              <w:left w:val="nil"/>
              <w:bottom w:val="single" w:sz="4" w:space="0" w:color="auto"/>
              <w:right w:val="nil"/>
            </w:tcBorders>
            <w:vAlign w:val="bottom"/>
          </w:tcPr>
          <w:p w14:paraId="365CA477" w14:textId="77777777" w:rsidR="00BD706D" w:rsidRPr="00CD05D7" w:rsidRDefault="00BD706D">
            <w:pPr>
              <w:rPr>
                <w:rFonts w:asciiTheme="minorHAnsi" w:hAnsiTheme="minorHAnsi" w:cstheme="minorHAnsi"/>
                <w:b/>
                <w:bCs/>
                <w:sz w:val="20"/>
                <w:szCs w:val="20"/>
              </w:rPr>
            </w:pPr>
          </w:p>
        </w:tc>
        <w:tc>
          <w:tcPr>
            <w:tcW w:w="1378" w:type="dxa"/>
            <w:tcBorders>
              <w:top w:val="nil"/>
              <w:left w:val="nil"/>
              <w:bottom w:val="single" w:sz="4" w:space="0" w:color="auto"/>
              <w:right w:val="nil"/>
            </w:tcBorders>
            <w:vAlign w:val="bottom"/>
          </w:tcPr>
          <w:p w14:paraId="1B1E482B" w14:textId="77777777" w:rsidR="00BD706D" w:rsidRPr="00CD05D7" w:rsidRDefault="00BD706D">
            <w:pPr>
              <w:jc w:val="center"/>
              <w:rPr>
                <w:rFonts w:asciiTheme="minorHAnsi" w:hAnsiTheme="minorHAnsi" w:cstheme="minorHAnsi"/>
                <w:b/>
                <w:bCs/>
                <w:sz w:val="20"/>
                <w:szCs w:val="20"/>
              </w:rPr>
            </w:pPr>
            <w:r w:rsidRPr="00CD05D7">
              <w:rPr>
                <w:rFonts w:asciiTheme="minorHAnsi" w:hAnsiTheme="minorHAnsi" w:cstheme="minorHAnsi"/>
                <w:b/>
                <w:bCs/>
                <w:sz w:val="20"/>
                <w:szCs w:val="20"/>
              </w:rPr>
              <w:t>1st half 2006</w:t>
            </w:r>
          </w:p>
        </w:tc>
        <w:tc>
          <w:tcPr>
            <w:tcW w:w="1502" w:type="dxa"/>
            <w:tcBorders>
              <w:top w:val="nil"/>
              <w:left w:val="nil"/>
              <w:bottom w:val="single" w:sz="4" w:space="0" w:color="auto"/>
              <w:right w:val="nil"/>
            </w:tcBorders>
            <w:vAlign w:val="bottom"/>
          </w:tcPr>
          <w:p w14:paraId="73C3526A" w14:textId="77777777" w:rsidR="00BD706D" w:rsidRPr="00CD05D7" w:rsidRDefault="00BD706D">
            <w:pPr>
              <w:rPr>
                <w:rFonts w:asciiTheme="minorHAnsi" w:hAnsiTheme="minorHAnsi" w:cstheme="minorHAnsi"/>
                <w:b/>
                <w:bCs/>
                <w:sz w:val="20"/>
                <w:szCs w:val="20"/>
              </w:rPr>
            </w:pPr>
            <w:r w:rsidRPr="00CD05D7">
              <w:rPr>
                <w:rFonts w:asciiTheme="minorHAnsi" w:hAnsiTheme="minorHAnsi" w:cstheme="minorHAnsi"/>
                <w:b/>
                <w:bCs/>
                <w:sz w:val="20"/>
                <w:szCs w:val="20"/>
              </w:rPr>
              <w:t>Adjustments for interest on the (operating) lease liability</w:t>
            </w:r>
          </w:p>
        </w:tc>
        <w:tc>
          <w:tcPr>
            <w:tcW w:w="1620" w:type="dxa"/>
            <w:tcBorders>
              <w:top w:val="nil"/>
              <w:left w:val="nil"/>
              <w:bottom w:val="single" w:sz="4" w:space="0" w:color="auto"/>
              <w:right w:val="nil"/>
            </w:tcBorders>
            <w:vAlign w:val="bottom"/>
          </w:tcPr>
          <w:p w14:paraId="273DA093" w14:textId="77777777" w:rsidR="00BD706D" w:rsidRPr="00CD05D7" w:rsidRDefault="00BD706D">
            <w:pPr>
              <w:rPr>
                <w:rFonts w:asciiTheme="minorHAnsi" w:hAnsiTheme="minorHAnsi" w:cstheme="minorHAnsi"/>
                <w:b/>
                <w:bCs/>
                <w:sz w:val="20"/>
                <w:szCs w:val="20"/>
              </w:rPr>
            </w:pPr>
            <w:r w:rsidRPr="00CD05D7">
              <w:rPr>
                <w:rFonts w:asciiTheme="minorHAnsi" w:hAnsiTheme="minorHAnsi" w:cstheme="minorHAnsi"/>
                <w:b/>
                <w:bCs/>
                <w:sz w:val="20"/>
                <w:szCs w:val="20"/>
              </w:rPr>
              <w:t>Adjustments for one-time gains/losses</w:t>
            </w:r>
          </w:p>
        </w:tc>
        <w:tc>
          <w:tcPr>
            <w:tcW w:w="1537" w:type="dxa"/>
            <w:tcBorders>
              <w:top w:val="nil"/>
              <w:left w:val="nil"/>
              <w:bottom w:val="single" w:sz="4" w:space="0" w:color="auto"/>
              <w:right w:val="nil"/>
            </w:tcBorders>
            <w:vAlign w:val="bottom"/>
          </w:tcPr>
          <w:p w14:paraId="0245E8D2" w14:textId="77777777" w:rsidR="00BD706D" w:rsidRPr="00CD05D7" w:rsidRDefault="00BD706D">
            <w:pPr>
              <w:rPr>
                <w:rFonts w:asciiTheme="minorHAnsi" w:hAnsiTheme="minorHAnsi" w:cstheme="minorHAnsi"/>
                <w:b/>
                <w:bCs/>
                <w:sz w:val="20"/>
                <w:szCs w:val="20"/>
              </w:rPr>
            </w:pPr>
            <w:r w:rsidRPr="00CD05D7">
              <w:rPr>
                <w:rFonts w:asciiTheme="minorHAnsi" w:hAnsiTheme="minorHAnsi" w:cstheme="minorHAnsi"/>
                <w:b/>
                <w:bCs/>
                <w:sz w:val="20"/>
                <w:szCs w:val="20"/>
              </w:rPr>
              <w:t>Tax effect of adjustments</w:t>
            </w:r>
          </w:p>
        </w:tc>
        <w:tc>
          <w:tcPr>
            <w:tcW w:w="1255" w:type="dxa"/>
            <w:tcBorders>
              <w:top w:val="nil"/>
              <w:left w:val="nil"/>
              <w:bottom w:val="single" w:sz="4" w:space="0" w:color="auto"/>
              <w:right w:val="nil"/>
            </w:tcBorders>
            <w:vAlign w:val="bottom"/>
          </w:tcPr>
          <w:p w14:paraId="4F01635B" w14:textId="77777777" w:rsidR="00BD706D" w:rsidRPr="00CD05D7" w:rsidRDefault="00BD706D">
            <w:pPr>
              <w:jc w:val="center"/>
              <w:rPr>
                <w:rFonts w:asciiTheme="minorHAnsi" w:hAnsiTheme="minorHAnsi" w:cstheme="minorHAnsi"/>
                <w:b/>
                <w:bCs/>
                <w:sz w:val="20"/>
                <w:szCs w:val="20"/>
              </w:rPr>
            </w:pPr>
            <w:r w:rsidRPr="00CD05D7">
              <w:rPr>
                <w:rFonts w:asciiTheme="minorHAnsi" w:hAnsiTheme="minorHAnsi" w:cstheme="minorHAnsi"/>
                <w:b/>
                <w:bCs/>
                <w:sz w:val="20"/>
                <w:szCs w:val="20"/>
              </w:rPr>
              <w:t>1st half 2006 Adjusted</w:t>
            </w:r>
          </w:p>
        </w:tc>
      </w:tr>
      <w:tr w:rsidR="00BD706D" w:rsidRPr="00CD05D7" w14:paraId="081212AB" w14:textId="77777777" w:rsidTr="00D4423A">
        <w:tc>
          <w:tcPr>
            <w:tcW w:w="1548" w:type="dxa"/>
            <w:tcBorders>
              <w:top w:val="single" w:sz="4" w:space="0" w:color="auto"/>
              <w:left w:val="nil"/>
              <w:bottom w:val="nil"/>
              <w:right w:val="nil"/>
            </w:tcBorders>
            <w:vAlign w:val="bottom"/>
          </w:tcPr>
          <w:p w14:paraId="4D6FA6B6" w14:textId="77777777" w:rsidR="00BD706D" w:rsidRPr="00CD05D7" w:rsidRDefault="00BD706D">
            <w:pPr>
              <w:rPr>
                <w:rFonts w:asciiTheme="minorHAnsi" w:hAnsiTheme="minorHAnsi" w:cstheme="minorHAnsi"/>
                <w:sz w:val="20"/>
                <w:szCs w:val="20"/>
              </w:rPr>
            </w:pPr>
            <w:r w:rsidRPr="00CD05D7">
              <w:rPr>
                <w:rFonts w:asciiTheme="minorHAnsi" w:hAnsiTheme="minorHAnsi" w:cstheme="minorHAnsi"/>
                <w:sz w:val="20"/>
                <w:szCs w:val="20"/>
              </w:rPr>
              <w:t>Sales</w:t>
            </w:r>
          </w:p>
        </w:tc>
        <w:tc>
          <w:tcPr>
            <w:tcW w:w="1378" w:type="dxa"/>
            <w:tcBorders>
              <w:top w:val="single" w:sz="4" w:space="0" w:color="auto"/>
              <w:left w:val="nil"/>
              <w:bottom w:val="nil"/>
              <w:right w:val="nil"/>
            </w:tcBorders>
            <w:vAlign w:val="bottom"/>
          </w:tcPr>
          <w:p w14:paraId="4F5B7A52"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6,474,551 </w:t>
            </w:r>
          </w:p>
        </w:tc>
        <w:tc>
          <w:tcPr>
            <w:tcW w:w="1502" w:type="dxa"/>
            <w:tcBorders>
              <w:top w:val="single" w:sz="4" w:space="0" w:color="auto"/>
              <w:left w:val="nil"/>
              <w:bottom w:val="nil"/>
              <w:right w:val="nil"/>
            </w:tcBorders>
            <w:vAlign w:val="bottom"/>
          </w:tcPr>
          <w:p w14:paraId="03708358" w14:textId="77777777" w:rsidR="00BD706D" w:rsidRPr="00CD05D7" w:rsidRDefault="00BD706D">
            <w:pPr>
              <w:rPr>
                <w:rFonts w:asciiTheme="minorHAnsi" w:hAnsiTheme="minorHAnsi" w:cstheme="minorHAnsi"/>
                <w:sz w:val="20"/>
                <w:szCs w:val="20"/>
              </w:rPr>
            </w:pPr>
          </w:p>
        </w:tc>
        <w:tc>
          <w:tcPr>
            <w:tcW w:w="1620" w:type="dxa"/>
            <w:tcBorders>
              <w:top w:val="single" w:sz="4" w:space="0" w:color="auto"/>
              <w:left w:val="nil"/>
              <w:bottom w:val="nil"/>
              <w:right w:val="nil"/>
            </w:tcBorders>
            <w:vAlign w:val="bottom"/>
          </w:tcPr>
          <w:p w14:paraId="0E6B7B7F" w14:textId="77777777" w:rsidR="00BD706D" w:rsidRPr="00CD05D7" w:rsidRDefault="00BD706D">
            <w:pPr>
              <w:rPr>
                <w:rFonts w:asciiTheme="minorHAnsi" w:hAnsiTheme="minorHAnsi" w:cstheme="minorHAnsi"/>
                <w:sz w:val="20"/>
                <w:szCs w:val="20"/>
              </w:rPr>
            </w:pPr>
          </w:p>
        </w:tc>
        <w:tc>
          <w:tcPr>
            <w:tcW w:w="1537" w:type="dxa"/>
            <w:tcBorders>
              <w:top w:val="single" w:sz="4" w:space="0" w:color="auto"/>
              <w:left w:val="nil"/>
              <w:bottom w:val="nil"/>
              <w:right w:val="nil"/>
            </w:tcBorders>
            <w:vAlign w:val="bottom"/>
          </w:tcPr>
          <w:p w14:paraId="4C6D7746" w14:textId="77777777" w:rsidR="00BD706D" w:rsidRPr="00CD05D7" w:rsidRDefault="00BD706D">
            <w:pPr>
              <w:rPr>
                <w:rFonts w:asciiTheme="minorHAnsi" w:hAnsiTheme="minorHAnsi" w:cstheme="minorHAnsi"/>
                <w:sz w:val="20"/>
                <w:szCs w:val="20"/>
              </w:rPr>
            </w:pPr>
          </w:p>
        </w:tc>
        <w:tc>
          <w:tcPr>
            <w:tcW w:w="1255" w:type="dxa"/>
            <w:tcBorders>
              <w:top w:val="single" w:sz="4" w:space="0" w:color="auto"/>
              <w:left w:val="nil"/>
              <w:bottom w:val="nil"/>
              <w:right w:val="nil"/>
            </w:tcBorders>
            <w:vAlign w:val="bottom"/>
          </w:tcPr>
          <w:p w14:paraId="1E85A4DA"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6,474,551 </w:t>
            </w:r>
          </w:p>
        </w:tc>
      </w:tr>
      <w:tr w:rsidR="00BD706D" w:rsidRPr="00CD05D7" w14:paraId="227197AF" w14:textId="77777777" w:rsidTr="00D4423A">
        <w:tc>
          <w:tcPr>
            <w:tcW w:w="1548" w:type="dxa"/>
            <w:tcBorders>
              <w:top w:val="nil"/>
              <w:left w:val="nil"/>
              <w:bottom w:val="nil"/>
              <w:right w:val="nil"/>
            </w:tcBorders>
            <w:vAlign w:val="bottom"/>
          </w:tcPr>
          <w:p w14:paraId="3862EAEF" w14:textId="77777777" w:rsidR="00BD706D" w:rsidRPr="00CD05D7" w:rsidRDefault="00BD706D">
            <w:pPr>
              <w:rPr>
                <w:rFonts w:asciiTheme="minorHAnsi" w:hAnsiTheme="minorHAnsi" w:cstheme="minorHAnsi"/>
                <w:sz w:val="20"/>
                <w:szCs w:val="20"/>
              </w:rPr>
            </w:pPr>
            <w:r w:rsidRPr="00CD05D7">
              <w:rPr>
                <w:rFonts w:asciiTheme="minorHAnsi" w:hAnsiTheme="minorHAnsi" w:cstheme="minorHAnsi"/>
                <w:sz w:val="20"/>
                <w:szCs w:val="20"/>
              </w:rPr>
              <w:t>Operating expenses, net of operating income</w:t>
            </w:r>
          </w:p>
        </w:tc>
        <w:tc>
          <w:tcPr>
            <w:tcW w:w="1378" w:type="dxa"/>
            <w:tcBorders>
              <w:top w:val="nil"/>
              <w:left w:val="nil"/>
              <w:bottom w:val="nil"/>
              <w:right w:val="nil"/>
            </w:tcBorders>
            <w:vAlign w:val="bottom"/>
          </w:tcPr>
          <w:p w14:paraId="45DBB13C"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(5,943,666)</w:t>
            </w:r>
          </w:p>
        </w:tc>
        <w:tc>
          <w:tcPr>
            <w:tcW w:w="1502" w:type="dxa"/>
            <w:tcBorders>
              <w:top w:val="nil"/>
              <w:left w:val="nil"/>
              <w:bottom w:val="nil"/>
              <w:right w:val="nil"/>
            </w:tcBorders>
            <w:vAlign w:val="bottom"/>
          </w:tcPr>
          <w:p w14:paraId="182B1F8B"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+52,300 </w:t>
            </w:r>
          </w:p>
        </w:tc>
        <w:tc>
          <w:tcPr>
            <w:tcW w:w="1620" w:type="dxa"/>
            <w:tcBorders>
              <w:top w:val="nil"/>
              <w:left w:val="nil"/>
              <w:bottom w:val="nil"/>
              <w:right w:val="nil"/>
            </w:tcBorders>
            <w:vAlign w:val="bottom"/>
          </w:tcPr>
          <w:p w14:paraId="4965DBAE"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(906,419)</w:t>
            </w:r>
          </w:p>
        </w:tc>
        <w:tc>
          <w:tcPr>
            <w:tcW w:w="1537" w:type="dxa"/>
            <w:tcBorders>
              <w:top w:val="nil"/>
              <w:left w:val="nil"/>
              <w:bottom w:val="nil"/>
              <w:right w:val="nil"/>
            </w:tcBorders>
            <w:vAlign w:val="bottom"/>
          </w:tcPr>
          <w:p w14:paraId="63A9874A" w14:textId="77777777" w:rsidR="00BD706D" w:rsidRPr="00CD05D7" w:rsidRDefault="00BD706D">
            <w:pPr>
              <w:rPr>
                <w:rFonts w:asciiTheme="minorHAnsi" w:hAnsiTheme="minorHAnsi" w:cstheme="minorHAnsi"/>
                <w:sz w:val="20"/>
                <w:szCs w:val="20"/>
              </w:rPr>
            </w:pPr>
          </w:p>
        </w:tc>
        <w:tc>
          <w:tcPr>
            <w:tcW w:w="1255" w:type="dxa"/>
            <w:tcBorders>
              <w:top w:val="nil"/>
              <w:left w:val="nil"/>
              <w:bottom w:val="nil"/>
              <w:right w:val="nil"/>
            </w:tcBorders>
            <w:vAlign w:val="bottom"/>
          </w:tcPr>
          <w:p w14:paraId="79B7FCFE"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(6,797,785)</w:t>
            </w:r>
          </w:p>
        </w:tc>
      </w:tr>
      <w:tr w:rsidR="00BD706D" w:rsidRPr="00CD05D7" w14:paraId="47F6DD3A" w14:textId="77777777" w:rsidTr="00D4423A">
        <w:tc>
          <w:tcPr>
            <w:tcW w:w="1548" w:type="dxa"/>
            <w:tcBorders>
              <w:top w:val="nil"/>
              <w:left w:val="nil"/>
              <w:bottom w:val="nil"/>
              <w:right w:val="nil"/>
            </w:tcBorders>
            <w:vAlign w:val="bottom"/>
          </w:tcPr>
          <w:p w14:paraId="7AD4CE57" w14:textId="77777777" w:rsidR="00BD706D" w:rsidRPr="00CD05D7" w:rsidRDefault="00BD706D">
            <w:pPr>
              <w:rPr>
                <w:rFonts w:asciiTheme="minorHAnsi" w:hAnsiTheme="minorHAnsi" w:cstheme="minorHAnsi"/>
                <w:sz w:val="20"/>
                <w:szCs w:val="20"/>
              </w:rPr>
            </w:pPr>
            <w:r w:rsidRPr="00CD05D7">
              <w:rPr>
                <w:rFonts w:asciiTheme="minorHAnsi" w:hAnsiTheme="minorHAnsi" w:cstheme="minorHAnsi"/>
                <w:sz w:val="20"/>
                <w:szCs w:val="20"/>
              </w:rPr>
              <w:t>Net Interest Expense or Income</w:t>
            </w:r>
          </w:p>
        </w:tc>
        <w:tc>
          <w:tcPr>
            <w:tcW w:w="1378" w:type="dxa"/>
            <w:tcBorders>
              <w:top w:val="nil"/>
              <w:left w:val="nil"/>
              <w:bottom w:val="nil"/>
              <w:right w:val="nil"/>
            </w:tcBorders>
            <w:vAlign w:val="bottom"/>
          </w:tcPr>
          <w:p w14:paraId="50FCE188"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(172,421)</w:t>
            </w:r>
          </w:p>
        </w:tc>
        <w:tc>
          <w:tcPr>
            <w:tcW w:w="1502" w:type="dxa"/>
            <w:tcBorders>
              <w:top w:val="nil"/>
              <w:left w:val="nil"/>
              <w:bottom w:val="nil"/>
              <w:right w:val="nil"/>
            </w:tcBorders>
            <w:vAlign w:val="bottom"/>
          </w:tcPr>
          <w:p w14:paraId="1064F70D"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(52,300)</w:t>
            </w:r>
          </w:p>
        </w:tc>
        <w:tc>
          <w:tcPr>
            <w:tcW w:w="1620" w:type="dxa"/>
            <w:tcBorders>
              <w:top w:val="nil"/>
              <w:left w:val="nil"/>
              <w:bottom w:val="nil"/>
              <w:right w:val="nil"/>
            </w:tcBorders>
            <w:vAlign w:val="bottom"/>
          </w:tcPr>
          <w:p w14:paraId="0C665CA2" w14:textId="77777777" w:rsidR="00BD706D" w:rsidRPr="00CD05D7" w:rsidRDefault="00BD706D">
            <w:pPr>
              <w:rPr>
                <w:rFonts w:asciiTheme="minorHAnsi" w:hAnsiTheme="minorHAnsi" w:cstheme="minorHAnsi"/>
                <w:sz w:val="20"/>
                <w:szCs w:val="20"/>
              </w:rPr>
            </w:pPr>
          </w:p>
        </w:tc>
        <w:tc>
          <w:tcPr>
            <w:tcW w:w="1537" w:type="dxa"/>
            <w:tcBorders>
              <w:top w:val="nil"/>
              <w:left w:val="nil"/>
              <w:bottom w:val="nil"/>
              <w:right w:val="nil"/>
            </w:tcBorders>
            <w:vAlign w:val="bottom"/>
          </w:tcPr>
          <w:p w14:paraId="4DFC5B16" w14:textId="77777777" w:rsidR="00BD706D" w:rsidRPr="00CD05D7" w:rsidRDefault="00BD706D">
            <w:pPr>
              <w:rPr>
                <w:rFonts w:asciiTheme="minorHAnsi" w:hAnsiTheme="minorHAnsi" w:cstheme="minorHAnsi"/>
                <w:sz w:val="20"/>
                <w:szCs w:val="20"/>
              </w:rPr>
            </w:pPr>
          </w:p>
        </w:tc>
        <w:tc>
          <w:tcPr>
            <w:tcW w:w="1255" w:type="dxa"/>
            <w:tcBorders>
              <w:top w:val="nil"/>
              <w:left w:val="nil"/>
              <w:bottom w:val="nil"/>
              <w:right w:val="nil"/>
            </w:tcBorders>
            <w:vAlign w:val="bottom"/>
          </w:tcPr>
          <w:p w14:paraId="653F4996"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(224,721)</w:t>
            </w:r>
          </w:p>
        </w:tc>
      </w:tr>
      <w:tr w:rsidR="00BD706D" w:rsidRPr="00CD05D7" w14:paraId="74F05C61" w14:textId="77777777" w:rsidTr="00D4423A">
        <w:tc>
          <w:tcPr>
            <w:tcW w:w="1548" w:type="dxa"/>
            <w:tcBorders>
              <w:top w:val="nil"/>
              <w:left w:val="nil"/>
              <w:bottom w:val="nil"/>
              <w:right w:val="nil"/>
            </w:tcBorders>
            <w:vAlign w:val="bottom"/>
          </w:tcPr>
          <w:p w14:paraId="6491DCD3" w14:textId="77777777" w:rsidR="00BD706D" w:rsidRPr="00CD05D7" w:rsidRDefault="00BD706D">
            <w:pPr>
              <w:rPr>
                <w:rFonts w:asciiTheme="minorHAnsi" w:hAnsiTheme="minorHAnsi" w:cstheme="minorHAnsi"/>
                <w:sz w:val="20"/>
                <w:szCs w:val="20"/>
              </w:rPr>
            </w:pPr>
            <w:r w:rsidRPr="00CD05D7">
              <w:rPr>
                <w:rFonts w:asciiTheme="minorHAnsi" w:hAnsiTheme="minorHAnsi" w:cstheme="minorHAnsi"/>
                <w:sz w:val="20"/>
                <w:szCs w:val="20"/>
              </w:rPr>
              <w:t>Investment Income</w:t>
            </w:r>
          </w:p>
        </w:tc>
        <w:tc>
          <w:tcPr>
            <w:tcW w:w="1378" w:type="dxa"/>
            <w:tcBorders>
              <w:top w:val="nil"/>
              <w:left w:val="nil"/>
              <w:bottom w:val="nil"/>
              <w:right w:val="nil"/>
            </w:tcBorders>
            <w:vAlign w:val="bottom"/>
          </w:tcPr>
          <w:p w14:paraId="4AD173ED"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6,999 </w:t>
            </w:r>
          </w:p>
        </w:tc>
        <w:tc>
          <w:tcPr>
            <w:tcW w:w="1502" w:type="dxa"/>
            <w:tcBorders>
              <w:top w:val="nil"/>
              <w:left w:val="nil"/>
              <w:bottom w:val="nil"/>
              <w:right w:val="nil"/>
            </w:tcBorders>
            <w:vAlign w:val="bottom"/>
          </w:tcPr>
          <w:p w14:paraId="60592CCD" w14:textId="77777777" w:rsidR="00BD706D" w:rsidRPr="00CD05D7" w:rsidRDefault="00BD706D">
            <w:pPr>
              <w:rPr>
                <w:rFonts w:asciiTheme="minorHAnsi" w:hAnsiTheme="minorHAnsi" w:cstheme="minorHAnsi"/>
                <w:sz w:val="20"/>
                <w:szCs w:val="20"/>
              </w:rPr>
            </w:pPr>
          </w:p>
        </w:tc>
        <w:tc>
          <w:tcPr>
            <w:tcW w:w="1620" w:type="dxa"/>
            <w:tcBorders>
              <w:top w:val="nil"/>
              <w:left w:val="nil"/>
              <w:bottom w:val="nil"/>
              <w:right w:val="nil"/>
            </w:tcBorders>
            <w:vAlign w:val="bottom"/>
          </w:tcPr>
          <w:p w14:paraId="5818AF47" w14:textId="77777777" w:rsidR="00BD706D" w:rsidRPr="00CD05D7" w:rsidRDefault="00BD706D">
            <w:pPr>
              <w:rPr>
                <w:rFonts w:asciiTheme="minorHAnsi" w:hAnsiTheme="minorHAnsi" w:cstheme="minorHAnsi"/>
                <w:sz w:val="20"/>
                <w:szCs w:val="20"/>
              </w:rPr>
            </w:pPr>
          </w:p>
        </w:tc>
        <w:tc>
          <w:tcPr>
            <w:tcW w:w="1537" w:type="dxa"/>
            <w:tcBorders>
              <w:top w:val="nil"/>
              <w:left w:val="nil"/>
              <w:bottom w:val="nil"/>
              <w:right w:val="nil"/>
            </w:tcBorders>
            <w:vAlign w:val="bottom"/>
          </w:tcPr>
          <w:p w14:paraId="46092BD5" w14:textId="77777777" w:rsidR="00BD706D" w:rsidRPr="00CD05D7" w:rsidRDefault="00BD706D">
            <w:pPr>
              <w:rPr>
                <w:rFonts w:asciiTheme="minorHAnsi" w:hAnsiTheme="minorHAnsi" w:cstheme="minorHAnsi"/>
                <w:sz w:val="20"/>
                <w:szCs w:val="20"/>
              </w:rPr>
            </w:pPr>
          </w:p>
        </w:tc>
        <w:tc>
          <w:tcPr>
            <w:tcW w:w="1255" w:type="dxa"/>
            <w:tcBorders>
              <w:top w:val="nil"/>
              <w:left w:val="nil"/>
              <w:bottom w:val="nil"/>
              <w:right w:val="nil"/>
            </w:tcBorders>
            <w:vAlign w:val="bottom"/>
          </w:tcPr>
          <w:p w14:paraId="68E35993"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6,999 </w:t>
            </w:r>
          </w:p>
        </w:tc>
      </w:tr>
      <w:tr w:rsidR="00BD706D" w:rsidRPr="00CD05D7" w14:paraId="1AD1E18E" w14:textId="77777777" w:rsidTr="00D4423A">
        <w:tc>
          <w:tcPr>
            <w:tcW w:w="1548" w:type="dxa"/>
            <w:tcBorders>
              <w:top w:val="nil"/>
              <w:left w:val="nil"/>
              <w:bottom w:val="nil"/>
              <w:right w:val="nil"/>
            </w:tcBorders>
            <w:vAlign w:val="bottom"/>
          </w:tcPr>
          <w:p w14:paraId="4414D85E" w14:textId="77777777" w:rsidR="00BD706D" w:rsidRPr="00CD05D7" w:rsidRDefault="00BD706D">
            <w:pPr>
              <w:rPr>
                <w:rFonts w:asciiTheme="minorHAnsi" w:hAnsiTheme="minorHAnsi" w:cstheme="minorHAnsi"/>
                <w:sz w:val="20"/>
                <w:szCs w:val="20"/>
              </w:rPr>
            </w:pPr>
            <w:r w:rsidRPr="00CD05D7">
              <w:rPr>
                <w:rFonts w:asciiTheme="minorHAnsi" w:hAnsiTheme="minorHAnsi" w:cstheme="minorHAnsi"/>
                <w:sz w:val="20"/>
                <w:szCs w:val="20"/>
              </w:rPr>
              <w:t>Other Income</w:t>
            </w:r>
          </w:p>
        </w:tc>
        <w:tc>
          <w:tcPr>
            <w:tcW w:w="1378" w:type="dxa"/>
            <w:tcBorders>
              <w:top w:val="nil"/>
              <w:left w:val="nil"/>
              <w:bottom w:val="nil"/>
              <w:right w:val="nil"/>
            </w:tcBorders>
            <w:vAlign w:val="bottom"/>
          </w:tcPr>
          <w:p w14:paraId="6EBD73F9"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0 </w:t>
            </w:r>
          </w:p>
        </w:tc>
        <w:tc>
          <w:tcPr>
            <w:tcW w:w="1502" w:type="dxa"/>
            <w:tcBorders>
              <w:top w:val="nil"/>
              <w:left w:val="nil"/>
              <w:bottom w:val="nil"/>
              <w:right w:val="nil"/>
            </w:tcBorders>
            <w:vAlign w:val="bottom"/>
          </w:tcPr>
          <w:p w14:paraId="751711E3" w14:textId="77777777" w:rsidR="00BD706D" w:rsidRPr="00CD05D7" w:rsidRDefault="00BD706D">
            <w:pPr>
              <w:rPr>
                <w:rFonts w:asciiTheme="minorHAnsi" w:hAnsiTheme="minorHAnsi" w:cstheme="minorHAnsi"/>
                <w:sz w:val="20"/>
                <w:szCs w:val="20"/>
              </w:rPr>
            </w:pPr>
          </w:p>
        </w:tc>
        <w:tc>
          <w:tcPr>
            <w:tcW w:w="1620" w:type="dxa"/>
            <w:tcBorders>
              <w:top w:val="nil"/>
              <w:left w:val="nil"/>
              <w:bottom w:val="nil"/>
              <w:right w:val="nil"/>
            </w:tcBorders>
            <w:vAlign w:val="bottom"/>
          </w:tcPr>
          <w:p w14:paraId="11162A2D" w14:textId="77777777" w:rsidR="00BD706D" w:rsidRPr="00CD05D7" w:rsidRDefault="00BD706D">
            <w:pPr>
              <w:rPr>
                <w:rFonts w:asciiTheme="minorHAnsi" w:hAnsiTheme="minorHAnsi" w:cstheme="minorHAnsi"/>
                <w:sz w:val="20"/>
                <w:szCs w:val="20"/>
              </w:rPr>
            </w:pPr>
          </w:p>
        </w:tc>
        <w:tc>
          <w:tcPr>
            <w:tcW w:w="1537" w:type="dxa"/>
            <w:tcBorders>
              <w:top w:val="nil"/>
              <w:left w:val="nil"/>
              <w:bottom w:val="nil"/>
              <w:right w:val="nil"/>
            </w:tcBorders>
            <w:vAlign w:val="bottom"/>
          </w:tcPr>
          <w:p w14:paraId="1A5CCBCE" w14:textId="77777777" w:rsidR="00BD706D" w:rsidRPr="00CD05D7" w:rsidRDefault="00BD706D">
            <w:pPr>
              <w:rPr>
                <w:rFonts w:asciiTheme="minorHAnsi" w:hAnsiTheme="minorHAnsi" w:cstheme="minorHAnsi"/>
                <w:sz w:val="20"/>
                <w:szCs w:val="20"/>
              </w:rPr>
            </w:pPr>
          </w:p>
        </w:tc>
        <w:tc>
          <w:tcPr>
            <w:tcW w:w="1255" w:type="dxa"/>
            <w:tcBorders>
              <w:top w:val="nil"/>
              <w:left w:val="nil"/>
              <w:bottom w:val="nil"/>
              <w:right w:val="nil"/>
            </w:tcBorders>
            <w:vAlign w:val="bottom"/>
          </w:tcPr>
          <w:p w14:paraId="75034DF0"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0 </w:t>
            </w:r>
          </w:p>
        </w:tc>
      </w:tr>
      <w:tr w:rsidR="00BD706D" w:rsidRPr="00CD05D7" w14:paraId="71EE71C0" w14:textId="77777777" w:rsidTr="00D4423A">
        <w:tc>
          <w:tcPr>
            <w:tcW w:w="1548" w:type="dxa"/>
            <w:tcBorders>
              <w:top w:val="nil"/>
              <w:left w:val="nil"/>
              <w:bottom w:val="single" w:sz="4" w:space="0" w:color="auto"/>
              <w:right w:val="nil"/>
            </w:tcBorders>
            <w:vAlign w:val="bottom"/>
          </w:tcPr>
          <w:p w14:paraId="00C6D7B0" w14:textId="77777777" w:rsidR="00BD706D" w:rsidRPr="00CD05D7" w:rsidRDefault="00BD706D">
            <w:pPr>
              <w:rPr>
                <w:rFonts w:asciiTheme="minorHAnsi" w:hAnsiTheme="minorHAnsi" w:cstheme="minorHAnsi"/>
                <w:sz w:val="20"/>
                <w:szCs w:val="20"/>
              </w:rPr>
            </w:pPr>
            <w:r w:rsidRPr="00CD05D7">
              <w:rPr>
                <w:rFonts w:asciiTheme="minorHAnsi" w:hAnsiTheme="minorHAnsi" w:cstheme="minorHAnsi"/>
                <w:sz w:val="20"/>
                <w:szCs w:val="20"/>
              </w:rPr>
              <w:t>Other Expense</w:t>
            </w:r>
          </w:p>
        </w:tc>
        <w:tc>
          <w:tcPr>
            <w:tcW w:w="1378" w:type="dxa"/>
            <w:tcBorders>
              <w:top w:val="nil"/>
              <w:left w:val="nil"/>
              <w:bottom w:val="single" w:sz="4" w:space="0" w:color="auto"/>
              <w:right w:val="nil"/>
            </w:tcBorders>
            <w:vAlign w:val="bottom"/>
          </w:tcPr>
          <w:p w14:paraId="674D18E8"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0 </w:t>
            </w:r>
          </w:p>
        </w:tc>
        <w:tc>
          <w:tcPr>
            <w:tcW w:w="1502" w:type="dxa"/>
            <w:tcBorders>
              <w:top w:val="nil"/>
              <w:left w:val="nil"/>
              <w:bottom w:val="single" w:sz="4" w:space="0" w:color="auto"/>
              <w:right w:val="nil"/>
            </w:tcBorders>
            <w:vAlign w:val="bottom"/>
          </w:tcPr>
          <w:p w14:paraId="13C16F4D" w14:textId="77777777" w:rsidR="00BD706D" w:rsidRPr="00CD05D7" w:rsidRDefault="00BD706D">
            <w:pPr>
              <w:rPr>
                <w:rFonts w:asciiTheme="minorHAnsi" w:hAnsiTheme="minorHAnsi" w:cstheme="minorHAnsi"/>
                <w:sz w:val="20"/>
                <w:szCs w:val="20"/>
              </w:rPr>
            </w:pPr>
          </w:p>
        </w:tc>
        <w:tc>
          <w:tcPr>
            <w:tcW w:w="1620" w:type="dxa"/>
            <w:tcBorders>
              <w:top w:val="nil"/>
              <w:left w:val="nil"/>
              <w:bottom w:val="single" w:sz="4" w:space="0" w:color="auto"/>
              <w:right w:val="nil"/>
            </w:tcBorders>
            <w:vAlign w:val="bottom"/>
          </w:tcPr>
          <w:p w14:paraId="7ED794F1" w14:textId="77777777" w:rsidR="00BD706D" w:rsidRPr="00CD05D7" w:rsidRDefault="00BD706D">
            <w:pPr>
              <w:rPr>
                <w:rFonts w:asciiTheme="minorHAnsi" w:hAnsiTheme="minorHAnsi" w:cstheme="minorHAnsi"/>
                <w:sz w:val="20"/>
                <w:szCs w:val="20"/>
              </w:rPr>
            </w:pPr>
          </w:p>
        </w:tc>
        <w:tc>
          <w:tcPr>
            <w:tcW w:w="1537" w:type="dxa"/>
            <w:tcBorders>
              <w:top w:val="nil"/>
              <w:left w:val="nil"/>
              <w:bottom w:val="single" w:sz="4" w:space="0" w:color="auto"/>
              <w:right w:val="nil"/>
            </w:tcBorders>
            <w:vAlign w:val="bottom"/>
          </w:tcPr>
          <w:p w14:paraId="2F79D5B1" w14:textId="77777777" w:rsidR="00BD706D" w:rsidRPr="00CD05D7" w:rsidRDefault="00BD706D">
            <w:pPr>
              <w:rPr>
                <w:rFonts w:asciiTheme="minorHAnsi" w:hAnsiTheme="minorHAnsi" w:cstheme="minorHAnsi"/>
                <w:sz w:val="20"/>
                <w:szCs w:val="20"/>
              </w:rPr>
            </w:pPr>
          </w:p>
        </w:tc>
        <w:tc>
          <w:tcPr>
            <w:tcW w:w="1255" w:type="dxa"/>
            <w:tcBorders>
              <w:top w:val="nil"/>
              <w:left w:val="nil"/>
              <w:bottom w:val="single" w:sz="4" w:space="0" w:color="auto"/>
              <w:right w:val="nil"/>
            </w:tcBorders>
            <w:vAlign w:val="bottom"/>
          </w:tcPr>
          <w:p w14:paraId="7007AFC1"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0 </w:t>
            </w:r>
          </w:p>
        </w:tc>
      </w:tr>
      <w:tr w:rsidR="00BD706D" w:rsidRPr="00CD05D7" w14:paraId="09DA6D67" w14:textId="77777777" w:rsidTr="00D4423A">
        <w:tc>
          <w:tcPr>
            <w:tcW w:w="1548" w:type="dxa"/>
            <w:tcBorders>
              <w:top w:val="single" w:sz="4" w:space="0" w:color="auto"/>
              <w:left w:val="nil"/>
              <w:bottom w:val="nil"/>
              <w:right w:val="nil"/>
            </w:tcBorders>
            <w:vAlign w:val="bottom"/>
          </w:tcPr>
          <w:p w14:paraId="638ECFA7" w14:textId="77777777" w:rsidR="006C172F" w:rsidRPr="00CD05D7" w:rsidRDefault="006C172F">
            <w:pPr>
              <w:rPr>
                <w:rFonts w:asciiTheme="minorHAnsi" w:hAnsiTheme="minorHAnsi" w:cstheme="minorHAnsi"/>
                <w:sz w:val="20"/>
                <w:szCs w:val="20"/>
              </w:rPr>
            </w:pPr>
            <w:r w:rsidRPr="00CD05D7">
              <w:rPr>
                <w:rFonts w:asciiTheme="minorHAnsi" w:hAnsiTheme="minorHAnsi" w:cstheme="minorHAnsi"/>
                <w:sz w:val="20"/>
                <w:szCs w:val="20"/>
              </w:rPr>
              <w:t>Profit before tax</w:t>
            </w:r>
          </w:p>
        </w:tc>
        <w:tc>
          <w:tcPr>
            <w:tcW w:w="1378" w:type="dxa"/>
            <w:tcBorders>
              <w:top w:val="single" w:sz="4" w:space="0" w:color="auto"/>
              <w:left w:val="nil"/>
              <w:bottom w:val="nil"/>
              <w:right w:val="nil"/>
            </w:tcBorders>
            <w:vAlign w:val="bottom"/>
          </w:tcPr>
          <w:p w14:paraId="78C13213" w14:textId="77777777" w:rsidR="006C172F" w:rsidRPr="00CD05D7" w:rsidRDefault="006C172F" w:rsidP="006C172F">
            <w:pPr>
              <w:jc w:val="right"/>
              <w:rPr>
                <w:rFonts w:asciiTheme="minorHAnsi" w:hAnsiTheme="minorHAnsi" w:cstheme="minorHAnsi"/>
                <w:sz w:val="20"/>
                <w:szCs w:val="20"/>
              </w:rPr>
            </w:pPr>
            <w:r w:rsidRPr="00CD05D7">
              <w:rPr>
                <w:rFonts w:asciiTheme="minorHAnsi" w:hAnsiTheme="minorHAnsi" w:cstheme="minorHAnsi"/>
                <w:sz w:val="20"/>
                <w:szCs w:val="20"/>
              </w:rPr>
              <w:t xml:space="preserve">365,463 </w:t>
            </w:r>
          </w:p>
          <w:p w14:paraId="26AAFF23" w14:textId="77777777" w:rsidR="00BD706D" w:rsidRPr="00CD05D7" w:rsidRDefault="00BD706D">
            <w:pPr>
              <w:jc w:val="right"/>
              <w:rPr>
                <w:rFonts w:asciiTheme="minorHAnsi" w:hAnsiTheme="minorHAnsi" w:cstheme="minorHAnsi"/>
                <w:sz w:val="20"/>
                <w:szCs w:val="20"/>
              </w:rPr>
            </w:pPr>
          </w:p>
        </w:tc>
        <w:tc>
          <w:tcPr>
            <w:tcW w:w="1502" w:type="dxa"/>
            <w:tcBorders>
              <w:top w:val="single" w:sz="4" w:space="0" w:color="auto"/>
              <w:left w:val="nil"/>
              <w:bottom w:val="nil"/>
              <w:right w:val="nil"/>
            </w:tcBorders>
            <w:vAlign w:val="bottom"/>
          </w:tcPr>
          <w:p w14:paraId="090A9B7D" w14:textId="77777777" w:rsidR="00BD706D" w:rsidRPr="00CD05D7" w:rsidRDefault="00BD706D">
            <w:pPr>
              <w:rPr>
                <w:rFonts w:asciiTheme="minorHAnsi" w:hAnsiTheme="minorHAnsi" w:cstheme="minorHAnsi"/>
                <w:sz w:val="20"/>
                <w:szCs w:val="20"/>
              </w:rPr>
            </w:pPr>
          </w:p>
        </w:tc>
        <w:tc>
          <w:tcPr>
            <w:tcW w:w="1620" w:type="dxa"/>
            <w:tcBorders>
              <w:top w:val="single" w:sz="4" w:space="0" w:color="auto"/>
              <w:left w:val="nil"/>
              <w:bottom w:val="nil"/>
              <w:right w:val="nil"/>
            </w:tcBorders>
            <w:vAlign w:val="bottom"/>
          </w:tcPr>
          <w:p w14:paraId="76FBBF9B" w14:textId="77777777" w:rsidR="00BD706D" w:rsidRPr="00CD05D7" w:rsidRDefault="00BD706D">
            <w:pPr>
              <w:rPr>
                <w:rFonts w:asciiTheme="minorHAnsi" w:hAnsiTheme="minorHAnsi" w:cstheme="minorHAnsi"/>
                <w:sz w:val="20"/>
                <w:szCs w:val="20"/>
              </w:rPr>
            </w:pPr>
          </w:p>
        </w:tc>
        <w:tc>
          <w:tcPr>
            <w:tcW w:w="1537" w:type="dxa"/>
            <w:tcBorders>
              <w:top w:val="single" w:sz="4" w:space="0" w:color="auto"/>
              <w:left w:val="nil"/>
              <w:bottom w:val="nil"/>
              <w:right w:val="nil"/>
            </w:tcBorders>
            <w:vAlign w:val="bottom"/>
          </w:tcPr>
          <w:p w14:paraId="32F29C2A" w14:textId="77777777" w:rsidR="00BD706D" w:rsidRPr="00CD05D7" w:rsidRDefault="00BD706D">
            <w:pPr>
              <w:jc w:val="right"/>
              <w:rPr>
                <w:rFonts w:asciiTheme="minorHAnsi" w:hAnsiTheme="minorHAnsi" w:cstheme="minorHAnsi"/>
                <w:sz w:val="20"/>
                <w:szCs w:val="20"/>
              </w:rPr>
            </w:pPr>
          </w:p>
        </w:tc>
        <w:tc>
          <w:tcPr>
            <w:tcW w:w="1255" w:type="dxa"/>
            <w:tcBorders>
              <w:top w:val="single" w:sz="4" w:space="0" w:color="auto"/>
              <w:left w:val="nil"/>
              <w:bottom w:val="nil"/>
              <w:right w:val="nil"/>
            </w:tcBorders>
            <w:vAlign w:val="bottom"/>
          </w:tcPr>
          <w:p w14:paraId="205DBEAB" w14:textId="77777777" w:rsidR="006C172F" w:rsidRPr="00CD05D7" w:rsidRDefault="006C172F" w:rsidP="006C172F">
            <w:pPr>
              <w:jc w:val="right"/>
              <w:rPr>
                <w:rFonts w:asciiTheme="minorHAnsi" w:hAnsiTheme="minorHAnsi" w:cstheme="minorHAnsi"/>
                <w:sz w:val="20"/>
                <w:szCs w:val="20"/>
              </w:rPr>
            </w:pPr>
            <w:r w:rsidRPr="00CD05D7">
              <w:rPr>
                <w:rFonts w:asciiTheme="minorHAnsi" w:hAnsiTheme="minorHAnsi" w:cstheme="minorHAnsi"/>
                <w:sz w:val="20"/>
                <w:szCs w:val="20"/>
              </w:rPr>
              <w:t>(540,956)</w:t>
            </w:r>
          </w:p>
          <w:p w14:paraId="47685D91" w14:textId="77777777" w:rsidR="00BD706D" w:rsidRPr="00CD05D7" w:rsidRDefault="00BD706D">
            <w:pPr>
              <w:jc w:val="right"/>
              <w:rPr>
                <w:rFonts w:asciiTheme="minorHAnsi" w:hAnsiTheme="minorHAnsi" w:cstheme="minorHAnsi"/>
                <w:sz w:val="20"/>
                <w:szCs w:val="20"/>
              </w:rPr>
            </w:pPr>
          </w:p>
        </w:tc>
      </w:tr>
      <w:tr w:rsidR="00BD706D" w:rsidRPr="00CD05D7" w14:paraId="1AB0C8EF" w14:textId="77777777" w:rsidTr="00D4423A">
        <w:tc>
          <w:tcPr>
            <w:tcW w:w="1548" w:type="dxa"/>
            <w:tcBorders>
              <w:top w:val="nil"/>
              <w:left w:val="nil"/>
              <w:bottom w:val="nil"/>
              <w:right w:val="nil"/>
            </w:tcBorders>
            <w:vAlign w:val="bottom"/>
          </w:tcPr>
          <w:p w14:paraId="1BA3C736" w14:textId="77777777" w:rsidR="00BD706D" w:rsidRPr="00CD05D7" w:rsidRDefault="00BD706D">
            <w:pPr>
              <w:rPr>
                <w:rFonts w:asciiTheme="minorHAnsi" w:hAnsiTheme="minorHAnsi" w:cstheme="minorHAnsi"/>
                <w:sz w:val="20"/>
                <w:szCs w:val="20"/>
              </w:rPr>
            </w:pPr>
          </w:p>
        </w:tc>
        <w:tc>
          <w:tcPr>
            <w:tcW w:w="1378" w:type="dxa"/>
            <w:tcBorders>
              <w:top w:val="nil"/>
              <w:left w:val="nil"/>
              <w:bottom w:val="nil"/>
              <w:right w:val="nil"/>
            </w:tcBorders>
            <w:vAlign w:val="bottom"/>
          </w:tcPr>
          <w:p w14:paraId="751E1E55" w14:textId="77777777" w:rsidR="00BD706D" w:rsidRPr="00CD05D7" w:rsidRDefault="00BD706D">
            <w:pPr>
              <w:jc w:val="right"/>
              <w:rPr>
                <w:rFonts w:asciiTheme="minorHAnsi" w:hAnsiTheme="minorHAnsi" w:cstheme="minorHAnsi"/>
                <w:sz w:val="20"/>
                <w:szCs w:val="20"/>
              </w:rPr>
            </w:pPr>
          </w:p>
        </w:tc>
        <w:tc>
          <w:tcPr>
            <w:tcW w:w="1502" w:type="dxa"/>
            <w:tcBorders>
              <w:top w:val="nil"/>
              <w:left w:val="nil"/>
              <w:bottom w:val="nil"/>
              <w:right w:val="nil"/>
            </w:tcBorders>
            <w:vAlign w:val="bottom"/>
          </w:tcPr>
          <w:p w14:paraId="1F7E9A2B" w14:textId="77777777" w:rsidR="00BD706D" w:rsidRPr="00CD05D7" w:rsidRDefault="00BD706D">
            <w:pPr>
              <w:rPr>
                <w:rFonts w:asciiTheme="minorHAnsi" w:hAnsiTheme="minorHAnsi" w:cstheme="minorHAnsi"/>
                <w:sz w:val="20"/>
                <w:szCs w:val="20"/>
              </w:rPr>
            </w:pPr>
          </w:p>
        </w:tc>
        <w:tc>
          <w:tcPr>
            <w:tcW w:w="1620" w:type="dxa"/>
            <w:tcBorders>
              <w:top w:val="nil"/>
              <w:left w:val="nil"/>
              <w:bottom w:val="nil"/>
              <w:right w:val="nil"/>
            </w:tcBorders>
            <w:vAlign w:val="bottom"/>
          </w:tcPr>
          <w:p w14:paraId="56ED1DB0" w14:textId="77777777" w:rsidR="00BD706D" w:rsidRPr="00CD05D7" w:rsidRDefault="00BD706D">
            <w:pPr>
              <w:rPr>
                <w:rFonts w:asciiTheme="minorHAnsi" w:hAnsiTheme="minorHAnsi" w:cstheme="minorHAnsi"/>
                <w:sz w:val="20"/>
                <w:szCs w:val="20"/>
              </w:rPr>
            </w:pPr>
          </w:p>
        </w:tc>
        <w:tc>
          <w:tcPr>
            <w:tcW w:w="1537" w:type="dxa"/>
            <w:tcBorders>
              <w:top w:val="nil"/>
              <w:left w:val="nil"/>
              <w:bottom w:val="nil"/>
              <w:right w:val="nil"/>
            </w:tcBorders>
            <w:vAlign w:val="bottom"/>
          </w:tcPr>
          <w:p w14:paraId="6198E05F" w14:textId="77777777" w:rsidR="00BD706D" w:rsidRPr="00CD05D7" w:rsidRDefault="00BD706D">
            <w:pPr>
              <w:jc w:val="right"/>
              <w:rPr>
                <w:rFonts w:asciiTheme="minorHAnsi" w:hAnsiTheme="minorHAnsi" w:cstheme="minorHAnsi"/>
                <w:sz w:val="20"/>
                <w:szCs w:val="20"/>
              </w:rPr>
            </w:pPr>
          </w:p>
        </w:tc>
        <w:tc>
          <w:tcPr>
            <w:tcW w:w="1255" w:type="dxa"/>
            <w:tcBorders>
              <w:top w:val="nil"/>
              <w:left w:val="nil"/>
              <w:bottom w:val="nil"/>
              <w:right w:val="nil"/>
            </w:tcBorders>
            <w:vAlign w:val="bottom"/>
          </w:tcPr>
          <w:p w14:paraId="40E48AE2" w14:textId="77777777" w:rsidR="00BD706D" w:rsidRPr="00CD05D7" w:rsidRDefault="00BD706D">
            <w:pPr>
              <w:jc w:val="right"/>
              <w:rPr>
                <w:rFonts w:asciiTheme="minorHAnsi" w:hAnsiTheme="minorHAnsi" w:cstheme="minorHAnsi"/>
                <w:sz w:val="20"/>
                <w:szCs w:val="20"/>
              </w:rPr>
            </w:pPr>
          </w:p>
        </w:tc>
      </w:tr>
      <w:tr w:rsidR="00BD706D" w:rsidRPr="00CD05D7" w14:paraId="204D2600" w14:textId="77777777" w:rsidTr="00D4423A">
        <w:tc>
          <w:tcPr>
            <w:tcW w:w="1548" w:type="dxa"/>
            <w:tcBorders>
              <w:top w:val="nil"/>
              <w:left w:val="nil"/>
              <w:bottom w:val="nil"/>
              <w:right w:val="nil"/>
            </w:tcBorders>
            <w:vAlign w:val="bottom"/>
          </w:tcPr>
          <w:p w14:paraId="0B194195" w14:textId="77777777" w:rsidR="00BD706D" w:rsidRPr="00CD05D7" w:rsidRDefault="00BD706D">
            <w:pPr>
              <w:rPr>
                <w:rFonts w:asciiTheme="minorHAnsi" w:hAnsiTheme="minorHAnsi" w:cstheme="minorHAnsi"/>
                <w:sz w:val="20"/>
                <w:szCs w:val="20"/>
              </w:rPr>
            </w:pPr>
            <w:r w:rsidRPr="00CD05D7">
              <w:rPr>
                <w:rFonts w:asciiTheme="minorHAnsi" w:hAnsiTheme="minorHAnsi" w:cstheme="minorHAnsi"/>
                <w:sz w:val="20"/>
                <w:szCs w:val="20"/>
              </w:rPr>
              <w:t>Tax Expense</w:t>
            </w:r>
          </w:p>
        </w:tc>
        <w:tc>
          <w:tcPr>
            <w:tcW w:w="1378" w:type="dxa"/>
            <w:tcBorders>
              <w:top w:val="nil"/>
              <w:left w:val="nil"/>
              <w:bottom w:val="nil"/>
              <w:right w:val="nil"/>
            </w:tcBorders>
            <w:vAlign w:val="bottom"/>
          </w:tcPr>
          <w:p w14:paraId="62F5B2EA"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194,500 </w:t>
            </w:r>
          </w:p>
        </w:tc>
        <w:tc>
          <w:tcPr>
            <w:tcW w:w="1502" w:type="dxa"/>
            <w:tcBorders>
              <w:top w:val="nil"/>
              <w:left w:val="nil"/>
              <w:bottom w:val="nil"/>
              <w:right w:val="nil"/>
            </w:tcBorders>
            <w:vAlign w:val="bottom"/>
          </w:tcPr>
          <w:p w14:paraId="06DDA748" w14:textId="77777777" w:rsidR="00BD706D" w:rsidRPr="00CD05D7" w:rsidRDefault="00BD706D">
            <w:pPr>
              <w:rPr>
                <w:rFonts w:asciiTheme="minorHAnsi" w:hAnsiTheme="minorHAnsi" w:cstheme="minorHAnsi"/>
                <w:sz w:val="20"/>
                <w:szCs w:val="20"/>
              </w:rPr>
            </w:pPr>
          </w:p>
        </w:tc>
        <w:tc>
          <w:tcPr>
            <w:tcW w:w="1620" w:type="dxa"/>
            <w:tcBorders>
              <w:top w:val="nil"/>
              <w:left w:val="nil"/>
              <w:bottom w:val="nil"/>
              <w:right w:val="nil"/>
            </w:tcBorders>
            <w:vAlign w:val="bottom"/>
          </w:tcPr>
          <w:p w14:paraId="00673AB2" w14:textId="77777777" w:rsidR="00BD706D" w:rsidRPr="00CD05D7" w:rsidRDefault="00BD706D">
            <w:pPr>
              <w:rPr>
                <w:rFonts w:asciiTheme="minorHAnsi" w:hAnsiTheme="minorHAnsi" w:cstheme="minorHAnsi"/>
                <w:sz w:val="20"/>
                <w:szCs w:val="20"/>
              </w:rPr>
            </w:pPr>
          </w:p>
        </w:tc>
        <w:tc>
          <w:tcPr>
            <w:tcW w:w="1537" w:type="dxa"/>
            <w:tcBorders>
              <w:top w:val="nil"/>
              <w:left w:val="nil"/>
              <w:bottom w:val="nil"/>
              <w:right w:val="nil"/>
            </w:tcBorders>
            <w:vAlign w:val="bottom"/>
          </w:tcPr>
          <w:p w14:paraId="1343615C"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353,503 </w:t>
            </w:r>
          </w:p>
        </w:tc>
        <w:tc>
          <w:tcPr>
            <w:tcW w:w="1255" w:type="dxa"/>
            <w:tcBorders>
              <w:top w:val="nil"/>
              <w:left w:val="nil"/>
              <w:bottom w:val="nil"/>
              <w:right w:val="nil"/>
            </w:tcBorders>
            <w:vAlign w:val="bottom"/>
          </w:tcPr>
          <w:p w14:paraId="1AFABDB9"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 xml:space="preserve">548,003 </w:t>
            </w:r>
          </w:p>
        </w:tc>
      </w:tr>
      <w:tr w:rsidR="00BD706D" w:rsidRPr="00CD05D7" w14:paraId="590D044F" w14:textId="77777777" w:rsidTr="00D4423A">
        <w:tc>
          <w:tcPr>
            <w:tcW w:w="1548" w:type="dxa"/>
            <w:tcBorders>
              <w:top w:val="nil"/>
              <w:left w:val="nil"/>
              <w:bottom w:val="single" w:sz="4" w:space="0" w:color="auto"/>
              <w:right w:val="nil"/>
            </w:tcBorders>
            <w:vAlign w:val="bottom"/>
          </w:tcPr>
          <w:p w14:paraId="4AB7981B" w14:textId="77777777" w:rsidR="00BD706D" w:rsidRPr="00CD05D7" w:rsidRDefault="00BD706D">
            <w:pPr>
              <w:rPr>
                <w:rFonts w:asciiTheme="minorHAnsi" w:hAnsiTheme="minorHAnsi" w:cstheme="minorHAnsi"/>
                <w:sz w:val="20"/>
                <w:szCs w:val="20"/>
              </w:rPr>
            </w:pPr>
            <w:r w:rsidRPr="00CD05D7">
              <w:rPr>
                <w:rFonts w:asciiTheme="minorHAnsi" w:hAnsiTheme="minorHAnsi" w:cstheme="minorHAnsi"/>
                <w:sz w:val="20"/>
                <w:szCs w:val="20"/>
              </w:rPr>
              <w:t>Minority Interest</w:t>
            </w:r>
          </w:p>
        </w:tc>
        <w:tc>
          <w:tcPr>
            <w:tcW w:w="1378" w:type="dxa"/>
            <w:tcBorders>
              <w:top w:val="nil"/>
              <w:left w:val="nil"/>
              <w:bottom w:val="single" w:sz="4" w:space="0" w:color="auto"/>
              <w:right w:val="nil"/>
            </w:tcBorders>
            <w:vAlign w:val="bottom"/>
          </w:tcPr>
          <w:p w14:paraId="00530FF1"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(1,847)</w:t>
            </w:r>
          </w:p>
        </w:tc>
        <w:tc>
          <w:tcPr>
            <w:tcW w:w="1502" w:type="dxa"/>
            <w:tcBorders>
              <w:top w:val="nil"/>
              <w:left w:val="nil"/>
              <w:bottom w:val="single" w:sz="4" w:space="0" w:color="auto"/>
              <w:right w:val="nil"/>
            </w:tcBorders>
            <w:vAlign w:val="bottom"/>
          </w:tcPr>
          <w:p w14:paraId="0D9732A6" w14:textId="77777777" w:rsidR="00BD706D" w:rsidRPr="00CD05D7" w:rsidRDefault="00BD706D">
            <w:pPr>
              <w:rPr>
                <w:rFonts w:asciiTheme="minorHAnsi" w:hAnsiTheme="minorHAnsi" w:cstheme="minorHAnsi"/>
                <w:sz w:val="20"/>
                <w:szCs w:val="20"/>
              </w:rPr>
            </w:pPr>
          </w:p>
        </w:tc>
        <w:tc>
          <w:tcPr>
            <w:tcW w:w="1620" w:type="dxa"/>
            <w:tcBorders>
              <w:top w:val="nil"/>
              <w:left w:val="nil"/>
              <w:bottom w:val="single" w:sz="4" w:space="0" w:color="auto"/>
              <w:right w:val="nil"/>
            </w:tcBorders>
            <w:vAlign w:val="bottom"/>
          </w:tcPr>
          <w:p w14:paraId="7C7EB037" w14:textId="77777777" w:rsidR="00BD706D" w:rsidRPr="00CD05D7" w:rsidRDefault="00BD706D">
            <w:pPr>
              <w:rPr>
                <w:rFonts w:asciiTheme="minorHAnsi" w:hAnsiTheme="minorHAnsi" w:cstheme="minorHAnsi"/>
                <w:sz w:val="20"/>
                <w:szCs w:val="20"/>
              </w:rPr>
            </w:pPr>
          </w:p>
        </w:tc>
        <w:tc>
          <w:tcPr>
            <w:tcW w:w="1537" w:type="dxa"/>
            <w:tcBorders>
              <w:top w:val="nil"/>
              <w:left w:val="nil"/>
              <w:bottom w:val="single" w:sz="4" w:space="0" w:color="auto"/>
              <w:right w:val="nil"/>
            </w:tcBorders>
            <w:vAlign w:val="bottom"/>
          </w:tcPr>
          <w:p w14:paraId="233B391B" w14:textId="77777777" w:rsidR="00BD706D" w:rsidRPr="00CD05D7" w:rsidRDefault="00BD706D">
            <w:pPr>
              <w:rPr>
                <w:rFonts w:asciiTheme="minorHAnsi" w:hAnsiTheme="minorHAnsi" w:cstheme="minorHAnsi"/>
                <w:sz w:val="20"/>
                <w:szCs w:val="20"/>
              </w:rPr>
            </w:pPr>
          </w:p>
        </w:tc>
        <w:tc>
          <w:tcPr>
            <w:tcW w:w="1255" w:type="dxa"/>
            <w:tcBorders>
              <w:top w:val="nil"/>
              <w:left w:val="nil"/>
              <w:bottom w:val="single" w:sz="4" w:space="0" w:color="auto"/>
              <w:right w:val="nil"/>
            </w:tcBorders>
            <w:vAlign w:val="bottom"/>
          </w:tcPr>
          <w:p w14:paraId="320A87EB" w14:textId="77777777" w:rsidR="00BD706D" w:rsidRPr="00CD05D7" w:rsidRDefault="00BD706D">
            <w:pPr>
              <w:jc w:val="right"/>
              <w:rPr>
                <w:rFonts w:asciiTheme="minorHAnsi" w:hAnsiTheme="minorHAnsi" w:cstheme="minorHAnsi"/>
                <w:sz w:val="20"/>
                <w:szCs w:val="20"/>
              </w:rPr>
            </w:pPr>
            <w:r w:rsidRPr="00CD05D7">
              <w:rPr>
                <w:rFonts w:asciiTheme="minorHAnsi" w:hAnsiTheme="minorHAnsi" w:cstheme="minorHAnsi"/>
                <w:sz w:val="20"/>
                <w:szCs w:val="20"/>
              </w:rPr>
              <w:t>(1,847)</w:t>
            </w:r>
          </w:p>
        </w:tc>
      </w:tr>
      <w:tr w:rsidR="00BD706D" w:rsidRPr="00CD05D7" w14:paraId="6C2FAD5D" w14:textId="77777777" w:rsidTr="00D4423A">
        <w:tc>
          <w:tcPr>
            <w:tcW w:w="1548" w:type="dxa"/>
            <w:tcBorders>
              <w:top w:val="single" w:sz="4" w:space="0" w:color="auto"/>
              <w:left w:val="nil"/>
              <w:bottom w:val="nil"/>
              <w:right w:val="nil"/>
            </w:tcBorders>
            <w:vAlign w:val="bottom"/>
          </w:tcPr>
          <w:p w14:paraId="636B1E8B" w14:textId="77777777" w:rsidR="00BD706D" w:rsidRPr="00CD05D7" w:rsidRDefault="00BD706D">
            <w:pPr>
              <w:rPr>
                <w:rFonts w:asciiTheme="minorHAnsi" w:hAnsiTheme="minorHAnsi" w:cstheme="minorHAnsi"/>
                <w:sz w:val="20"/>
                <w:szCs w:val="20"/>
              </w:rPr>
            </w:pPr>
            <w:r w:rsidRPr="00CD05D7">
              <w:rPr>
                <w:rFonts w:asciiTheme="minorHAnsi" w:hAnsiTheme="minorHAnsi" w:cstheme="minorHAnsi"/>
                <w:sz w:val="20"/>
                <w:szCs w:val="20"/>
              </w:rPr>
              <w:t>Net Profit/Loss</w:t>
            </w:r>
          </w:p>
        </w:tc>
        <w:tc>
          <w:tcPr>
            <w:tcW w:w="1378" w:type="dxa"/>
            <w:tcBorders>
              <w:top w:val="single" w:sz="4" w:space="0" w:color="auto"/>
              <w:left w:val="nil"/>
              <w:bottom w:val="nil"/>
              <w:right w:val="nil"/>
            </w:tcBorders>
            <w:vAlign w:val="bottom"/>
          </w:tcPr>
          <w:p w14:paraId="1F7F9E27" w14:textId="77777777" w:rsidR="00BD706D" w:rsidRPr="00CD05D7" w:rsidRDefault="00BD706D">
            <w:pPr>
              <w:jc w:val="right"/>
              <w:rPr>
                <w:rFonts w:asciiTheme="minorHAnsi" w:hAnsiTheme="minorHAnsi" w:cstheme="minorHAnsi"/>
                <w:b/>
                <w:bCs/>
                <w:sz w:val="20"/>
                <w:szCs w:val="20"/>
              </w:rPr>
            </w:pPr>
            <w:r w:rsidRPr="00CD05D7">
              <w:rPr>
                <w:rFonts w:asciiTheme="minorHAnsi" w:hAnsiTheme="minorHAnsi" w:cstheme="minorHAnsi"/>
                <w:b/>
                <w:bCs/>
                <w:sz w:val="20"/>
                <w:szCs w:val="20"/>
              </w:rPr>
              <w:t xml:space="preserve">558,116 </w:t>
            </w:r>
          </w:p>
        </w:tc>
        <w:tc>
          <w:tcPr>
            <w:tcW w:w="1502" w:type="dxa"/>
            <w:tcBorders>
              <w:top w:val="single" w:sz="4" w:space="0" w:color="auto"/>
              <w:left w:val="nil"/>
              <w:bottom w:val="nil"/>
              <w:right w:val="nil"/>
            </w:tcBorders>
            <w:vAlign w:val="bottom"/>
          </w:tcPr>
          <w:p w14:paraId="7DE307F8" w14:textId="77777777" w:rsidR="00BD706D" w:rsidRPr="00CD05D7" w:rsidRDefault="00BD706D">
            <w:pPr>
              <w:rPr>
                <w:rFonts w:asciiTheme="minorHAnsi" w:hAnsiTheme="minorHAnsi" w:cstheme="minorHAnsi"/>
                <w:sz w:val="20"/>
                <w:szCs w:val="20"/>
              </w:rPr>
            </w:pPr>
          </w:p>
        </w:tc>
        <w:tc>
          <w:tcPr>
            <w:tcW w:w="1620" w:type="dxa"/>
            <w:tcBorders>
              <w:top w:val="single" w:sz="4" w:space="0" w:color="auto"/>
              <w:left w:val="nil"/>
              <w:bottom w:val="nil"/>
              <w:right w:val="nil"/>
            </w:tcBorders>
            <w:vAlign w:val="bottom"/>
          </w:tcPr>
          <w:p w14:paraId="09B5B214" w14:textId="77777777" w:rsidR="00BD706D" w:rsidRPr="00CD05D7" w:rsidRDefault="00BD706D">
            <w:pPr>
              <w:rPr>
                <w:rFonts w:asciiTheme="minorHAnsi" w:hAnsiTheme="minorHAnsi" w:cstheme="minorHAnsi"/>
                <w:sz w:val="20"/>
                <w:szCs w:val="20"/>
              </w:rPr>
            </w:pPr>
          </w:p>
        </w:tc>
        <w:tc>
          <w:tcPr>
            <w:tcW w:w="1537" w:type="dxa"/>
            <w:tcBorders>
              <w:top w:val="single" w:sz="4" w:space="0" w:color="auto"/>
              <w:left w:val="nil"/>
              <w:bottom w:val="nil"/>
              <w:right w:val="nil"/>
            </w:tcBorders>
            <w:vAlign w:val="bottom"/>
          </w:tcPr>
          <w:p w14:paraId="1A7D5BD8" w14:textId="77777777" w:rsidR="00BD706D" w:rsidRPr="00CD05D7" w:rsidRDefault="00BD706D">
            <w:pPr>
              <w:rPr>
                <w:rFonts w:asciiTheme="minorHAnsi" w:hAnsiTheme="minorHAnsi" w:cstheme="minorHAnsi"/>
                <w:sz w:val="20"/>
                <w:szCs w:val="20"/>
              </w:rPr>
            </w:pPr>
          </w:p>
        </w:tc>
        <w:tc>
          <w:tcPr>
            <w:tcW w:w="1255" w:type="dxa"/>
            <w:tcBorders>
              <w:top w:val="single" w:sz="4" w:space="0" w:color="auto"/>
              <w:left w:val="nil"/>
              <w:bottom w:val="nil"/>
              <w:right w:val="nil"/>
            </w:tcBorders>
            <w:vAlign w:val="bottom"/>
          </w:tcPr>
          <w:p w14:paraId="5639383F" w14:textId="77777777" w:rsidR="00BD706D" w:rsidRPr="00CD05D7" w:rsidRDefault="00BD706D">
            <w:pPr>
              <w:jc w:val="right"/>
              <w:rPr>
                <w:rFonts w:asciiTheme="minorHAnsi" w:hAnsiTheme="minorHAnsi" w:cstheme="minorHAnsi"/>
                <w:b/>
                <w:bCs/>
                <w:sz w:val="20"/>
                <w:szCs w:val="20"/>
              </w:rPr>
            </w:pPr>
            <w:r w:rsidRPr="00CD05D7">
              <w:rPr>
                <w:rFonts w:asciiTheme="minorHAnsi" w:hAnsiTheme="minorHAnsi" w:cstheme="minorHAnsi"/>
                <w:b/>
                <w:bCs/>
                <w:sz w:val="20"/>
                <w:szCs w:val="20"/>
              </w:rPr>
              <w:t xml:space="preserve">5,200 </w:t>
            </w:r>
          </w:p>
        </w:tc>
      </w:tr>
    </w:tbl>
    <w:p w14:paraId="7C1AB8E0" w14:textId="77777777" w:rsidR="00944B86" w:rsidRPr="00CD05D7" w:rsidRDefault="00944B86">
      <w:pPr>
        <w:rPr>
          <w:rFonts w:asciiTheme="minorHAnsi" w:hAnsiTheme="minorHAnsi" w:cstheme="minorHAnsi"/>
        </w:rPr>
      </w:pPr>
    </w:p>
    <w:p w14:paraId="28335F64" w14:textId="77777777" w:rsidR="00944B86" w:rsidRPr="00CD05D7" w:rsidRDefault="00944B86" w:rsidP="00944B86">
      <w:pPr>
        <w:rPr>
          <w:rFonts w:asciiTheme="minorHAnsi" w:hAnsiTheme="minorHAnsi" w:cstheme="minorHAnsi"/>
        </w:rPr>
      </w:pPr>
      <w:r w:rsidRPr="00CD05D7">
        <w:rPr>
          <w:rFonts w:asciiTheme="minorHAnsi" w:hAnsiTheme="minorHAnsi" w:cstheme="minorHAnsi"/>
        </w:rPr>
        <w:br w:type="page"/>
      </w:r>
      <w:r w:rsidRPr="00CD05D7">
        <w:rPr>
          <w:rFonts w:asciiTheme="minorHAnsi" w:hAnsiTheme="minorHAnsi" w:cstheme="minorHAnsi"/>
          <w:b/>
        </w:rPr>
        <w:lastRenderedPageBreak/>
        <w:t xml:space="preserve">Exhibit TN-4 </w:t>
      </w:r>
      <w:r w:rsidRPr="00CD05D7">
        <w:rPr>
          <w:rFonts w:asciiTheme="minorHAnsi" w:hAnsiTheme="minorHAnsi" w:cstheme="minorHAnsi"/>
        </w:rPr>
        <w:t xml:space="preserve">Adjustments to </w:t>
      </w:r>
      <w:proofErr w:type="spellStart"/>
      <w:r w:rsidRPr="00CD05D7">
        <w:rPr>
          <w:rFonts w:asciiTheme="minorHAnsi" w:hAnsiTheme="minorHAnsi" w:cstheme="minorHAnsi"/>
        </w:rPr>
        <w:t>KarstadtQuelle’s</w:t>
      </w:r>
      <w:proofErr w:type="spellEnd"/>
      <w:r w:rsidRPr="00CD05D7">
        <w:rPr>
          <w:rFonts w:asciiTheme="minorHAnsi" w:hAnsiTheme="minorHAnsi" w:cstheme="minorHAnsi"/>
        </w:rPr>
        <w:t xml:space="preserve"> income statements</w:t>
      </w:r>
    </w:p>
    <w:p w14:paraId="55DF361A" w14:textId="77777777" w:rsidR="00BD706D" w:rsidRPr="00CD05D7" w:rsidRDefault="00BD706D">
      <w:pPr>
        <w:rPr>
          <w:rFonts w:asciiTheme="minorHAnsi" w:hAnsiTheme="minorHAnsi"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34"/>
        <w:gridCol w:w="1233"/>
        <w:gridCol w:w="1236"/>
        <w:gridCol w:w="1244"/>
        <w:gridCol w:w="1227"/>
        <w:gridCol w:w="1232"/>
        <w:gridCol w:w="1234"/>
      </w:tblGrid>
      <w:tr w:rsidR="00944B86" w:rsidRPr="00CD05D7" w14:paraId="6030718F" w14:textId="77777777" w:rsidTr="00D4423A">
        <w:tc>
          <w:tcPr>
            <w:tcW w:w="1254" w:type="dxa"/>
            <w:tcBorders>
              <w:bottom w:val="single" w:sz="4" w:space="0" w:color="auto"/>
            </w:tcBorders>
            <w:vAlign w:val="bottom"/>
          </w:tcPr>
          <w:p w14:paraId="6F2B54D1" w14:textId="77777777" w:rsidR="00944B86" w:rsidRPr="00CD05D7" w:rsidRDefault="00944B86">
            <w:pPr>
              <w:rPr>
                <w:rFonts w:asciiTheme="minorHAnsi" w:hAnsiTheme="minorHAnsi" w:cstheme="minorHAnsi"/>
                <w:sz w:val="20"/>
                <w:szCs w:val="20"/>
              </w:rPr>
            </w:pPr>
          </w:p>
        </w:tc>
        <w:tc>
          <w:tcPr>
            <w:tcW w:w="1254" w:type="dxa"/>
            <w:tcBorders>
              <w:bottom w:val="single" w:sz="4" w:space="0" w:color="auto"/>
            </w:tcBorders>
            <w:vAlign w:val="bottom"/>
          </w:tcPr>
          <w:p w14:paraId="6C61B9CE" w14:textId="77777777" w:rsidR="00944B86" w:rsidRPr="00CD05D7" w:rsidRDefault="00944B86">
            <w:pPr>
              <w:jc w:val="center"/>
              <w:rPr>
                <w:rFonts w:asciiTheme="minorHAnsi" w:hAnsiTheme="minorHAnsi" w:cstheme="minorHAnsi"/>
                <w:b/>
                <w:bCs/>
                <w:sz w:val="20"/>
                <w:szCs w:val="20"/>
              </w:rPr>
            </w:pPr>
            <w:r w:rsidRPr="00CD05D7">
              <w:rPr>
                <w:rFonts w:asciiTheme="minorHAnsi" w:hAnsiTheme="minorHAnsi" w:cstheme="minorHAnsi"/>
                <w:b/>
                <w:bCs/>
                <w:sz w:val="20"/>
                <w:szCs w:val="20"/>
              </w:rPr>
              <w:t>1st half 2006</w:t>
            </w:r>
          </w:p>
        </w:tc>
        <w:tc>
          <w:tcPr>
            <w:tcW w:w="1254" w:type="dxa"/>
            <w:tcBorders>
              <w:bottom w:val="single" w:sz="4" w:space="0" w:color="auto"/>
            </w:tcBorders>
            <w:vAlign w:val="bottom"/>
          </w:tcPr>
          <w:p w14:paraId="7C21F29E" w14:textId="77777777" w:rsidR="00944B86" w:rsidRPr="00CD05D7" w:rsidRDefault="00944B86">
            <w:pPr>
              <w:rPr>
                <w:rFonts w:asciiTheme="minorHAnsi" w:hAnsiTheme="minorHAnsi" w:cstheme="minorHAnsi"/>
                <w:b/>
                <w:bCs/>
                <w:sz w:val="20"/>
                <w:szCs w:val="20"/>
              </w:rPr>
            </w:pPr>
            <w:r w:rsidRPr="00CD05D7">
              <w:rPr>
                <w:rFonts w:asciiTheme="minorHAnsi" w:hAnsiTheme="minorHAnsi" w:cstheme="minorHAnsi"/>
                <w:b/>
                <w:bCs/>
                <w:sz w:val="20"/>
                <w:szCs w:val="20"/>
              </w:rPr>
              <w:t>Operating leases</w:t>
            </w:r>
          </w:p>
        </w:tc>
        <w:tc>
          <w:tcPr>
            <w:tcW w:w="1254" w:type="dxa"/>
            <w:tcBorders>
              <w:bottom w:val="single" w:sz="4" w:space="0" w:color="auto"/>
            </w:tcBorders>
            <w:vAlign w:val="bottom"/>
          </w:tcPr>
          <w:p w14:paraId="3D658F0F" w14:textId="77777777" w:rsidR="00944B86" w:rsidRPr="00CD05D7" w:rsidRDefault="00944B86">
            <w:pPr>
              <w:rPr>
                <w:rFonts w:asciiTheme="minorHAnsi" w:hAnsiTheme="minorHAnsi" w:cstheme="minorHAnsi"/>
                <w:b/>
                <w:bCs/>
                <w:sz w:val="20"/>
                <w:szCs w:val="20"/>
              </w:rPr>
            </w:pPr>
            <w:r w:rsidRPr="00CD05D7">
              <w:rPr>
                <w:rFonts w:asciiTheme="minorHAnsi" w:hAnsiTheme="minorHAnsi" w:cstheme="minorHAnsi"/>
                <w:b/>
                <w:bCs/>
                <w:sz w:val="20"/>
                <w:szCs w:val="20"/>
              </w:rPr>
              <w:t>Sale and leaseback</w:t>
            </w:r>
          </w:p>
        </w:tc>
        <w:tc>
          <w:tcPr>
            <w:tcW w:w="1254" w:type="dxa"/>
            <w:tcBorders>
              <w:bottom w:val="single" w:sz="4" w:space="0" w:color="auto"/>
            </w:tcBorders>
            <w:vAlign w:val="bottom"/>
          </w:tcPr>
          <w:p w14:paraId="7C2E0F6F" w14:textId="77777777" w:rsidR="00944B86" w:rsidRPr="00CD05D7" w:rsidRDefault="00944B86">
            <w:pPr>
              <w:rPr>
                <w:rFonts w:asciiTheme="minorHAnsi" w:hAnsiTheme="minorHAnsi" w:cstheme="minorHAnsi"/>
                <w:b/>
                <w:bCs/>
                <w:sz w:val="20"/>
                <w:szCs w:val="20"/>
              </w:rPr>
            </w:pPr>
            <w:r w:rsidRPr="00CD05D7">
              <w:rPr>
                <w:rFonts w:asciiTheme="minorHAnsi" w:hAnsiTheme="minorHAnsi" w:cstheme="minorHAnsi"/>
                <w:b/>
                <w:bCs/>
                <w:sz w:val="20"/>
                <w:szCs w:val="20"/>
              </w:rPr>
              <w:t>Pensions</w:t>
            </w:r>
          </w:p>
        </w:tc>
        <w:tc>
          <w:tcPr>
            <w:tcW w:w="1255" w:type="dxa"/>
            <w:tcBorders>
              <w:bottom w:val="single" w:sz="4" w:space="0" w:color="auto"/>
            </w:tcBorders>
            <w:vAlign w:val="bottom"/>
          </w:tcPr>
          <w:p w14:paraId="0E12FF20" w14:textId="77777777" w:rsidR="00944B86" w:rsidRPr="00CD05D7" w:rsidRDefault="00944B86">
            <w:pPr>
              <w:rPr>
                <w:rFonts w:asciiTheme="minorHAnsi" w:hAnsiTheme="minorHAnsi" w:cstheme="minorHAnsi"/>
                <w:b/>
                <w:bCs/>
                <w:sz w:val="20"/>
                <w:szCs w:val="20"/>
              </w:rPr>
            </w:pPr>
            <w:r w:rsidRPr="00CD05D7">
              <w:rPr>
                <w:rFonts w:asciiTheme="minorHAnsi" w:hAnsiTheme="minorHAnsi" w:cstheme="minorHAnsi"/>
                <w:b/>
                <w:bCs/>
                <w:sz w:val="20"/>
                <w:szCs w:val="20"/>
              </w:rPr>
              <w:t>Assets held for sale</w:t>
            </w:r>
          </w:p>
        </w:tc>
        <w:tc>
          <w:tcPr>
            <w:tcW w:w="1255" w:type="dxa"/>
            <w:tcBorders>
              <w:bottom w:val="single" w:sz="4" w:space="0" w:color="auto"/>
            </w:tcBorders>
            <w:vAlign w:val="bottom"/>
          </w:tcPr>
          <w:p w14:paraId="09D23463" w14:textId="77777777" w:rsidR="00944B86" w:rsidRPr="00CD05D7" w:rsidRDefault="00944B86">
            <w:pPr>
              <w:jc w:val="center"/>
              <w:rPr>
                <w:rFonts w:asciiTheme="minorHAnsi" w:hAnsiTheme="minorHAnsi" w:cstheme="minorHAnsi"/>
                <w:b/>
                <w:bCs/>
                <w:sz w:val="20"/>
                <w:szCs w:val="20"/>
              </w:rPr>
            </w:pPr>
            <w:r w:rsidRPr="00CD05D7">
              <w:rPr>
                <w:rFonts w:asciiTheme="minorHAnsi" w:hAnsiTheme="minorHAnsi" w:cstheme="minorHAnsi"/>
                <w:b/>
                <w:bCs/>
                <w:sz w:val="20"/>
                <w:szCs w:val="20"/>
              </w:rPr>
              <w:t>1st half 2006 Adjusted</w:t>
            </w:r>
          </w:p>
        </w:tc>
      </w:tr>
      <w:tr w:rsidR="00944B86" w:rsidRPr="00CD05D7" w14:paraId="40154F5F" w14:textId="77777777" w:rsidTr="00D4423A">
        <w:tc>
          <w:tcPr>
            <w:tcW w:w="1254" w:type="dxa"/>
            <w:tcBorders>
              <w:top w:val="single" w:sz="4" w:space="0" w:color="auto"/>
            </w:tcBorders>
            <w:vAlign w:val="bottom"/>
          </w:tcPr>
          <w:p w14:paraId="3D81729C" w14:textId="77777777" w:rsidR="00944B86" w:rsidRPr="00CD05D7" w:rsidRDefault="00944B86">
            <w:pPr>
              <w:rPr>
                <w:rFonts w:asciiTheme="minorHAnsi" w:hAnsiTheme="minorHAnsi" w:cstheme="minorHAnsi"/>
                <w:sz w:val="20"/>
                <w:szCs w:val="20"/>
              </w:rPr>
            </w:pPr>
            <w:r w:rsidRPr="00CD05D7">
              <w:rPr>
                <w:rFonts w:asciiTheme="minorHAnsi" w:hAnsiTheme="minorHAnsi" w:cstheme="minorHAnsi"/>
                <w:sz w:val="20"/>
                <w:szCs w:val="20"/>
              </w:rPr>
              <w:t>Operating working capital</w:t>
            </w:r>
          </w:p>
        </w:tc>
        <w:tc>
          <w:tcPr>
            <w:tcW w:w="1254" w:type="dxa"/>
            <w:tcBorders>
              <w:top w:val="single" w:sz="4" w:space="0" w:color="auto"/>
            </w:tcBorders>
            <w:vAlign w:val="bottom"/>
          </w:tcPr>
          <w:p w14:paraId="2A16A796"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2,747,837 </w:t>
            </w:r>
          </w:p>
        </w:tc>
        <w:tc>
          <w:tcPr>
            <w:tcW w:w="1254" w:type="dxa"/>
            <w:tcBorders>
              <w:top w:val="single" w:sz="4" w:space="0" w:color="auto"/>
            </w:tcBorders>
            <w:vAlign w:val="bottom"/>
          </w:tcPr>
          <w:p w14:paraId="4227E1F6"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(166,000)</w:t>
            </w:r>
          </w:p>
        </w:tc>
        <w:tc>
          <w:tcPr>
            <w:tcW w:w="1254" w:type="dxa"/>
            <w:tcBorders>
              <w:top w:val="single" w:sz="4" w:space="0" w:color="auto"/>
            </w:tcBorders>
            <w:vAlign w:val="bottom"/>
          </w:tcPr>
          <w:p w14:paraId="0F146440"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(2,700,000)</w:t>
            </w:r>
          </w:p>
        </w:tc>
        <w:tc>
          <w:tcPr>
            <w:tcW w:w="1254" w:type="dxa"/>
            <w:tcBorders>
              <w:top w:val="single" w:sz="4" w:space="0" w:color="auto"/>
            </w:tcBorders>
            <w:vAlign w:val="bottom"/>
          </w:tcPr>
          <w:p w14:paraId="1C56A27A" w14:textId="77777777" w:rsidR="00944B86" w:rsidRPr="00CD05D7" w:rsidRDefault="00944B86">
            <w:pPr>
              <w:jc w:val="right"/>
              <w:rPr>
                <w:rFonts w:asciiTheme="minorHAnsi" w:hAnsiTheme="minorHAnsi" w:cstheme="minorHAnsi"/>
                <w:sz w:val="20"/>
                <w:szCs w:val="20"/>
              </w:rPr>
            </w:pPr>
          </w:p>
        </w:tc>
        <w:tc>
          <w:tcPr>
            <w:tcW w:w="1255" w:type="dxa"/>
            <w:tcBorders>
              <w:top w:val="single" w:sz="4" w:space="0" w:color="auto"/>
            </w:tcBorders>
            <w:vAlign w:val="bottom"/>
          </w:tcPr>
          <w:p w14:paraId="42A3D0C7" w14:textId="77777777" w:rsidR="00944B86" w:rsidRPr="00CD05D7" w:rsidRDefault="00944B86">
            <w:pPr>
              <w:jc w:val="right"/>
              <w:rPr>
                <w:rFonts w:asciiTheme="minorHAnsi" w:hAnsiTheme="minorHAnsi" w:cstheme="minorHAnsi"/>
                <w:sz w:val="20"/>
                <w:szCs w:val="20"/>
              </w:rPr>
            </w:pPr>
          </w:p>
        </w:tc>
        <w:tc>
          <w:tcPr>
            <w:tcW w:w="1255" w:type="dxa"/>
            <w:tcBorders>
              <w:top w:val="single" w:sz="4" w:space="0" w:color="auto"/>
            </w:tcBorders>
            <w:vAlign w:val="bottom"/>
          </w:tcPr>
          <w:p w14:paraId="218D2D73"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(118,163)</w:t>
            </w:r>
          </w:p>
        </w:tc>
      </w:tr>
      <w:tr w:rsidR="00944B86" w:rsidRPr="00CD05D7" w14:paraId="3F172B77" w14:textId="77777777" w:rsidTr="00D4423A">
        <w:tc>
          <w:tcPr>
            <w:tcW w:w="1254" w:type="dxa"/>
            <w:vAlign w:val="bottom"/>
          </w:tcPr>
          <w:p w14:paraId="0C92CB01" w14:textId="77777777" w:rsidR="00944B86" w:rsidRPr="00CD05D7" w:rsidRDefault="00944B86">
            <w:pPr>
              <w:rPr>
                <w:rFonts w:asciiTheme="minorHAnsi" w:hAnsiTheme="minorHAnsi" w:cstheme="minorHAnsi"/>
                <w:sz w:val="20"/>
                <w:szCs w:val="20"/>
              </w:rPr>
            </w:pPr>
            <w:r w:rsidRPr="00CD05D7">
              <w:rPr>
                <w:rFonts w:asciiTheme="minorHAnsi" w:hAnsiTheme="minorHAnsi" w:cstheme="minorHAnsi"/>
                <w:sz w:val="20"/>
                <w:szCs w:val="20"/>
              </w:rPr>
              <w:t>Net non-current assets</w:t>
            </w:r>
          </w:p>
        </w:tc>
        <w:tc>
          <w:tcPr>
            <w:tcW w:w="1254" w:type="dxa"/>
            <w:vAlign w:val="bottom"/>
          </w:tcPr>
          <w:p w14:paraId="76829085"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3,111,200 </w:t>
            </w:r>
          </w:p>
        </w:tc>
        <w:tc>
          <w:tcPr>
            <w:tcW w:w="1254" w:type="dxa"/>
            <w:vAlign w:val="bottom"/>
          </w:tcPr>
          <w:p w14:paraId="09EF3023"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1,635,000 </w:t>
            </w:r>
          </w:p>
        </w:tc>
        <w:tc>
          <w:tcPr>
            <w:tcW w:w="1254" w:type="dxa"/>
            <w:vAlign w:val="bottom"/>
          </w:tcPr>
          <w:p w14:paraId="38165EE5"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2,700,000 </w:t>
            </w:r>
          </w:p>
        </w:tc>
        <w:tc>
          <w:tcPr>
            <w:tcW w:w="1254" w:type="dxa"/>
            <w:vAlign w:val="bottom"/>
          </w:tcPr>
          <w:p w14:paraId="4D43492A" w14:textId="77777777" w:rsidR="00944B86" w:rsidRPr="00CD05D7" w:rsidRDefault="00944B86">
            <w:pPr>
              <w:jc w:val="right"/>
              <w:rPr>
                <w:rFonts w:asciiTheme="minorHAnsi" w:hAnsiTheme="minorHAnsi" w:cstheme="minorHAnsi"/>
                <w:sz w:val="20"/>
                <w:szCs w:val="20"/>
              </w:rPr>
            </w:pPr>
          </w:p>
        </w:tc>
        <w:tc>
          <w:tcPr>
            <w:tcW w:w="1255" w:type="dxa"/>
            <w:vAlign w:val="bottom"/>
          </w:tcPr>
          <w:p w14:paraId="295A9F29"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(482,000)</w:t>
            </w:r>
          </w:p>
        </w:tc>
        <w:tc>
          <w:tcPr>
            <w:tcW w:w="1255" w:type="dxa"/>
            <w:vAlign w:val="bottom"/>
          </w:tcPr>
          <w:p w14:paraId="1498A5A3"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6,964,200 </w:t>
            </w:r>
          </w:p>
        </w:tc>
      </w:tr>
      <w:tr w:rsidR="00944B86" w:rsidRPr="00CD05D7" w14:paraId="1B84B3FE" w14:textId="77777777" w:rsidTr="00D4423A">
        <w:tc>
          <w:tcPr>
            <w:tcW w:w="1254" w:type="dxa"/>
            <w:vAlign w:val="bottom"/>
          </w:tcPr>
          <w:p w14:paraId="76EB587B" w14:textId="77777777" w:rsidR="00944B86" w:rsidRPr="00CD05D7" w:rsidRDefault="00944B86">
            <w:pPr>
              <w:rPr>
                <w:rFonts w:asciiTheme="minorHAnsi" w:hAnsiTheme="minorHAnsi" w:cstheme="minorHAnsi"/>
                <w:sz w:val="20"/>
                <w:szCs w:val="20"/>
              </w:rPr>
            </w:pPr>
            <w:r w:rsidRPr="00CD05D7">
              <w:rPr>
                <w:rFonts w:asciiTheme="minorHAnsi" w:hAnsiTheme="minorHAnsi" w:cstheme="minorHAnsi"/>
                <w:sz w:val="20"/>
                <w:szCs w:val="20"/>
              </w:rPr>
              <w:t>Net debt</w:t>
            </w:r>
          </w:p>
        </w:tc>
        <w:tc>
          <w:tcPr>
            <w:tcW w:w="1254" w:type="dxa"/>
            <w:vAlign w:val="bottom"/>
          </w:tcPr>
          <w:p w14:paraId="3DAE683C"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4,553,782 </w:t>
            </w:r>
          </w:p>
        </w:tc>
        <w:tc>
          <w:tcPr>
            <w:tcW w:w="1254" w:type="dxa"/>
            <w:vAlign w:val="bottom"/>
          </w:tcPr>
          <w:p w14:paraId="66E1A1E2"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1,469,000 </w:t>
            </w:r>
          </w:p>
        </w:tc>
        <w:tc>
          <w:tcPr>
            <w:tcW w:w="1254" w:type="dxa"/>
            <w:vAlign w:val="bottom"/>
          </w:tcPr>
          <w:p w14:paraId="790C3E01" w14:textId="77777777" w:rsidR="00944B86" w:rsidRPr="00CD05D7" w:rsidRDefault="00944B86">
            <w:pPr>
              <w:jc w:val="right"/>
              <w:rPr>
                <w:rFonts w:asciiTheme="minorHAnsi" w:hAnsiTheme="minorHAnsi" w:cstheme="minorHAnsi"/>
                <w:sz w:val="20"/>
                <w:szCs w:val="20"/>
              </w:rPr>
            </w:pPr>
          </w:p>
        </w:tc>
        <w:tc>
          <w:tcPr>
            <w:tcW w:w="1254" w:type="dxa"/>
            <w:vAlign w:val="bottom"/>
          </w:tcPr>
          <w:p w14:paraId="65B3A392"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190,000 </w:t>
            </w:r>
          </w:p>
        </w:tc>
        <w:tc>
          <w:tcPr>
            <w:tcW w:w="1255" w:type="dxa"/>
            <w:vAlign w:val="bottom"/>
          </w:tcPr>
          <w:p w14:paraId="379717F1"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(482,000)</w:t>
            </w:r>
          </w:p>
        </w:tc>
        <w:tc>
          <w:tcPr>
            <w:tcW w:w="1255" w:type="dxa"/>
            <w:vAlign w:val="bottom"/>
          </w:tcPr>
          <w:p w14:paraId="3A7E54B7"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5,730,782 </w:t>
            </w:r>
          </w:p>
        </w:tc>
      </w:tr>
      <w:tr w:rsidR="00944B86" w:rsidRPr="00CD05D7" w14:paraId="2FA1B265" w14:textId="77777777" w:rsidTr="00D4423A">
        <w:tc>
          <w:tcPr>
            <w:tcW w:w="1254" w:type="dxa"/>
            <w:vAlign w:val="bottom"/>
          </w:tcPr>
          <w:p w14:paraId="4CF9E400" w14:textId="77777777" w:rsidR="00944B86" w:rsidRPr="00CD05D7" w:rsidRDefault="00944B86">
            <w:pPr>
              <w:rPr>
                <w:rFonts w:asciiTheme="minorHAnsi" w:hAnsiTheme="minorHAnsi" w:cstheme="minorHAnsi"/>
                <w:sz w:val="20"/>
                <w:szCs w:val="20"/>
              </w:rPr>
            </w:pPr>
            <w:r w:rsidRPr="00CD05D7">
              <w:rPr>
                <w:rFonts w:asciiTheme="minorHAnsi" w:hAnsiTheme="minorHAnsi" w:cstheme="minorHAnsi"/>
                <w:sz w:val="20"/>
                <w:szCs w:val="20"/>
              </w:rPr>
              <w:t>Net assets</w:t>
            </w:r>
          </w:p>
        </w:tc>
        <w:tc>
          <w:tcPr>
            <w:tcW w:w="1254" w:type="dxa"/>
            <w:vAlign w:val="bottom"/>
          </w:tcPr>
          <w:p w14:paraId="29ACADD7"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5,859,037 </w:t>
            </w:r>
          </w:p>
        </w:tc>
        <w:tc>
          <w:tcPr>
            <w:tcW w:w="1254" w:type="dxa"/>
            <w:vAlign w:val="bottom"/>
          </w:tcPr>
          <w:p w14:paraId="6095E2C7" w14:textId="77777777" w:rsidR="00944B86" w:rsidRPr="00CD05D7" w:rsidRDefault="00944B86">
            <w:pPr>
              <w:jc w:val="right"/>
              <w:rPr>
                <w:rFonts w:asciiTheme="minorHAnsi" w:hAnsiTheme="minorHAnsi" w:cstheme="minorHAnsi"/>
                <w:sz w:val="20"/>
                <w:szCs w:val="20"/>
              </w:rPr>
            </w:pPr>
          </w:p>
        </w:tc>
        <w:tc>
          <w:tcPr>
            <w:tcW w:w="1254" w:type="dxa"/>
            <w:vAlign w:val="bottom"/>
          </w:tcPr>
          <w:p w14:paraId="7129C5AE" w14:textId="77777777" w:rsidR="00944B86" w:rsidRPr="00CD05D7" w:rsidRDefault="00944B86">
            <w:pPr>
              <w:jc w:val="right"/>
              <w:rPr>
                <w:rFonts w:asciiTheme="minorHAnsi" w:hAnsiTheme="minorHAnsi" w:cstheme="minorHAnsi"/>
                <w:sz w:val="20"/>
                <w:szCs w:val="20"/>
              </w:rPr>
            </w:pPr>
          </w:p>
        </w:tc>
        <w:tc>
          <w:tcPr>
            <w:tcW w:w="1254" w:type="dxa"/>
            <w:vAlign w:val="bottom"/>
          </w:tcPr>
          <w:p w14:paraId="6A9198CC" w14:textId="77777777" w:rsidR="00944B86" w:rsidRPr="00CD05D7" w:rsidRDefault="00944B86">
            <w:pPr>
              <w:jc w:val="right"/>
              <w:rPr>
                <w:rFonts w:asciiTheme="minorHAnsi" w:hAnsiTheme="minorHAnsi" w:cstheme="minorHAnsi"/>
                <w:sz w:val="20"/>
                <w:szCs w:val="20"/>
              </w:rPr>
            </w:pPr>
          </w:p>
        </w:tc>
        <w:tc>
          <w:tcPr>
            <w:tcW w:w="1255" w:type="dxa"/>
            <w:vAlign w:val="bottom"/>
          </w:tcPr>
          <w:p w14:paraId="6E9FBC39" w14:textId="77777777" w:rsidR="00944B86" w:rsidRPr="00CD05D7" w:rsidRDefault="00944B86">
            <w:pPr>
              <w:jc w:val="right"/>
              <w:rPr>
                <w:rFonts w:asciiTheme="minorHAnsi" w:hAnsiTheme="minorHAnsi" w:cstheme="minorHAnsi"/>
                <w:sz w:val="20"/>
                <w:szCs w:val="20"/>
              </w:rPr>
            </w:pPr>
          </w:p>
        </w:tc>
        <w:tc>
          <w:tcPr>
            <w:tcW w:w="1255" w:type="dxa"/>
            <w:vAlign w:val="bottom"/>
          </w:tcPr>
          <w:p w14:paraId="0104C90D"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 xml:space="preserve">5,859,037 </w:t>
            </w:r>
          </w:p>
        </w:tc>
      </w:tr>
      <w:tr w:rsidR="00944B86" w:rsidRPr="00CD05D7" w14:paraId="6D6CD108" w14:textId="77777777" w:rsidTr="00D4423A">
        <w:tc>
          <w:tcPr>
            <w:tcW w:w="1254" w:type="dxa"/>
            <w:vAlign w:val="bottom"/>
          </w:tcPr>
          <w:p w14:paraId="694588C8" w14:textId="77777777" w:rsidR="00944B86" w:rsidRPr="00CD05D7" w:rsidRDefault="00944B86">
            <w:pPr>
              <w:rPr>
                <w:rFonts w:asciiTheme="minorHAnsi" w:hAnsiTheme="minorHAnsi" w:cstheme="minorHAnsi"/>
                <w:sz w:val="20"/>
                <w:szCs w:val="20"/>
              </w:rPr>
            </w:pPr>
          </w:p>
        </w:tc>
        <w:tc>
          <w:tcPr>
            <w:tcW w:w="1254" w:type="dxa"/>
            <w:vAlign w:val="bottom"/>
          </w:tcPr>
          <w:p w14:paraId="2B9D5FEC" w14:textId="77777777" w:rsidR="00944B86" w:rsidRPr="00CD05D7" w:rsidRDefault="00944B86">
            <w:pPr>
              <w:rPr>
                <w:rFonts w:asciiTheme="minorHAnsi" w:hAnsiTheme="minorHAnsi" w:cstheme="minorHAnsi"/>
                <w:sz w:val="20"/>
                <w:szCs w:val="20"/>
              </w:rPr>
            </w:pPr>
          </w:p>
        </w:tc>
        <w:tc>
          <w:tcPr>
            <w:tcW w:w="1254" w:type="dxa"/>
            <w:vAlign w:val="bottom"/>
          </w:tcPr>
          <w:p w14:paraId="4F75BB3F" w14:textId="77777777" w:rsidR="00944B86" w:rsidRPr="00CD05D7" w:rsidRDefault="00944B86">
            <w:pPr>
              <w:rPr>
                <w:rFonts w:asciiTheme="minorHAnsi" w:hAnsiTheme="minorHAnsi" w:cstheme="minorHAnsi"/>
                <w:sz w:val="20"/>
                <w:szCs w:val="20"/>
              </w:rPr>
            </w:pPr>
          </w:p>
        </w:tc>
        <w:tc>
          <w:tcPr>
            <w:tcW w:w="1254" w:type="dxa"/>
            <w:vAlign w:val="bottom"/>
          </w:tcPr>
          <w:p w14:paraId="729D49E8" w14:textId="77777777" w:rsidR="00944B86" w:rsidRPr="00CD05D7" w:rsidRDefault="00944B86">
            <w:pPr>
              <w:rPr>
                <w:rFonts w:asciiTheme="minorHAnsi" w:hAnsiTheme="minorHAnsi" w:cstheme="minorHAnsi"/>
                <w:sz w:val="20"/>
                <w:szCs w:val="20"/>
              </w:rPr>
            </w:pPr>
          </w:p>
        </w:tc>
        <w:tc>
          <w:tcPr>
            <w:tcW w:w="1254" w:type="dxa"/>
            <w:vAlign w:val="bottom"/>
          </w:tcPr>
          <w:p w14:paraId="17294A50" w14:textId="77777777" w:rsidR="00944B86" w:rsidRPr="00CD05D7" w:rsidRDefault="00944B86">
            <w:pPr>
              <w:rPr>
                <w:rFonts w:asciiTheme="minorHAnsi" w:hAnsiTheme="minorHAnsi" w:cstheme="minorHAnsi"/>
                <w:sz w:val="20"/>
                <w:szCs w:val="20"/>
              </w:rPr>
            </w:pPr>
          </w:p>
        </w:tc>
        <w:tc>
          <w:tcPr>
            <w:tcW w:w="1255" w:type="dxa"/>
            <w:vAlign w:val="bottom"/>
          </w:tcPr>
          <w:p w14:paraId="26148A73" w14:textId="77777777" w:rsidR="00944B86" w:rsidRPr="00CD05D7" w:rsidRDefault="00944B86">
            <w:pPr>
              <w:rPr>
                <w:rFonts w:asciiTheme="minorHAnsi" w:hAnsiTheme="minorHAnsi" w:cstheme="minorHAnsi"/>
                <w:sz w:val="20"/>
                <w:szCs w:val="20"/>
              </w:rPr>
            </w:pPr>
          </w:p>
        </w:tc>
        <w:tc>
          <w:tcPr>
            <w:tcW w:w="1255" w:type="dxa"/>
            <w:vAlign w:val="bottom"/>
          </w:tcPr>
          <w:p w14:paraId="7D1017C5" w14:textId="77777777" w:rsidR="00944B86" w:rsidRPr="00CD05D7" w:rsidRDefault="00944B86">
            <w:pPr>
              <w:rPr>
                <w:rFonts w:asciiTheme="minorHAnsi" w:hAnsiTheme="minorHAnsi" w:cstheme="minorHAnsi"/>
                <w:sz w:val="20"/>
                <w:szCs w:val="20"/>
              </w:rPr>
            </w:pPr>
          </w:p>
        </w:tc>
      </w:tr>
      <w:tr w:rsidR="00944B86" w:rsidRPr="00CD05D7" w14:paraId="59798A22" w14:textId="77777777" w:rsidTr="00D4423A">
        <w:tc>
          <w:tcPr>
            <w:tcW w:w="1254" w:type="dxa"/>
            <w:vAlign w:val="bottom"/>
          </w:tcPr>
          <w:p w14:paraId="029C127A" w14:textId="77777777" w:rsidR="00944B86" w:rsidRPr="00CD05D7" w:rsidRDefault="00944B86">
            <w:pPr>
              <w:rPr>
                <w:rFonts w:asciiTheme="minorHAnsi" w:hAnsiTheme="minorHAnsi" w:cstheme="minorHAnsi"/>
                <w:sz w:val="20"/>
                <w:szCs w:val="20"/>
              </w:rPr>
            </w:pPr>
            <w:r w:rsidRPr="00CD05D7">
              <w:rPr>
                <w:rFonts w:asciiTheme="minorHAnsi" w:hAnsiTheme="minorHAnsi" w:cstheme="minorHAnsi"/>
                <w:sz w:val="20"/>
                <w:szCs w:val="20"/>
              </w:rPr>
              <w:t>Net debt to net capital</w:t>
            </w:r>
          </w:p>
        </w:tc>
        <w:tc>
          <w:tcPr>
            <w:tcW w:w="1254" w:type="dxa"/>
            <w:vAlign w:val="bottom"/>
          </w:tcPr>
          <w:p w14:paraId="387D7B75"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77.7%</w:t>
            </w:r>
          </w:p>
        </w:tc>
        <w:tc>
          <w:tcPr>
            <w:tcW w:w="1254" w:type="dxa"/>
            <w:vAlign w:val="bottom"/>
          </w:tcPr>
          <w:p w14:paraId="40F606A1" w14:textId="77777777" w:rsidR="00944B86" w:rsidRPr="00CD05D7" w:rsidRDefault="00944B86">
            <w:pPr>
              <w:rPr>
                <w:rFonts w:asciiTheme="minorHAnsi" w:hAnsiTheme="minorHAnsi" w:cstheme="minorHAnsi"/>
                <w:sz w:val="20"/>
                <w:szCs w:val="20"/>
              </w:rPr>
            </w:pPr>
          </w:p>
        </w:tc>
        <w:tc>
          <w:tcPr>
            <w:tcW w:w="1254" w:type="dxa"/>
            <w:vAlign w:val="bottom"/>
          </w:tcPr>
          <w:p w14:paraId="39693823" w14:textId="77777777" w:rsidR="00944B86" w:rsidRPr="00CD05D7" w:rsidRDefault="00944B86">
            <w:pPr>
              <w:rPr>
                <w:rFonts w:asciiTheme="minorHAnsi" w:hAnsiTheme="minorHAnsi" w:cstheme="minorHAnsi"/>
                <w:sz w:val="20"/>
                <w:szCs w:val="20"/>
              </w:rPr>
            </w:pPr>
          </w:p>
        </w:tc>
        <w:tc>
          <w:tcPr>
            <w:tcW w:w="1254" w:type="dxa"/>
            <w:vAlign w:val="bottom"/>
          </w:tcPr>
          <w:p w14:paraId="149B74E7" w14:textId="77777777" w:rsidR="00944B86" w:rsidRPr="00CD05D7" w:rsidRDefault="00944B86">
            <w:pPr>
              <w:rPr>
                <w:rFonts w:asciiTheme="minorHAnsi" w:hAnsiTheme="minorHAnsi" w:cstheme="minorHAnsi"/>
                <w:sz w:val="20"/>
                <w:szCs w:val="20"/>
              </w:rPr>
            </w:pPr>
          </w:p>
        </w:tc>
        <w:tc>
          <w:tcPr>
            <w:tcW w:w="1255" w:type="dxa"/>
            <w:vAlign w:val="bottom"/>
          </w:tcPr>
          <w:p w14:paraId="2AE081C2" w14:textId="77777777" w:rsidR="00944B86" w:rsidRPr="00CD05D7" w:rsidRDefault="00944B86">
            <w:pPr>
              <w:rPr>
                <w:rFonts w:asciiTheme="minorHAnsi" w:hAnsiTheme="minorHAnsi" w:cstheme="minorHAnsi"/>
                <w:sz w:val="20"/>
                <w:szCs w:val="20"/>
              </w:rPr>
            </w:pPr>
          </w:p>
        </w:tc>
        <w:tc>
          <w:tcPr>
            <w:tcW w:w="1255" w:type="dxa"/>
            <w:vAlign w:val="bottom"/>
          </w:tcPr>
          <w:p w14:paraId="01DEC007" w14:textId="77777777" w:rsidR="00944B86" w:rsidRPr="00CD05D7" w:rsidRDefault="00944B86">
            <w:pPr>
              <w:jc w:val="right"/>
              <w:rPr>
                <w:rFonts w:asciiTheme="minorHAnsi" w:hAnsiTheme="minorHAnsi" w:cstheme="minorHAnsi"/>
                <w:sz w:val="20"/>
                <w:szCs w:val="20"/>
              </w:rPr>
            </w:pPr>
            <w:r w:rsidRPr="00CD05D7">
              <w:rPr>
                <w:rFonts w:asciiTheme="minorHAnsi" w:hAnsiTheme="minorHAnsi" w:cstheme="minorHAnsi"/>
                <w:sz w:val="20"/>
                <w:szCs w:val="20"/>
              </w:rPr>
              <w:t>97.8%</w:t>
            </w:r>
          </w:p>
        </w:tc>
      </w:tr>
    </w:tbl>
    <w:p w14:paraId="26B52009" w14:textId="77777777" w:rsidR="00944B86" w:rsidRPr="00CD05D7" w:rsidRDefault="00944B86">
      <w:pPr>
        <w:rPr>
          <w:rFonts w:asciiTheme="minorHAnsi" w:hAnsiTheme="minorHAnsi" w:cstheme="minorHAnsi"/>
        </w:rPr>
      </w:pPr>
    </w:p>
    <w:sectPr w:rsidR="00944B86" w:rsidRPr="00CD05D7">
      <w:footerReference w:type="even"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214ADE" w14:textId="77777777" w:rsidR="0097755B" w:rsidRDefault="0097755B">
      <w:r>
        <w:separator/>
      </w:r>
    </w:p>
  </w:endnote>
  <w:endnote w:type="continuationSeparator" w:id="0">
    <w:p w14:paraId="05861A35" w14:textId="77777777" w:rsidR="0097755B" w:rsidRDefault="00977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9BFD3" w14:textId="77777777" w:rsidR="006F3600" w:rsidRDefault="006F3600" w:rsidP="00285EC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60C756" w14:textId="77777777" w:rsidR="006F3600" w:rsidRDefault="006F36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8046C5" w14:textId="77777777" w:rsidR="00F07D97" w:rsidRDefault="00F07D97" w:rsidP="00F07D97">
    <w:pPr>
      <w:pStyle w:val="Footer"/>
      <w:jc w:val="center"/>
      <w:rPr>
        <w:rFonts w:ascii="Calibri" w:hAnsi="Calibri" w:cs="Calibri"/>
        <w:b/>
        <w:bCs/>
        <w:color w:val="000000"/>
        <w:sz w:val="16"/>
        <w:szCs w:val="16"/>
        <w:lang w:val="en-GB"/>
      </w:rPr>
    </w:pPr>
    <w:r>
      <w:rPr>
        <w:rFonts w:ascii="Calibri" w:hAnsi="Calibri" w:cs="Calibri"/>
        <w:b/>
        <w:bCs/>
        <w:color w:val="000000"/>
        <w:sz w:val="16"/>
        <w:szCs w:val="16"/>
      </w:rPr>
      <w:t xml:space="preserve">To be used with </w:t>
    </w:r>
    <w:r>
      <w:rPr>
        <w:rFonts w:ascii="Calibri" w:hAnsi="Calibri" w:cs="Calibri"/>
        <w:b/>
        <w:bCs/>
        <w:i/>
        <w:iCs/>
        <w:color w:val="000000"/>
        <w:sz w:val="16"/>
        <w:szCs w:val="16"/>
      </w:rPr>
      <w:t xml:space="preserve">Business Analysis and Valuation, </w:t>
    </w:r>
    <w:r>
      <w:rPr>
        <w:rFonts w:ascii="Calibri" w:hAnsi="Calibri" w:cs="Calibri"/>
        <w:b/>
        <w:bCs/>
        <w:color w:val="000000"/>
        <w:sz w:val="16"/>
        <w:szCs w:val="16"/>
      </w:rPr>
      <w:t xml:space="preserve">5th </w:t>
    </w:r>
    <w:proofErr w:type="spellStart"/>
    <w:r>
      <w:rPr>
        <w:rFonts w:ascii="Calibri" w:hAnsi="Calibri" w:cs="Calibri"/>
        <w:b/>
        <w:bCs/>
        <w:color w:val="000000"/>
        <w:sz w:val="16"/>
        <w:szCs w:val="16"/>
      </w:rPr>
      <w:t>edn</w:t>
    </w:r>
    <w:proofErr w:type="spellEnd"/>
  </w:p>
  <w:p w14:paraId="3FF1A437" w14:textId="78EECAC2" w:rsidR="006F3600" w:rsidRPr="00F07D97" w:rsidRDefault="00F07D97" w:rsidP="00F07D97">
    <w:pPr>
      <w:pStyle w:val="Footer"/>
      <w:jc w:val="center"/>
      <w:rPr>
        <w:rFonts w:ascii="Calibri" w:hAnsi="Calibri" w:cs="Calibri"/>
        <w:color w:val="000000"/>
        <w:sz w:val="16"/>
        <w:szCs w:val="16"/>
      </w:rPr>
    </w:pPr>
    <w:r>
      <w:rPr>
        <w:rFonts w:ascii="Calibri" w:hAnsi="Calibri" w:cs="Calibri"/>
        <w:b/>
        <w:bCs/>
        <w:color w:val="000000"/>
        <w:sz w:val="16"/>
        <w:szCs w:val="16"/>
      </w:rPr>
      <w:t xml:space="preserve">ISBN </w:t>
    </w:r>
    <w:proofErr w:type="gramStart"/>
    <w:r>
      <w:rPr>
        <w:rFonts w:ascii="Calibri" w:hAnsi="Calibri" w:cs="Calibri"/>
        <w:b/>
        <w:bCs/>
        <w:color w:val="000000"/>
        <w:sz w:val="16"/>
        <w:szCs w:val="16"/>
      </w:rPr>
      <w:t>9781473758421  ©</w:t>
    </w:r>
    <w:proofErr w:type="gramEnd"/>
    <w:r>
      <w:rPr>
        <w:rFonts w:ascii="Calibri" w:hAnsi="Calibri" w:cs="Calibri"/>
        <w:b/>
        <w:bCs/>
        <w:color w:val="000000"/>
        <w:sz w:val="16"/>
        <w:szCs w:val="16"/>
      </w:rPr>
      <w:t xml:space="preserve"> Krishna G. Palepu, Paul M. Healy and Erik Peek,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AB00C" w14:textId="77777777" w:rsidR="0097755B" w:rsidRDefault="0097755B">
      <w:r>
        <w:separator/>
      </w:r>
    </w:p>
  </w:footnote>
  <w:footnote w:type="continuationSeparator" w:id="0">
    <w:p w14:paraId="476A6507" w14:textId="77777777" w:rsidR="0097755B" w:rsidRDefault="00977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971E8"/>
    <w:multiLevelType w:val="hybridMultilevel"/>
    <w:tmpl w:val="57C6CA2A"/>
    <w:lvl w:ilvl="0" w:tplc="BAB2F3FC">
      <w:start w:val="1"/>
      <w:numFmt w:val="decimal"/>
      <w:lvlText w:val="%1."/>
      <w:legacy w:legacy="1" w:legacySpace="0" w:legacyIndent="360"/>
      <w:lvlJc w:val="left"/>
      <w:pPr>
        <w:ind w:left="36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5897AF0"/>
    <w:multiLevelType w:val="hybridMultilevel"/>
    <w:tmpl w:val="8E944C18"/>
    <w:lvl w:ilvl="0" w:tplc="AB4C0EF6">
      <w:start w:val="1"/>
      <w:numFmt w:val="decimal"/>
      <w:lvlText w:val="%1."/>
      <w:lvlJc w:val="left"/>
      <w:pPr>
        <w:tabs>
          <w:tab w:val="num" w:pos="720"/>
        </w:tabs>
        <w:ind w:left="720" w:hanging="360"/>
      </w:pPr>
      <w:rPr>
        <w:rFonts w:hint="default"/>
        <w:i w:val="0"/>
      </w:rPr>
    </w:lvl>
    <w:lvl w:ilvl="1" w:tplc="CFB60604">
      <w:start w:val="1"/>
      <w:numFmt w:val="lowerLetter"/>
      <w:lvlText w:val="%2."/>
      <w:lvlJc w:val="left"/>
      <w:pPr>
        <w:tabs>
          <w:tab w:val="num" w:pos="1440"/>
        </w:tabs>
        <w:ind w:left="1440" w:hanging="360"/>
      </w:pPr>
      <w:rPr>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6F87E5F"/>
    <w:multiLevelType w:val="hybridMultilevel"/>
    <w:tmpl w:val="A0AE9BCC"/>
    <w:lvl w:ilvl="0" w:tplc="F5544A8E">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7BB2330"/>
    <w:multiLevelType w:val="hybridMultilevel"/>
    <w:tmpl w:val="6D2A79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61BE"/>
    <w:rsid w:val="00041722"/>
    <w:rsid w:val="00066366"/>
    <w:rsid w:val="00066F51"/>
    <w:rsid w:val="000A1E3A"/>
    <w:rsid w:val="0010300E"/>
    <w:rsid w:val="001643DD"/>
    <w:rsid w:val="002529B8"/>
    <w:rsid w:val="00255FAC"/>
    <w:rsid w:val="00260B72"/>
    <w:rsid w:val="0027798A"/>
    <w:rsid w:val="00285EC8"/>
    <w:rsid w:val="002B5D0A"/>
    <w:rsid w:val="002E5203"/>
    <w:rsid w:val="002E68D1"/>
    <w:rsid w:val="00367F59"/>
    <w:rsid w:val="003D48FE"/>
    <w:rsid w:val="003F786E"/>
    <w:rsid w:val="00475928"/>
    <w:rsid w:val="00496C4E"/>
    <w:rsid w:val="004E10E5"/>
    <w:rsid w:val="004E17CB"/>
    <w:rsid w:val="004E1CC3"/>
    <w:rsid w:val="006112D3"/>
    <w:rsid w:val="006570F5"/>
    <w:rsid w:val="0067426A"/>
    <w:rsid w:val="006B58B5"/>
    <w:rsid w:val="006C172F"/>
    <w:rsid w:val="006F3600"/>
    <w:rsid w:val="00714DCF"/>
    <w:rsid w:val="007A44A9"/>
    <w:rsid w:val="007B5047"/>
    <w:rsid w:val="00803BC7"/>
    <w:rsid w:val="00803FF1"/>
    <w:rsid w:val="0083331A"/>
    <w:rsid w:val="00834199"/>
    <w:rsid w:val="00853660"/>
    <w:rsid w:val="008649ED"/>
    <w:rsid w:val="008A6429"/>
    <w:rsid w:val="008D26C5"/>
    <w:rsid w:val="009052D6"/>
    <w:rsid w:val="00916D9E"/>
    <w:rsid w:val="00944B86"/>
    <w:rsid w:val="009461BE"/>
    <w:rsid w:val="0097755B"/>
    <w:rsid w:val="009E2915"/>
    <w:rsid w:val="00A74040"/>
    <w:rsid w:val="00B05A7F"/>
    <w:rsid w:val="00B0745E"/>
    <w:rsid w:val="00B12CE9"/>
    <w:rsid w:val="00BA1882"/>
    <w:rsid w:val="00BD706D"/>
    <w:rsid w:val="00C92430"/>
    <w:rsid w:val="00CA402D"/>
    <w:rsid w:val="00CD05D7"/>
    <w:rsid w:val="00CE0F04"/>
    <w:rsid w:val="00D11D38"/>
    <w:rsid w:val="00D2254C"/>
    <w:rsid w:val="00D4423A"/>
    <w:rsid w:val="00D543F3"/>
    <w:rsid w:val="00D97360"/>
    <w:rsid w:val="00DA26F0"/>
    <w:rsid w:val="00DA4B7B"/>
    <w:rsid w:val="00DC0495"/>
    <w:rsid w:val="00DC6705"/>
    <w:rsid w:val="00DF46EA"/>
    <w:rsid w:val="00E05F88"/>
    <w:rsid w:val="00E22CF8"/>
    <w:rsid w:val="00E662A4"/>
    <w:rsid w:val="00E81924"/>
    <w:rsid w:val="00EC48DB"/>
    <w:rsid w:val="00EC6677"/>
    <w:rsid w:val="00ED1147"/>
    <w:rsid w:val="00EF1B94"/>
    <w:rsid w:val="00F01015"/>
    <w:rsid w:val="00F07D97"/>
    <w:rsid w:val="00F116AB"/>
    <w:rsid w:val="00F55722"/>
    <w:rsid w:val="00F802B0"/>
    <w:rsid w:val="00FA3B79"/>
    <w:rsid w:val="00FE21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1026"/>
    <o:shapelayout v:ext="edit">
      <o:idmap v:ext="edit" data="1"/>
    </o:shapelayout>
  </w:shapeDefaults>
  <w:decimalSymbol w:val="."/>
  <w:listSeparator w:val=","/>
  <w14:docId w14:val="3646EE01"/>
  <w15:docId w15:val="{542EE754-0E8B-4D3C-A791-FB8DF964A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2CE9"/>
    <w:rPr>
      <w:sz w:val="24"/>
      <w:szCs w:val="24"/>
      <w:lang w:val="en-US" w:eastAsia="en-US"/>
    </w:rPr>
  </w:style>
  <w:style w:type="paragraph" w:styleId="Heading1">
    <w:name w:val="heading 1"/>
    <w:basedOn w:val="Normal"/>
    <w:next w:val="Normal"/>
    <w:qFormat/>
    <w:rsid w:val="00B12CE9"/>
    <w:pPr>
      <w:keepNext/>
      <w:outlineLvl w:val="0"/>
    </w:pPr>
    <w:rPr>
      <w:b/>
      <w:bCs/>
    </w:rPr>
  </w:style>
  <w:style w:type="paragraph" w:styleId="Heading2">
    <w:name w:val="heading 2"/>
    <w:basedOn w:val="Normal"/>
    <w:next w:val="Normal"/>
    <w:qFormat/>
    <w:rsid w:val="00B12CE9"/>
    <w:pPr>
      <w:keepNext/>
      <w:outlineLvl w:val="1"/>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12CE9"/>
    <w:pPr>
      <w:jc w:val="center"/>
    </w:pPr>
    <w:rPr>
      <w:b/>
      <w:bCs/>
    </w:rPr>
  </w:style>
  <w:style w:type="paragraph" w:styleId="Subtitle">
    <w:name w:val="Subtitle"/>
    <w:basedOn w:val="Normal"/>
    <w:qFormat/>
    <w:rsid w:val="00B12CE9"/>
    <w:pPr>
      <w:jc w:val="center"/>
    </w:pPr>
    <w:rPr>
      <w:b/>
      <w:bCs/>
    </w:rPr>
  </w:style>
  <w:style w:type="paragraph" w:styleId="Footer">
    <w:name w:val="footer"/>
    <w:basedOn w:val="Normal"/>
    <w:link w:val="FooterChar"/>
    <w:uiPriority w:val="99"/>
    <w:rsid w:val="00285EC8"/>
    <w:pPr>
      <w:tabs>
        <w:tab w:val="center" w:pos="4536"/>
        <w:tab w:val="right" w:pos="9072"/>
      </w:tabs>
    </w:pPr>
  </w:style>
  <w:style w:type="character" w:styleId="PageNumber">
    <w:name w:val="page number"/>
    <w:basedOn w:val="DefaultParagraphFont"/>
    <w:rsid w:val="00285EC8"/>
  </w:style>
  <w:style w:type="table" w:styleId="TableGrid">
    <w:name w:val="Table Grid"/>
    <w:basedOn w:val="TableNormal"/>
    <w:rsid w:val="00367F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C92430"/>
    <w:pPr>
      <w:tabs>
        <w:tab w:val="center" w:pos="4513"/>
        <w:tab w:val="right" w:pos="9026"/>
      </w:tabs>
    </w:pPr>
  </w:style>
  <w:style w:type="character" w:customStyle="1" w:styleId="HeaderChar">
    <w:name w:val="Header Char"/>
    <w:basedOn w:val="DefaultParagraphFont"/>
    <w:link w:val="Header"/>
    <w:rsid w:val="00C92430"/>
    <w:rPr>
      <w:sz w:val="24"/>
      <w:szCs w:val="24"/>
      <w:lang w:val="en-US" w:eastAsia="en-US"/>
    </w:rPr>
  </w:style>
  <w:style w:type="character" w:customStyle="1" w:styleId="FooterChar">
    <w:name w:val="Footer Char"/>
    <w:basedOn w:val="DefaultParagraphFont"/>
    <w:link w:val="Footer"/>
    <w:uiPriority w:val="99"/>
    <w:qFormat/>
    <w:rsid w:val="00C92430"/>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00295">
      <w:bodyDiv w:val="1"/>
      <w:marLeft w:val="0"/>
      <w:marRight w:val="0"/>
      <w:marTop w:val="0"/>
      <w:marBottom w:val="0"/>
      <w:divBdr>
        <w:top w:val="none" w:sz="0" w:space="0" w:color="auto"/>
        <w:left w:val="none" w:sz="0" w:space="0" w:color="auto"/>
        <w:bottom w:val="none" w:sz="0" w:space="0" w:color="auto"/>
        <w:right w:val="none" w:sz="0" w:space="0" w:color="auto"/>
      </w:divBdr>
    </w:div>
    <w:div w:id="95099409">
      <w:bodyDiv w:val="1"/>
      <w:marLeft w:val="0"/>
      <w:marRight w:val="0"/>
      <w:marTop w:val="0"/>
      <w:marBottom w:val="0"/>
      <w:divBdr>
        <w:top w:val="none" w:sz="0" w:space="0" w:color="auto"/>
        <w:left w:val="none" w:sz="0" w:space="0" w:color="auto"/>
        <w:bottom w:val="none" w:sz="0" w:space="0" w:color="auto"/>
        <w:right w:val="none" w:sz="0" w:space="0" w:color="auto"/>
      </w:divBdr>
    </w:div>
    <w:div w:id="379399279">
      <w:bodyDiv w:val="1"/>
      <w:marLeft w:val="0"/>
      <w:marRight w:val="0"/>
      <w:marTop w:val="0"/>
      <w:marBottom w:val="0"/>
      <w:divBdr>
        <w:top w:val="none" w:sz="0" w:space="0" w:color="auto"/>
        <w:left w:val="none" w:sz="0" w:space="0" w:color="auto"/>
        <w:bottom w:val="none" w:sz="0" w:space="0" w:color="auto"/>
        <w:right w:val="none" w:sz="0" w:space="0" w:color="auto"/>
      </w:divBdr>
    </w:div>
    <w:div w:id="683047204">
      <w:bodyDiv w:val="1"/>
      <w:marLeft w:val="0"/>
      <w:marRight w:val="0"/>
      <w:marTop w:val="0"/>
      <w:marBottom w:val="0"/>
      <w:divBdr>
        <w:top w:val="none" w:sz="0" w:space="0" w:color="auto"/>
        <w:left w:val="none" w:sz="0" w:space="0" w:color="auto"/>
        <w:bottom w:val="none" w:sz="0" w:space="0" w:color="auto"/>
        <w:right w:val="none" w:sz="0" w:space="0" w:color="auto"/>
      </w:divBdr>
    </w:div>
    <w:div w:id="827789628">
      <w:bodyDiv w:val="1"/>
      <w:marLeft w:val="0"/>
      <w:marRight w:val="0"/>
      <w:marTop w:val="0"/>
      <w:marBottom w:val="0"/>
      <w:divBdr>
        <w:top w:val="none" w:sz="0" w:space="0" w:color="auto"/>
        <w:left w:val="none" w:sz="0" w:space="0" w:color="auto"/>
        <w:bottom w:val="none" w:sz="0" w:space="0" w:color="auto"/>
        <w:right w:val="none" w:sz="0" w:space="0" w:color="auto"/>
      </w:divBdr>
    </w:div>
    <w:div w:id="929001788">
      <w:bodyDiv w:val="1"/>
      <w:marLeft w:val="0"/>
      <w:marRight w:val="0"/>
      <w:marTop w:val="0"/>
      <w:marBottom w:val="0"/>
      <w:divBdr>
        <w:top w:val="none" w:sz="0" w:space="0" w:color="auto"/>
        <w:left w:val="none" w:sz="0" w:space="0" w:color="auto"/>
        <w:bottom w:val="none" w:sz="0" w:space="0" w:color="auto"/>
        <w:right w:val="none" w:sz="0" w:space="0" w:color="auto"/>
      </w:divBdr>
    </w:div>
    <w:div w:id="136702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3830</Words>
  <Characters>21290</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UM</Company>
  <LinksUpToDate>false</LinksUpToDate>
  <CharactersWithSpaces>25070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E.Peek</dc:creator>
  <cp:lastModifiedBy>Lebreton, Marie</cp:lastModifiedBy>
  <cp:revision>5</cp:revision>
  <cp:lastPrinted>2007-03-13T19:49:00Z</cp:lastPrinted>
  <dcterms:created xsi:type="dcterms:W3CDTF">2016-04-06T20:21:00Z</dcterms:created>
  <dcterms:modified xsi:type="dcterms:W3CDTF">2019-07-29T09:18:00Z</dcterms:modified>
</cp:coreProperties>
</file>