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13B4" w:rsidRPr="00FB366D" w:rsidRDefault="006213B4" w:rsidP="006213B4">
      <w:pPr>
        <w:pStyle w:val="Title"/>
        <w:spacing w:line="360" w:lineRule="auto"/>
      </w:pPr>
      <w:r w:rsidRPr="00FB366D">
        <w:fldChar w:fldCharType="begin"/>
      </w:r>
      <w:r w:rsidRPr="00FB366D">
        <w:instrText xml:space="preserve"> SEQ CHAPTER \h \r 1</w:instrText>
      </w:r>
      <w:r w:rsidRPr="00FB366D">
        <w:fldChar w:fldCharType="end"/>
      </w:r>
      <w:r w:rsidRPr="00FB366D">
        <w:t xml:space="preserve">Chapter 2 </w:t>
      </w:r>
    </w:p>
    <w:p w:rsidR="006213B4" w:rsidRDefault="006213B4" w:rsidP="006213B4">
      <w:pPr>
        <w:tabs>
          <w:tab w:val="left" w:pos="-432"/>
          <w:tab w:val="left" w:pos="706"/>
          <w:tab w:val="left" w:pos="1180"/>
          <w:tab w:val="left" w:pos="1654"/>
          <w:tab w:val="left" w:pos="2128"/>
          <w:tab w:val="left" w:pos="2602"/>
        </w:tabs>
        <w:spacing w:line="360" w:lineRule="auto"/>
        <w:rPr>
          <w:rFonts w:ascii="Verdana" w:hAnsi="Verdana"/>
          <w:sz w:val="20"/>
        </w:rPr>
      </w:pPr>
    </w:p>
    <w:p w:rsidR="006213B4" w:rsidRPr="008A2B6E" w:rsidRDefault="006213B4" w:rsidP="006213B4">
      <w:pPr>
        <w:tabs>
          <w:tab w:val="left" w:pos="-432"/>
          <w:tab w:val="left" w:pos="706"/>
          <w:tab w:val="left" w:pos="1180"/>
          <w:tab w:val="left" w:pos="1654"/>
          <w:tab w:val="left" w:pos="2128"/>
          <w:tab w:val="left" w:pos="2602"/>
        </w:tabs>
        <w:spacing w:line="360" w:lineRule="auto"/>
        <w:rPr>
          <w:rFonts w:ascii="Verdana" w:hAnsi="Verdana"/>
          <w:sz w:val="20"/>
        </w:rPr>
      </w:pPr>
    </w:p>
    <w:p w:rsidR="006213B4" w:rsidRPr="00FB366D" w:rsidRDefault="006213B4" w:rsidP="006213B4">
      <w:pPr>
        <w:tabs>
          <w:tab w:val="left" w:pos="-432"/>
          <w:tab w:val="left" w:pos="706"/>
          <w:tab w:val="left" w:pos="1180"/>
          <w:tab w:val="left" w:pos="1654"/>
          <w:tab w:val="left" w:pos="2128"/>
          <w:tab w:val="left" w:pos="2602"/>
        </w:tabs>
        <w:spacing w:line="360" w:lineRule="auto"/>
        <w:rPr>
          <w:rFonts w:ascii="Verdana" w:hAnsi="Verdana"/>
          <w:b/>
          <w:sz w:val="32"/>
        </w:rPr>
      </w:pPr>
      <w:r w:rsidRPr="00FB366D">
        <w:rPr>
          <w:rFonts w:ascii="Verdana" w:hAnsi="Verdana"/>
          <w:b/>
          <w:sz w:val="32"/>
        </w:rPr>
        <w:t>Auditors</w:t>
      </w:r>
      <w:r>
        <w:rPr>
          <w:rFonts w:ascii="Verdana" w:hAnsi="Verdana"/>
          <w:b/>
          <w:sz w:val="32"/>
        </w:rPr>
        <w:t>’</w:t>
      </w:r>
      <w:r w:rsidRPr="00FB366D">
        <w:rPr>
          <w:rFonts w:ascii="Verdana" w:hAnsi="Verdana"/>
          <w:b/>
          <w:sz w:val="32"/>
        </w:rPr>
        <w:t xml:space="preserve"> Legal Environment</w:t>
      </w:r>
    </w:p>
    <w:p w:rsidR="006213B4" w:rsidRPr="008A2B6E" w:rsidRDefault="006213B4" w:rsidP="006213B4">
      <w:pPr>
        <w:tabs>
          <w:tab w:val="left" w:pos="-432"/>
          <w:tab w:val="left" w:pos="706"/>
          <w:tab w:val="left" w:pos="1180"/>
          <w:tab w:val="left" w:pos="1654"/>
          <w:tab w:val="left" w:pos="2128"/>
          <w:tab w:val="left" w:pos="2602"/>
        </w:tabs>
        <w:spacing w:line="360" w:lineRule="auto"/>
        <w:rPr>
          <w:rFonts w:ascii="Verdana" w:hAnsi="Verdana"/>
          <w:sz w:val="20"/>
        </w:rPr>
      </w:pPr>
    </w:p>
    <w:p w:rsidR="006213B4" w:rsidRPr="008A2B6E" w:rsidRDefault="006213B4" w:rsidP="006213B4">
      <w:pPr>
        <w:tabs>
          <w:tab w:val="left" w:pos="-432"/>
          <w:tab w:val="left" w:pos="706"/>
          <w:tab w:val="left" w:pos="1180"/>
          <w:tab w:val="left" w:pos="1654"/>
          <w:tab w:val="left" w:pos="2128"/>
          <w:tab w:val="left" w:pos="2602"/>
        </w:tabs>
        <w:spacing w:line="360" w:lineRule="auto"/>
        <w:rPr>
          <w:rFonts w:ascii="Verdana" w:hAnsi="Verdana"/>
          <w:sz w:val="20"/>
        </w:rPr>
      </w:pPr>
    </w:p>
    <w:p w:rsidR="006213B4" w:rsidRPr="0064278C" w:rsidRDefault="006213B4" w:rsidP="006213B4">
      <w:pPr>
        <w:tabs>
          <w:tab w:val="left" w:pos="-432"/>
          <w:tab w:val="left" w:pos="706"/>
          <w:tab w:val="left" w:pos="1180"/>
          <w:tab w:val="left" w:pos="1654"/>
          <w:tab w:val="left" w:pos="2128"/>
          <w:tab w:val="left" w:pos="2602"/>
        </w:tabs>
        <w:spacing w:line="360" w:lineRule="auto"/>
        <w:rPr>
          <w:rFonts w:ascii="Verdana" w:hAnsi="Verdana"/>
          <w:b/>
          <w:i/>
          <w:sz w:val="32"/>
        </w:rPr>
      </w:pPr>
      <w:r w:rsidRPr="0064278C">
        <w:rPr>
          <w:rFonts w:ascii="Verdana" w:hAnsi="Verdana"/>
          <w:b/>
          <w:i/>
          <w:sz w:val="28"/>
        </w:rPr>
        <w:t>Review Questions</w:t>
      </w:r>
    </w:p>
    <w:p w:rsidR="006213B4" w:rsidRPr="008A2B6E" w:rsidRDefault="006213B4" w:rsidP="006213B4">
      <w:pPr>
        <w:tabs>
          <w:tab w:val="left" w:pos="-432"/>
          <w:tab w:val="left" w:pos="706"/>
          <w:tab w:val="left" w:pos="1180"/>
          <w:tab w:val="left" w:pos="1654"/>
          <w:tab w:val="left" w:pos="2128"/>
          <w:tab w:val="left" w:pos="2602"/>
        </w:tabs>
        <w:spacing w:line="360" w:lineRule="auto"/>
        <w:rPr>
          <w:rFonts w:ascii="Verdana" w:hAnsi="Verdana"/>
          <w:sz w:val="20"/>
        </w:rPr>
      </w:pPr>
    </w:p>
    <w:p w:rsidR="006213B4" w:rsidRPr="002E4E7D" w:rsidRDefault="006213B4" w:rsidP="006213B4">
      <w:pPr>
        <w:pStyle w:val="CommentText"/>
        <w:spacing w:line="360" w:lineRule="auto"/>
        <w:jc w:val="both"/>
      </w:pPr>
      <w:r w:rsidRPr="00FB366D">
        <w:rPr>
          <w:rFonts w:ascii="Verdana" w:hAnsi="Verdana"/>
          <w:b/>
        </w:rPr>
        <w:t>2-1</w:t>
      </w:r>
      <w:r w:rsidRPr="00FB366D">
        <w:rPr>
          <w:rFonts w:ascii="Verdana" w:hAnsi="Verdana"/>
        </w:rPr>
        <w:tab/>
        <w:t xml:space="preserve">Important changes include: </w:t>
      </w:r>
      <w:r w:rsidRPr="00FB366D">
        <w:rPr>
          <w:rFonts w:ascii="Verdana" w:hAnsi="Verdana"/>
          <w:lang w:val="en-US"/>
        </w:rPr>
        <w:t xml:space="preserve">the U.S. </w:t>
      </w:r>
      <w:r w:rsidRPr="00FB366D">
        <w:rPr>
          <w:rFonts w:ascii="Verdana" w:hAnsi="Verdana"/>
          <w:i/>
          <w:iCs/>
          <w:lang w:val="en-US"/>
        </w:rPr>
        <w:t>Sarbanes–Oxley Act</w:t>
      </w:r>
      <w:r w:rsidRPr="00FB366D">
        <w:rPr>
          <w:rFonts w:ascii="Verdana" w:hAnsi="Verdana"/>
          <w:lang w:val="en-US"/>
        </w:rPr>
        <w:t xml:space="preserve"> </w:t>
      </w:r>
      <w:r w:rsidRPr="00FB366D">
        <w:rPr>
          <w:rFonts w:ascii="Verdana" w:hAnsi="Verdana"/>
          <w:i/>
          <w:iCs/>
          <w:lang w:val="en-US"/>
        </w:rPr>
        <w:t>2002</w:t>
      </w:r>
      <w:r w:rsidRPr="00FB366D">
        <w:rPr>
          <w:rFonts w:ascii="Verdana" w:hAnsi="Verdana"/>
          <w:lang w:val="en-US"/>
        </w:rPr>
        <w:t xml:space="preserve">, which </w:t>
      </w:r>
      <w:r>
        <w:rPr>
          <w:rFonts w:ascii="Verdana" w:hAnsi="Verdana"/>
          <w:lang w:val="en-US"/>
        </w:rPr>
        <w:t>applies</w:t>
      </w:r>
      <w:r w:rsidRPr="00FB366D">
        <w:rPr>
          <w:rFonts w:ascii="Verdana" w:hAnsi="Verdana"/>
          <w:lang w:val="en-US"/>
        </w:rPr>
        <w:t xml:space="preserve"> to all companies (and their subsidiaries) registered with the Securities and Exchange Commission (a requirement for listing </w:t>
      </w:r>
      <w:r>
        <w:rPr>
          <w:rFonts w:ascii="Verdana" w:hAnsi="Verdana"/>
          <w:lang w:val="en-US"/>
        </w:rPr>
        <w:t xml:space="preserve">securities </w:t>
      </w:r>
      <w:r w:rsidRPr="00FB366D">
        <w:rPr>
          <w:rFonts w:ascii="Verdana" w:hAnsi="Verdana"/>
          <w:lang w:val="en-US"/>
        </w:rPr>
        <w:t>on a US exchange</w:t>
      </w:r>
      <w:r>
        <w:rPr>
          <w:rFonts w:ascii="Verdana" w:hAnsi="Verdana"/>
          <w:lang w:val="en-US"/>
        </w:rPr>
        <w:t>: e.g.</w:t>
      </w:r>
      <w:r w:rsidRPr="0085786F">
        <w:rPr>
          <w:rFonts w:ascii="Verdana" w:hAnsi="Verdana"/>
        </w:rPr>
        <w:t xml:space="preserve"> BHP Billiton</w:t>
      </w:r>
      <w:r>
        <w:rPr>
          <w:rFonts w:ascii="Verdana" w:hAnsi="Verdana"/>
        </w:rPr>
        <w:t>,</w:t>
      </w:r>
      <w:r w:rsidRPr="0085786F">
        <w:rPr>
          <w:rFonts w:ascii="Verdana" w:hAnsi="Verdana"/>
        </w:rPr>
        <w:t xml:space="preserve"> which is registered on the US Stock Exchange and needs to comply with </w:t>
      </w:r>
      <w:r w:rsidRPr="003C7475">
        <w:rPr>
          <w:rFonts w:ascii="Verdana" w:hAnsi="Verdana"/>
          <w:i/>
        </w:rPr>
        <w:t>Sarbanes-Oxley</w:t>
      </w:r>
      <w:r w:rsidRPr="00FB366D">
        <w:rPr>
          <w:rFonts w:ascii="Verdana" w:hAnsi="Verdana"/>
          <w:lang w:val="en-US"/>
        </w:rPr>
        <w:t xml:space="preserve">); </w:t>
      </w:r>
      <w:r w:rsidRPr="00D30F73">
        <w:rPr>
          <w:rFonts w:ascii="Verdana" w:hAnsi="Verdana"/>
          <w:lang w:val="en-US"/>
        </w:rPr>
        <w:t xml:space="preserve">The </w:t>
      </w:r>
      <w:r w:rsidRPr="00D30F73">
        <w:rPr>
          <w:rFonts w:ascii="Verdana" w:hAnsi="Verdana" w:cs="PlantinInfantMTStd-Italic"/>
          <w:i/>
          <w:iCs/>
          <w:szCs w:val="18"/>
          <w:lang w:val="en-US"/>
        </w:rPr>
        <w:t xml:space="preserve">Corporate Law Economic Reform Program </w:t>
      </w:r>
      <w:r w:rsidRPr="00D30F73">
        <w:rPr>
          <w:rFonts w:ascii="Verdana" w:hAnsi="Verdana" w:cs="PlantinInfantMTStd-Italic"/>
          <w:iCs/>
          <w:szCs w:val="18"/>
          <w:lang w:val="en-US"/>
        </w:rPr>
        <w:t>(</w:t>
      </w:r>
      <w:r w:rsidRPr="00D30F73">
        <w:rPr>
          <w:rFonts w:ascii="Verdana" w:hAnsi="Verdana"/>
        </w:rPr>
        <w:t xml:space="preserve">CLERP 9) </w:t>
      </w:r>
      <w:r w:rsidRPr="00FB366D">
        <w:rPr>
          <w:rFonts w:ascii="Verdana" w:hAnsi="Verdana"/>
        </w:rPr>
        <w:t xml:space="preserve">changes to the </w:t>
      </w:r>
      <w:r w:rsidRPr="00FB366D">
        <w:rPr>
          <w:rFonts w:ascii="Verdana" w:hAnsi="Verdana"/>
          <w:i/>
        </w:rPr>
        <w:t>Corporations Act 2001</w:t>
      </w:r>
      <w:r w:rsidRPr="00FB366D">
        <w:rPr>
          <w:rFonts w:ascii="Verdana" w:hAnsi="Verdana"/>
        </w:rPr>
        <w:t xml:space="preserve">; the establishment of </w:t>
      </w:r>
      <w:r>
        <w:rPr>
          <w:rFonts w:ascii="Verdana" w:hAnsi="Verdana"/>
          <w:lang w:val="en-US"/>
        </w:rPr>
        <w:t>Auditing S</w:t>
      </w:r>
      <w:r w:rsidRPr="00FB366D">
        <w:rPr>
          <w:rFonts w:ascii="Verdana" w:hAnsi="Verdana"/>
          <w:lang w:val="en-US"/>
        </w:rPr>
        <w:t xml:space="preserve">tandards issued by the AUASB (under the FRC) as </w:t>
      </w:r>
      <w:r>
        <w:rPr>
          <w:rFonts w:ascii="Verdana" w:hAnsi="Verdana"/>
          <w:lang w:val="en-US"/>
        </w:rPr>
        <w:t>legislative instruments in 2003;</w:t>
      </w:r>
      <w:r w:rsidRPr="00FB366D">
        <w:rPr>
          <w:rFonts w:ascii="Verdana" w:hAnsi="Verdana"/>
          <w:lang w:val="en-US"/>
        </w:rPr>
        <w:t xml:space="preserve"> limits to liability introduced with authorised audit companies and liability caps with passage of the </w:t>
      </w:r>
      <w:r w:rsidRPr="00FB366D">
        <w:rPr>
          <w:rFonts w:ascii="Verdana" w:hAnsi="Verdana"/>
          <w:i/>
          <w:iCs/>
          <w:lang w:val="en-US"/>
        </w:rPr>
        <w:t>Treasury Legislation Amendment (Professional Standards) Act</w:t>
      </w:r>
      <w:r w:rsidRPr="00FB366D">
        <w:rPr>
          <w:rFonts w:ascii="Verdana" w:hAnsi="Verdana"/>
          <w:lang w:val="en-US"/>
        </w:rPr>
        <w:t xml:space="preserve"> </w:t>
      </w:r>
      <w:r w:rsidRPr="00FB366D">
        <w:rPr>
          <w:rFonts w:ascii="Verdana" w:hAnsi="Verdana"/>
          <w:i/>
          <w:iCs/>
          <w:lang w:val="en-US"/>
        </w:rPr>
        <w:t>2004</w:t>
      </w:r>
      <w:r>
        <w:rPr>
          <w:rFonts w:ascii="Verdana" w:hAnsi="Verdana"/>
          <w:lang w:val="en-US"/>
        </w:rPr>
        <w:t>.</w:t>
      </w:r>
      <w:r w:rsidRPr="00FB366D">
        <w:rPr>
          <w:rFonts w:ascii="Verdana" w:hAnsi="Verdana"/>
          <w:lang w:val="en-US"/>
        </w:rPr>
        <w:t xml:space="preserve"> Also in 2004, the </w:t>
      </w:r>
      <w:r w:rsidRPr="00FB366D">
        <w:rPr>
          <w:rFonts w:ascii="Verdana" w:hAnsi="Verdana"/>
          <w:i/>
          <w:iCs/>
          <w:lang w:val="en-US"/>
        </w:rPr>
        <w:t>ASIC Act</w:t>
      </w:r>
      <w:r w:rsidRPr="00FB366D">
        <w:rPr>
          <w:rFonts w:ascii="Verdana" w:hAnsi="Verdana"/>
          <w:lang w:val="en-US"/>
        </w:rPr>
        <w:t xml:space="preserve"> and </w:t>
      </w:r>
      <w:r w:rsidRPr="00FB366D">
        <w:rPr>
          <w:rFonts w:ascii="Verdana" w:hAnsi="Verdana"/>
          <w:i/>
          <w:iCs/>
          <w:lang w:val="en-US"/>
        </w:rPr>
        <w:t>Corporations Act</w:t>
      </w:r>
      <w:r w:rsidRPr="00FB366D">
        <w:rPr>
          <w:rFonts w:ascii="Verdana" w:hAnsi="Verdana"/>
          <w:lang w:val="en-US"/>
        </w:rPr>
        <w:t xml:space="preserve"> were amended to ensure that proportionate liability applies to claims for damages for economic loss arising from misleading or deceptive conduct (also reflected in the </w:t>
      </w:r>
      <w:r w:rsidRPr="00FB366D">
        <w:rPr>
          <w:rFonts w:ascii="Verdana" w:hAnsi="Verdana"/>
          <w:i/>
          <w:lang w:val="en-US"/>
        </w:rPr>
        <w:t>Competition and Consumer Act 2010</w:t>
      </w:r>
      <w:r w:rsidRPr="00FB366D">
        <w:rPr>
          <w:rFonts w:ascii="Verdana" w:hAnsi="Verdana"/>
          <w:lang w:val="en-US"/>
        </w:rPr>
        <w:t>).</w:t>
      </w:r>
      <w:r>
        <w:rPr>
          <w:rFonts w:ascii="Verdana" w:hAnsi="Verdana"/>
          <w:lang w:val="en-US"/>
        </w:rPr>
        <w:t xml:space="preserve"> Students m</w:t>
      </w:r>
      <w:r w:rsidRPr="00FB366D">
        <w:rPr>
          <w:rFonts w:ascii="Verdana" w:hAnsi="Verdana"/>
          <w:lang w:val="en-US"/>
        </w:rPr>
        <w:t>ight also discuss ASIC</w:t>
      </w:r>
      <w:r>
        <w:rPr>
          <w:rFonts w:ascii="Verdana" w:hAnsi="Verdana"/>
          <w:lang w:val="en-US"/>
        </w:rPr>
        <w:t>’s</w:t>
      </w:r>
      <w:r w:rsidRPr="00FB366D">
        <w:rPr>
          <w:rFonts w:ascii="Verdana" w:hAnsi="Verdana"/>
          <w:lang w:val="en-US"/>
        </w:rPr>
        <w:t xml:space="preserve"> Auditor Surveillance program.</w:t>
      </w:r>
      <w:r>
        <w:rPr>
          <w:rFonts w:ascii="Verdana" w:hAnsi="Verdana"/>
          <w:lang w:val="en-US"/>
        </w:rPr>
        <w:t xml:space="preserve"> </w:t>
      </w:r>
      <w:r w:rsidRPr="002E4E7D">
        <w:rPr>
          <w:rFonts w:ascii="Verdana" w:hAnsi="Verdana"/>
          <w:lang w:val="en-US"/>
        </w:rPr>
        <w:t>CLERP 9 also provided for the Auditing Standards to become legally enforceable for financial reporting periods commencing 1 July 2006.</w:t>
      </w:r>
    </w:p>
    <w:p w:rsidR="006213B4" w:rsidRPr="002E4E7D" w:rsidRDefault="006213B4" w:rsidP="006213B4">
      <w:pPr>
        <w:tabs>
          <w:tab w:val="left" w:pos="-432"/>
          <w:tab w:val="left" w:pos="706"/>
        </w:tabs>
        <w:spacing w:line="360" w:lineRule="auto"/>
        <w:ind w:right="17"/>
        <w:jc w:val="both"/>
        <w:rPr>
          <w:rFonts w:ascii="Verdana" w:hAnsi="Verdana"/>
          <w:sz w:val="20"/>
        </w:rPr>
      </w:pPr>
    </w:p>
    <w:p w:rsidR="006213B4" w:rsidRPr="00FB366D" w:rsidRDefault="006213B4" w:rsidP="006213B4">
      <w:pPr>
        <w:tabs>
          <w:tab w:val="left" w:pos="-6237"/>
          <w:tab w:val="left" w:pos="-5529"/>
          <w:tab w:val="left" w:pos="-4536"/>
          <w:tab w:val="left" w:pos="-432"/>
        </w:tabs>
        <w:spacing w:line="360" w:lineRule="auto"/>
        <w:ind w:right="17"/>
        <w:jc w:val="both"/>
        <w:rPr>
          <w:rFonts w:ascii="Verdana" w:hAnsi="Verdana"/>
          <w:sz w:val="20"/>
        </w:rPr>
      </w:pPr>
      <w:r w:rsidRPr="00FB366D">
        <w:rPr>
          <w:rFonts w:ascii="Verdana" w:hAnsi="Verdana"/>
          <w:b/>
          <w:sz w:val="20"/>
        </w:rPr>
        <w:t>2-2</w:t>
      </w:r>
      <w:r>
        <w:rPr>
          <w:rFonts w:ascii="Verdana" w:hAnsi="Verdana"/>
          <w:sz w:val="20"/>
        </w:rPr>
        <w:tab/>
        <w:t xml:space="preserve">The main Commonwealth statutes are the </w:t>
      </w:r>
      <w:r w:rsidRPr="00FB366D">
        <w:rPr>
          <w:rFonts w:ascii="Verdana" w:hAnsi="Verdana"/>
          <w:i/>
          <w:sz w:val="20"/>
        </w:rPr>
        <w:t>Corporations Act 2001</w:t>
      </w:r>
      <w:r>
        <w:rPr>
          <w:rFonts w:ascii="Verdana" w:hAnsi="Verdana"/>
          <w:i/>
          <w:sz w:val="20"/>
        </w:rPr>
        <w:t xml:space="preserve"> </w:t>
      </w:r>
      <w:r w:rsidRPr="003C7475">
        <w:rPr>
          <w:rFonts w:ascii="Verdana" w:hAnsi="Verdana"/>
          <w:sz w:val="20"/>
        </w:rPr>
        <w:t xml:space="preserve">and the </w:t>
      </w:r>
      <w:r w:rsidRPr="00FB366D">
        <w:rPr>
          <w:rFonts w:ascii="Verdana" w:hAnsi="Verdana"/>
          <w:i/>
          <w:sz w:val="20"/>
          <w:lang w:val="en-US"/>
        </w:rPr>
        <w:t>Competition and Consumer Act 2010</w:t>
      </w:r>
      <w:r w:rsidRPr="00FB366D">
        <w:rPr>
          <w:rFonts w:ascii="Verdana" w:hAnsi="Verdana"/>
          <w:sz w:val="20"/>
          <w:lang w:val="en-US"/>
        </w:rPr>
        <w:t>.</w:t>
      </w:r>
      <w:r>
        <w:rPr>
          <w:rFonts w:ascii="Verdana" w:hAnsi="Verdana"/>
          <w:sz w:val="20"/>
          <w:lang w:val="en-US"/>
        </w:rPr>
        <w:t xml:space="preserve"> </w:t>
      </w:r>
      <w:r w:rsidRPr="00FB366D">
        <w:rPr>
          <w:rFonts w:ascii="Verdana" w:hAnsi="Verdana"/>
          <w:sz w:val="20"/>
        </w:rPr>
        <w:t xml:space="preserve">Students might also mention the </w:t>
      </w:r>
      <w:r w:rsidRPr="00FB366D">
        <w:rPr>
          <w:rFonts w:ascii="Verdana" w:hAnsi="Verdana"/>
          <w:i/>
          <w:sz w:val="20"/>
        </w:rPr>
        <w:t>Crimes Act 1914</w:t>
      </w:r>
      <w:r>
        <w:rPr>
          <w:rFonts w:ascii="Verdana" w:hAnsi="Verdana"/>
          <w:sz w:val="20"/>
        </w:rPr>
        <w:t xml:space="preserve"> (or S</w:t>
      </w:r>
      <w:r w:rsidRPr="00FB366D">
        <w:rPr>
          <w:rFonts w:ascii="Verdana" w:hAnsi="Verdana"/>
          <w:sz w:val="20"/>
        </w:rPr>
        <w:t>tate criminal codes)</w:t>
      </w:r>
      <w:r>
        <w:rPr>
          <w:rFonts w:ascii="Verdana" w:hAnsi="Verdana"/>
          <w:sz w:val="20"/>
        </w:rPr>
        <w:t>,</w:t>
      </w:r>
      <w:r w:rsidRPr="00FB366D">
        <w:rPr>
          <w:rFonts w:ascii="Verdana" w:hAnsi="Verdana"/>
          <w:sz w:val="20"/>
        </w:rPr>
        <w:t xml:space="preserve"> but these are much less directly relevant to auditors.</w:t>
      </w:r>
    </w:p>
    <w:p w:rsidR="006213B4" w:rsidRPr="00FB366D" w:rsidRDefault="006213B4" w:rsidP="006213B4">
      <w:pPr>
        <w:pStyle w:val="BodyText2"/>
        <w:widowControl/>
        <w:tabs>
          <w:tab w:val="clear" w:pos="440"/>
          <w:tab w:val="clear" w:pos="720"/>
          <w:tab w:val="clear" w:pos="1440"/>
          <w:tab w:val="clear" w:pos="2160"/>
          <w:tab w:val="clear" w:pos="2880"/>
          <w:tab w:val="clear" w:pos="3600"/>
          <w:tab w:val="clear" w:pos="4320"/>
          <w:tab w:val="clear" w:pos="5040"/>
          <w:tab w:val="clear" w:pos="5760"/>
          <w:tab w:val="clear" w:pos="6480"/>
          <w:tab w:val="clear" w:pos="7200"/>
          <w:tab w:val="left" w:pos="-2552"/>
          <w:tab w:val="left" w:pos="-432"/>
        </w:tabs>
        <w:spacing w:line="360" w:lineRule="auto"/>
        <w:rPr>
          <w:rFonts w:ascii="Verdana" w:hAnsi="Verdana"/>
          <w:sz w:val="20"/>
        </w:rPr>
      </w:pPr>
    </w:p>
    <w:p w:rsidR="006213B4" w:rsidRPr="00FB366D" w:rsidRDefault="006213B4" w:rsidP="006213B4">
      <w:pPr>
        <w:tabs>
          <w:tab w:val="left" w:pos="-7230"/>
          <w:tab w:val="left" w:pos="-2552"/>
          <w:tab w:val="left" w:pos="-432"/>
        </w:tabs>
        <w:spacing w:line="360" w:lineRule="auto"/>
        <w:jc w:val="both"/>
        <w:rPr>
          <w:rFonts w:ascii="Verdana" w:hAnsi="Verdana"/>
          <w:sz w:val="20"/>
        </w:rPr>
      </w:pPr>
      <w:r w:rsidRPr="00FB366D">
        <w:rPr>
          <w:rFonts w:ascii="Verdana" w:hAnsi="Verdana"/>
          <w:b/>
          <w:sz w:val="20"/>
        </w:rPr>
        <w:t>2-3</w:t>
      </w:r>
      <w:r>
        <w:rPr>
          <w:rFonts w:ascii="Verdana" w:hAnsi="Verdana"/>
          <w:sz w:val="20"/>
        </w:rPr>
        <w:tab/>
      </w:r>
      <w:r w:rsidRPr="00FB366D">
        <w:rPr>
          <w:rFonts w:ascii="Verdana" w:hAnsi="Verdana"/>
          <w:sz w:val="20"/>
        </w:rPr>
        <w:t xml:space="preserve">ASIC can initiate prosecutions of auditors or refer them to the Companies Auditors and Liquidators Disciplinary Board (CALDB) for action. The CALDB can levy </w:t>
      </w:r>
      <w:r w:rsidRPr="00FB366D">
        <w:rPr>
          <w:rFonts w:ascii="Verdana" w:hAnsi="Verdana"/>
          <w:sz w:val="20"/>
        </w:rPr>
        <w:lastRenderedPageBreak/>
        <w:t>sanctions ranging from fines to suspension or cancellation of an auditor</w:t>
      </w:r>
      <w:r>
        <w:rPr>
          <w:rFonts w:ascii="Verdana" w:hAnsi="Verdana"/>
          <w:sz w:val="20"/>
        </w:rPr>
        <w:t>’</w:t>
      </w:r>
      <w:r w:rsidRPr="00FB366D">
        <w:rPr>
          <w:rFonts w:ascii="Verdana" w:hAnsi="Verdana"/>
          <w:sz w:val="20"/>
        </w:rPr>
        <w:t xml:space="preserve">s registration. </w:t>
      </w:r>
      <w:r>
        <w:rPr>
          <w:rFonts w:ascii="Verdana" w:hAnsi="Verdana"/>
          <w:sz w:val="20"/>
          <w:lang w:val="en-US"/>
        </w:rPr>
        <w:t>Students m</w:t>
      </w:r>
      <w:r w:rsidRPr="00FB366D">
        <w:rPr>
          <w:rFonts w:ascii="Verdana" w:hAnsi="Verdana"/>
          <w:sz w:val="20"/>
          <w:lang w:val="en-US"/>
        </w:rPr>
        <w:t>ight also discuss ASIC</w:t>
      </w:r>
      <w:r>
        <w:rPr>
          <w:rFonts w:ascii="Verdana" w:hAnsi="Verdana"/>
          <w:sz w:val="20"/>
          <w:lang w:val="en-US"/>
        </w:rPr>
        <w:t>’s</w:t>
      </w:r>
      <w:r w:rsidRPr="00FB366D">
        <w:rPr>
          <w:rFonts w:ascii="Verdana" w:hAnsi="Verdana"/>
          <w:sz w:val="20"/>
          <w:lang w:val="en-US"/>
        </w:rPr>
        <w:t xml:space="preserve"> Auditor Surveillance program.</w:t>
      </w:r>
    </w:p>
    <w:p w:rsidR="006213B4" w:rsidRPr="00FB366D" w:rsidRDefault="006213B4" w:rsidP="006213B4">
      <w:pPr>
        <w:tabs>
          <w:tab w:val="left" w:pos="-6379"/>
          <w:tab w:val="left" w:pos="-4395"/>
          <w:tab w:val="left" w:pos="-4253"/>
          <w:tab w:val="left" w:pos="-432"/>
        </w:tabs>
        <w:spacing w:line="360" w:lineRule="auto"/>
        <w:ind w:right="17"/>
        <w:jc w:val="both"/>
        <w:rPr>
          <w:rFonts w:ascii="Verdana" w:hAnsi="Verdana"/>
          <w:b/>
          <w:sz w:val="20"/>
        </w:rPr>
      </w:pPr>
    </w:p>
    <w:p w:rsidR="006213B4" w:rsidRPr="00FB366D" w:rsidRDefault="006213B4" w:rsidP="006213B4">
      <w:pPr>
        <w:spacing w:line="360" w:lineRule="auto"/>
        <w:ind w:right="18"/>
        <w:jc w:val="both"/>
        <w:rPr>
          <w:rFonts w:ascii="Verdana" w:hAnsi="Verdana"/>
          <w:i/>
          <w:sz w:val="20"/>
        </w:rPr>
      </w:pPr>
      <w:r w:rsidRPr="00FB366D">
        <w:rPr>
          <w:rFonts w:ascii="Verdana" w:hAnsi="Verdana"/>
          <w:b/>
          <w:sz w:val="20"/>
        </w:rPr>
        <w:t>2-</w:t>
      </w:r>
      <w:r>
        <w:rPr>
          <w:rFonts w:ascii="Verdana" w:hAnsi="Verdana"/>
          <w:b/>
          <w:sz w:val="20"/>
        </w:rPr>
        <w:t>4</w:t>
      </w:r>
      <w:r w:rsidRPr="00FB366D">
        <w:rPr>
          <w:rFonts w:ascii="Verdana" w:hAnsi="Verdana"/>
          <w:sz w:val="20"/>
        </w:rPr>
        <w:tab/>
        <w:t xml:space="preserve">Proportionate liability means </w:t>
      </w:r>
      <w:r>
        <w:rPr>
          <w:rFonts w:ascii="Verdana" w:hAnsi="Verdana"/>
          <w:sz w:val="20"/>
        </w:rPr>
        <w:t xml:space="preserve">that </w:t>
      </w:r>
      <w:r w:rsidRPr="00FB366D">
        <w:rPr>
          <w:rFonts w:ascii="Verdana" w:hAnsi="Verdana"/>
          <w:sz w:val="20"/>
        </w:rPr>
        <w:t xml:space="preserve">the various parties whose negligence contributed to a loss are liable for an appropriate share of the damages. This means auditors should not carry the full burden for losses resulting from a misstatement when other parties contributed </w:t>
      </w:r>
      <w:r>
        <w:rPr>
          <w:rFonts w:ascii="Verdana" w:hAnsi="Verdana"/>
          <w:sz w:val="20"/>
        </w:rPr>
        <w:t xml:space="preserve">to </w:t>
      </w:r>
      <w:r w:rsidRPr="00FB366D">
        <w:rPr>
          <w:rFonts w:ascii="Verdana" w:hAnsi="Verdana"/>
          <w:sz w:val="20"/>
        </w:rPr>
        <w:t>the level of losses incurred by failing to take adequate preca</w:t>
      </w:r>
      <w:r>
        <w:rPr>
          <w:rFonts w:ascii="Verdana" w:hAnsi="Verdana"/>
          <w:sz w:val="20"/>
        </w:rPr>
        <w:t>utions. This was introduced by S</w:t>
      </w:r>
      <w:r w:rsidRPr="00FB366D">
        <w:rPr>
          <w:rFonts w:ascii="Verdana" w:hAnsi="Verdana"/>
          <w:sz w:val="20"/>
        </w:rPr>
        <w:t>tate legislation because there was a common perception that the courts were placing insufficient</w:t>
      </w:r>
      <w:r>
        <w:rPr>
          <w:rFonts w:ascii="Verdana" w:hAnsi="Verdana"/>
          <w:sz w:val="20"/>
        </w:rPr>
        <w:t xml:space="preserve"> weight on the reasonableness of</w:t>
      </w:r>
      <w:r w:rsidRPr="00FB366D">
        <w:rPr>
          <w:rFonts w:ascii="Verdana" w:hAnsi="Verdana"/>
          <w:sz w:val="20"/>
        </w:rPr>
        <w:t xml:space="preserve"> taking precautions to prevent or reduce the risks.</w:t>
      </w:r>
    </w:p>
    <w:p w:rsidR="006213B4" w:rsidRPr="00FB366D" w:rsidRDefault="006213B4" w:rsidP="006213B4">
      <w:pPr>
        <w:pStyle w:val="BodyText"/>
        <w:widowControl/>
        <w:tabs>
          <w:tab w:val="clear" w:pos="720"/>
          <w:tab w:val="clear" w:pos="1440"/>
          <w:tab w:val="clear" w:pos="2160"/>
          <w:tab w:val="clear" w:pos="2880"/>
          <w:tab w:val="clear" w:pos="3600"/>
          <w:tab w:val="clear" w:pos="4320"/>
          <w:tab w:val="clear" w:pos="5040"/>
          <w:tab w:val="clear" w:pos="5760"/>
          <w:tab w:val="clear" w:pos="6480"/>
          <w:tab w:val="clear" w:pos="7200"/>
        </w:tabs>
        <w:spacing w:before="0" w:line="360" w:lineRule="auto"/>
        <w:rPr>
          <w:rFonts w:ascii="Verdana" w:hAnsi="Verdana"/>
          <w:sz w:val="20"/>
        </w:rPr>
      </w:pPr>
    </w:p>
    <w:p w:rsidR="006213B4" w:rsidRPr="00FB366D" w:rsidRDefault="006213B4" w:rsidP="006213B4">
      <w:pPr>
        <w:tabs>
          <w:tab w:val="left" w:pos="-4395"/>
          <w:tab w:val="left" w:pos="-432"/>
        </w:tabs>
        <w:spacing w:line="360" w:lineRule="auto"/>
        <w:ind w:right="17"/>
        <w:jc w:val="both"/>
        <w:rPr>
          <w:rFonts w:ascii="Verdana" w:hAnsi="Verdana"/>
          <w:sz w:val="20"/>
        </w:rPr>
      </w:pPr>
      <w:r>
        <w:rPr>
          <w:rFonts w:ascii="Verdana" w:hAnsi="Verdana"/>
          <w:b/>
          <w:sz w:val="20"/>
        </w:rPr>
        <w:t>2-5</w:t>
      </w:r>
      <w:r>
        <w:rPr>
          <w:rFonts w:ascii="Verdana" w:hAnsi="Verdana"/>
          <w:sz w:val="20"/>
        </w:rPr>
        <w:tab/>
      </w:r>
      <w:r w:rsidRPr="00FB366D">
        <w:rPr>
          <w:rFonts w:ascii="Verdana" w:hAnsi="Verdana"/>
          <w:sz w:val="20"/>
        </w:rPr>
        <w:t>Vicarious liability means a person (or entity) is liable for the acts of a subordinate, agent or employee. This means an audit partner or firm (or AAC) can be liable for</w:t>
      </w:r>
      <w:r w:rsidRPr="00FB366D">
        <w:rPr>
          <w:rFonts w:ascii="Verdana" w:hAnsi="Verdana"/>
          <w:sz w:val="20"/>
          <w:lang w:val="en-US"/>
        </w:rPr>
        <w:t xml:space="preserve"> acts or omission by a person who is member, employee or agent of the firm. This requires the person to have acted within the actual or apparent scope of his or her authority or employment.</w:t>
      </w:r>
      <w:r>
        <w:rPr>
          <w:rFonts w:ascii="Verdana" w:hAnsi="Verdana"/>
          <w:sz w:val="20"/>
          <w:lang w:val="en-US"/>
        </w:rPr>
        <w:t xml:space="preserve"> (Also see question 2-8.)</w:t>
      </w:r>
    </w:p>
    <w:p w:rsidR="006213B4" w:rsidRDefault="006213B4" w:rsidP="006213B4">
      <w:pPr>
        <w:tabs>
          <w:tab w:val="left" w:pos="-4395"/>
          <w:tab w:val="left" w:pos="-432"/>
        </w:tabs>
        <w:spacing w:line="360" w:lineRule="auto"/>
        <w:ind w:right="17"/>
        <w:jc w:val="both"/>
        <w:rPr>
          <w:rFonts w:ascii="Verdana" w:hAnsi="Verdana"/>
          <w:b/>
          <w:sz w:val="20"/>
        </w:rPr>
      </w:pPr>
    </w:p>
    <w:p w:rsidR="006213B4" w:rsidRPr="00FB366D" w:rsidRDefault="006213B4" w:rsidP="006213B4">
      <w:pPr>
        <w:tabs>
          <w:tab w:val="left" w:pos="-4395"/>
          <w:tab w:val="left" w:pos="-432"/>
        </w:tabs>
        <w:spacing w:line="360" w:lineRule="auto"/>
        <w:ind w:right="17"/>
        <w:jc w:val="both"/>
        <w:rPr>
          <w:rFonts w:ascii="Verdana" w:hAnsi="Verdana"/>
          <w:sz w:val="20"/>
        </w:rPr>
      </w:pPr>
      <w:r w:rsidRPr="00FB366D">
        <w:rPr>
          <w:rFonts w:ascii="Verdana" w:hAnsi="Verdana"/>
          <w:b/>
          <w:sz w:val="20"/>
        </w:rPr>
        <w:t>2-</w:t>
      </w:r>
      <w:r>
        <w:rPr>
          <w:rFonts w:ascii="Verdana" w:hAnsi="Verdana"/>
          <w:b/>
          <w:sz w:val="20"/>
        </w:rPr>
        <w:t>6</w:t>
      </w:r>
      <w:r>
        <w:rPr>
          <w:rFonts w:ascii="Verdana" w:hAnsi="Verdana"/>
          <w:sz w:val="20"/>
        </w:rPr>
        <w:tab/>
      </w:r>
      <w:r w:rsidRPr="00FB366D">
        <w:rPr>
          <w:rFonts w:ascii="Verdana" w:hAnsi="Verdana"/>
          <w:sz w:val="20"/>
        </w:rPr>
        <w:t>The reasonable person concept states that a person is responsible for conducting a job in good faith and with integrity, but is not infallible. Therefore, the auditor is expected to conduct an audit using due care, but does not claim to be a guarantor or insurer of financial statements.</w:t>
      </w:r>
    </w:p>
    <w:p w:rsidR="006213B4" w:rsidRPr="00FB366D" w:rsidRDefault="006213B4" w:rsidP="006213B4">
      <w:pPr>
        <w:tabs>
          <w:tab w:val="left" w:pos="-4395"/>
          <w:tab w:val="left" w:pos="-432"/>
        </w:tabs>
        <w:spacing w:line="360" w:lineRule="auto"/>
        <w:ind w:right="17"/>
        <w:jc w:val="both"/>
        <w:rPr>
          <w:rFonts w:ascii="Verdana" w:hAnsi="Verdana"/>
          <w:sz w:val="20"/>
        </w:rPr>
      </w:pPr>
    </w:p>
    <w:p w:rsidR="006213B4" w:rsidRPr="00FB366D" w:rsidRDefault="006213B4" w:rsidP="006213B4">
      <w:pPr>
        <w:tabs>
          <w:tab w:val="left" w:pos="-4395"/>
          <w:tab w:val="left" w:pos="540"/>
          <w:tab w:val="left" w:pos="1440"/>
          <w:tab w:val="left" w:pos="2160"/>
          <w:tab w:val="left" w:pos="2880"/>
          <w:tab w:val="left" w:pos="3600"/>
          <w:tab w:val="left" w:pos="4320"/>
          <w:tab w:val="left" w:pos="5040"/>
          <w:tab w:val="left" w:pos="5760"/>
          <w:tab w:val="left" w:pos="6480"/>
          <w:tab w:val="left" w:pos="7200"/>
        </w:tabs>
        <w:spacing w:line="360" w:lineRule="auto"/>
        <w:ind w:right="17"/>
        <w:jc w:val="both"/>
        <w:rPr>
          <w:rFonts w:ascii="Verdana" w:hAnsi="Verdana"/>
          <w:sz w:val="20"/>
        </w:rPr>
      </w:pPr>
      <w:r w:rsidRPr="00FB366D">
        <w:rPr>
          <w:rFonts w:ascii="Verdana" w:hAnsi="Verdana"/>
          <w:b/>
          <w:sz w:val="20"/>
        </w:rPr>
        <w:t>2-</w:t>
      </w:r>
      <w:r>
        <w:rPr>
          <w:rFonts w:ascii="Verdana" w:hAnsi="Verdana"/>
          <w:b/>
          <w:sz w:val="20"/>
        </w:rPr>
        <w:t>7</w:t>
      </w:r>
      <w:r>
        <w:rPr>
          <w:rFonts w:ascii="Verdana" w:hAnsi="Verdana"/>
          <w:sz w:val="20"/>
        </w:rPr>
        <w:tab/>
      </w:r>
      <w:r w:rsidRPr="00FB366D">
        <w:rPr>
          <w:rFonts w:ascii="Verdana" w:hAnsi="Verdana"/>
          <w:sz w:val="20"/>
        </w:rPr>
        <w:t>Groups for whose work a public accounting firm partner</w:t>
      </w:r>
      <w:r>
        <w:rPr>
          <w:rFonts w:ascii="Verdana" w:hAnsi="Verdana"/>
          <w:sz w:val="20"/>
        </w:rPr>
        <w:t xml:space="preserve"> may be held liable include his or </w:t>
      </w:r>
      <w:r w:rsidRPr="00FB366D">
        <w:rPr>
          <w:rFonts w:ascii="Verdana" w:hAnsi="Verdana"/>
          <w:sz w:val="20"/>
        </w:rPr>
        <w:t xml:space="preserve">her partners, employees, other public accounting firms engaged to do part of the work, and outside specialists contracted to provide technical expertise. </w:t>
      </w:r>
      <w:r w:rsidRPr="00FB366D">
        <w:rPr>
          <w:rFonts w:ascii="Verdana" w:hAnsi="Verdana"/>
          <w:sz w:val="20"/>
          <w:lang w:val="en-US"/>
        </w:rPr>
        <w:t>(Also see question 2-6</w:t>
      </w:r>
      <w:r>
        <w:rPr>
          <w:rFonts w:ascii="Verdana" w:hAnsi="Verdana"/>
          <w:sz w:val="20"/>
          <w:lang w:val="en-US"/>
        </w:rPr>
        <w:t>.)</w:t>
      </w:r>
    </w:p>
    <w:p w:rsidR="006213B4" w:rsidRPr="00FB366D" w:rsidRDefault="006213B4" w:rsidP="006213B4">
      <w:pPr>
        <w:tabs>
          <w:tab w:val="left" w:pos="-4395"/>
          <w:tab w:val="left" w:pos="-432"/>
        </w:tabs>
        <w:spacing w:line="360" w:lineRule="auto"/>
        <w:ind w:right="17"/>
        <w:jc w:val="both"/>
        <w:rPr>
          <w:rFonts w:ascii="Verdana" w:hAnsi="Verdana"/>
          <w:sz w:val="20"/>
        </w:rPr>
      </w:pPr>
    </w:p>
    <w:p w:rsidR="006213B4" w:rsidRPr="00FB366D" w:rsidRDefault="006213B4" w:rsidP="006213B4">
      <w:pPr>
        <w:tabs>
          <w:tab w:val="left" w:pos="-5670"/>
        </w:tabs>
        <w:spacing w:line="360" w:lineRule="auto"/>
        <w:ind w:right="18"/>
        <w:jc w:val="both"/>
        <w:rPr>
          <w:rFonts w:ascii="Verdana" w:hAnsi="Verdana"/>
          <w:sz w:val="20"/>
        </w:rPr>
      </w:pPr>
      <w:r w:rsidRPr="00FB366D">
        <w:rPr>
          <w:rFonts w:ascii="Verdana" w:hAnsi="Verdana"/>
          <w:b/>
          <w:sz w:val="20"/>
        </w:rPr>
        <w:t>2-</w:t>
      </w:r>
      <w:r>
        <w:rPr>
          <w:rFonts w:ascii="Verdana" w:hAnsi="Verdana"/>
          <w:b/>
          <w:sz w:val="20"/>
        </w:rPr>
        <w:t>8</w:t>
      </w:r>
      <w:r>
        <w:rPr>
          <w:rFonts w:ascii="Verdana" w:hAnsi="Verdana"/>
          <w:sz w:val="20"/>
        </w:rPr>
        <w:tab/>
      </w:r>
      <w:r w:rsidRPr="00FB366D">
        <w:rPr>
          <w:rFonts w:ascii="Verdana" w:hAnsi="Verdana"/>
          <w:sz w:val="20"/>
        </w:rPr>
        <w:t>Contributory negligence means another person (usually the plaintiff) has contributed to his or her own loss by failing to take sufficient reasonable care. An example is the claim by the auditor that management knew of the potential for fraud because of weaknesses</w:t>
      </w:r>
      <w:r w:rsidRPr="00FB366D">
        <w:rPr>
          <w:rFonts w:ascii="Verdana" w:hAnsi="Verdana"/>
          <w:b/>
          <w:sz w:val="20"/>
        </w:rPr>
        <w:t xml:space="preserve"> </w:t>
      </w:r>
      <w:r w:rsidRPr="00FB366D">
        <w:rPr>
          <w:rFonts w:ascii="Verdana" w:hAnsi="Verdana"/>
          <w:sz w:val="20"/>
        </w:rPr>
        <w:t xml:space="preserve">of internal control but refused to correct them. The auditor thereby claims that the client contributed to the losses caused by the fraud by not correcting material weaknesses of internal control structure. This was employed successfully in Australia for non-statutory audit work in </w:t>
      </w:r>
      <w:r w:rsidRPr="00FB366D">
        <w:rPr>
          <w:rFonts w:ascii="Verdana" w:hAnsi="Verdana"/>
          <w:i/>
          <w:sz w:val="20"/>
        </w:rPr>
        <w:t>AWA</w:t>
      </w:r>
      <w:r>
        <w:rPr>
          <w:rFonts w:ascii="Verdana" w:hAnsi="Verdana"/>
          <w:i/>
          <w:sz w:val="20"/>
        </w:rPr>
        <w:t xml:space="preserve"> Ltd</w:t>
      </w:r>
      <w:r w:rsidRPr="00FB366D">
        <w:rPr>
          <w:rFonts w:ascii="Verdana" w:hAnsi="Verdana"/>
          <w:i/>
          <w:sz w:val="20"/>
        </w:rPr>
        <w:t xml:space="preserve"> v. Daniels</w:t>
      </w:r>
      <w:r>
        <w:rPr>
          <w:rFonts w:ascii="Verdana" w:hAnsi="Verdana"/>
          <w:sz w:val="20"/>
        </w:rPr>
        <w:t xml:space="preserve"> [1992]. Since then, various S</w:t>
      </w:r>
      <w:r w:rsidRPr="00FB366D">
        <w:rPr>
          <w:rFonts w:ascii="Verdana" w:hAnsi="Verdana"/>
          <w:sz w:val="20"/>
        </w:rPr>
        <w:t xml:space="preserve">tates have legislated requirements for damages to be apportioned according to a </w:t>
      </w:r>
      <w:r>
        <w:rPr>
          <w:rFonts w:ascii="Verdana" w:hAnsi="Verdana"/>
          <w:sz w:val="20"/>
        </w:rPr>
        <w:t>‘</w:t>
      </w:r>
      <w:r w:rsidRPr="00FB366D">
        <w:rPr>
          <w:rFonts w:ascii="Verdana" w:hAnsi="Verdana"/>
          <w:sz w:val="20"/>
        </w:rPr>
        <w:t>negligence calculus</w:t>
      </w:r>
      <w:r>
        <w:rPr>
          <w:rFonts w:ascii="Verdana" w:hAnsi="Verdana"/>
          <w:sz w:val="20"/>
        </w:rPr>
        <w:t>’</w:t>
      </w:r>
      <w:r w:rsidRPr="00FB366D">
        <w:rPr>
          <w:rFonts w:ascii="Verdana" w:hAnsi="Verdana"/>
          <w:sz w:val="20"/>
        </w:rPr>
        <w:t xml:space="preserve"> that can recognise </w:t>
      </w:r>
      <w:r w:rsidRPr="00FB366D">
        <w:rPr>
          <w:rFonts w:ascii="Verdana" w:hAnsi="Verdana"/>
          <w:sz w:val="20"/>
        </w:rPr>
        <w:lastRenderedPageBreak/>
        <w:t xml:space="preserve">the duties of parties additional to the auditor. This is known as </w:t>
      </w:r>
      <w:r w:rsidRPr="00FB366D">
        <w:rPr>
          <w:rFonts w:ascii="Verdana" w:hAnsi="Verdana"/>
          <w:i/>
          <w:sz w:val="20"/>
        </w:rPr>
        <w:t>proportionate liability</w:t>
      </w:r>
      <w:r w:rsidRPr="00FB366D">
        <w:rPr>
          <w:rFonts w:ascii="Verdana" w:hAnsi="Verdana"/>
          <w:sz w:val="20"/>
        </w:rPr>
        <w:t xml:space="preserve">. </w:t>
      </w:r>
    </w:p>
    <w:p w:rsidR="006213B4" w:rsidRPr="00FB366D" w:rsidRDefault="006213B4" w:rsidP="006213B4">
      <w:pPr>
        <w:tabs>
          <w:tab w:val="left" w:pos="-5670"/>
        </w:tabs>
        <w:spacing w:line="360" w:lineRule="auto"/>
        <w:ind w:right="18"/>
        <w:rPr>
          <w:rFonts w:ascii="Verdana" w:hAnsi="Verdana"/>
          <w:sz w:val="20"/>
          <w:u w:val="single"/>
        </w:rPr>
      </w:pPr>
    </w:p>
    <w:p w:rsidR="006213B4" w:rsidRPr="00FB366D" w:rsidRDefault="006213B4" w:rsidP="006213B4">
      <w:pPr>
        <w:tabs>
          <w:tab w:val="left" w:pos="-5670"/>
        </w:tabs>
        <w:spacing w:line="360" w:lineRule="auto"/>
        <w:ind w:right="18"/>
        <w:jc w:val="both"/>
        <w:rPr>
          <w:rFonts w:ascii="Verdana" w:hAnsi="Verdana"/>
          <w:sz w:val="20"/>
        </w:rPr>
      </w:pPr>
      <w:r w:rsidRPr="00FB366D">
        <w:rPr>
          <w:rFonts w:ascii="Verdana" w:hAnsi="Verdana"/>
          <w:b/>
          <w:sz w:val="20"/>
        </w:rPr>
        <w:t>2-</w:t>
      </w:r>
      <w:r>
        <w:rPr>
          <w:rFonts w:ascii="Verdana" w:hAnsi="Verdana"/>
          <w:b/>
          <w:sz w:val="20"/>
        </w:rPr>
        <w:t>9</w:t>
      </w:r>
      <w:r w:rsidRPr="00FB366D">
        <w:rPr>
          <w:rFonts w:ascii="Verdana" w:hAnsi="Verdana"/>
          <w:sz w:val="20"/>
        </w:rPr>
        <w:tab/>
        <w:t>An auditor</w:t>
      </w:r>
      <w:r>
        <w:rPr>
          <w:rFonts w:ascii="Verdana" w:hAnsi="Verdana"/>
          <w:sz w:val="20"/>
        </w:rPr>
        <w:t>’</w:t>
      </w:r>
      <w:r w:rsidRPr="00FB366D">
        <w:rPr>
          <w:rFonts w:ascii="Verdana" w:hAnsi="Verdana"/>
          <w:sz w:val="20"/>
        </w:rPr>
        <w:t xml:space="preserve">s </w:t>
      </w:r>
      <w:r w:rsidRPr="00FB366D">
        <w:rPr>
          <w:rFonts w:ascii="Verdana" w:hAnsi="Verdana"/>
          <w:i/>
          <w:sz w:val="20"/>
        </w:rPr>
        <w:t>legal liability to the client under common law</w:t>
      </w:r>
      <w:r w:rsidRPr="00FB366D">
        <w:rPr>
          <w:rFonts w:ascii="Verdana" w:hAnsi="Verdana"/>
          <w:sz w:val="20"/>
        </w:rPr>
        <w:t xml:space="preserve"> can result from the auditor</w:t>
      </w:r>
      <w:r>
        <w:rPr>
          <w:rFonts w:ascii="Verdana" w:hAnsi="Verdana"/>
          <w:sz w:val="20"/>
        </w:rPr>
        <w:t>’</w:t>
      </w:r>
      <w:r w:rsidRPr="00FB366D">
        <w:rPr>
          <w:rFonts w:ascii="Verdana" w:hAnsi="Verdana"/>
          <w:sz w:val="20"/>
        </w:rPr>
        <w:t>s failure to properly fulfil his or her contract for services. The legal actions can be for breach of contract, which is a claim that the contract was not performed in the manner agreed upon, or it can be a tort action for negligence. An example would be the client</w:t>
      </w:r>
      <w:r>
        <w:rPr>
          <w:rFonts w:ascii="Verdana" w:hAnsi="Verdana"/>
          <w:sz w:val="20"/>
        </w:rPr>
        <w:t>’</w:t>
      </w:r>
      <w:r w:rsidRPr="00FB366D">
        <w:rPr>
          <w:rFonts w:ascii="Verdana" w:hAnsi="Verdana"/>
          <w:sz w:val="20"/>
        </w:rPr>
        <w:t>s detection of an error in the financial statements, which would have been discovered if the auditor had performed all audit procedures requ</w:t>
      </w:r>
      <w:r>
        <w:rPr>
          <w:rFonts w:ascii="Verdana" w:hAnsi="Verdana"/>
          <w:sz w:val="20"/>
        </w:rPr>
        <w:t>ired in the circumstances (e.g.</w:t>
      </w:r>
      <w:r w:rsidRPr="00FB366D">
        <w:rPr>
          <w:rFonts w:ascii="Verdana" w:hAnsi="Verdana"/>
          <w:sz w:val="20"/>
        </w:rPr>
        <w:t xml:space="preserve"> misstatement of inventory account resulting from an inaccurate physical inventory not properly observed by the auditor). </w:t>
      </w:r>
    </w:p>
    <w:p w:rsidR="006213B4" w:rsidRDefault="006213B4" w:rsidP="006213B4">
      <w:pPr>
        <w:tabs>
          <w:tab w:val="left" w:pos="-2552"/>
        </w:tabs>
        <w:spacing w:line="360" w:lineRule="auto"/>
        <w:ind w:right="18"/>
        <w:jc w:val="both"/>
        <w:rPr>
          <w:rFonts w:ascii="Verdana" w:hAnsi="Verdana"/>
          <w:sz w:val="20"/>
        </w:rPr>
      </w:pPr>
      <w:r>
        <w:rPr>
          <w:rFonts w:ascii="Verdana" w:hAnsi="Verdana"/>
          <w:sz w:val="20"/>
        </w:rPr>
        <w:tab/>
      </w:r>
      <w:r w:rsidRPr="00FB366D">
        <w:rPr>
          <w:rFonts w:ascii="Verdana" w:hAnsi="Verdana"/>
          <w:i/>
          <w:sz w:val="20"/>
        </w:rPr>
        <w:t>Liability to clients under statutory law</w:t>
      </w:r>
      <w:r w:rsidRPr="00FB366D">
        <w:rPr>
          <w:rFonts w:ascii="Verdana" w:hAnsi="Verdana"/>
          <w:sz w:val="20"/>
        </w:rPr>
        <w:t xml:space="preserve"> occurs under both the </w:t>
      </w:r>
      <w:r w:rsidRPr="00FB366D">
        <w:rPr>
          <w:rFonts w:ascii="Verdana" w:hAnsi="Verdana"/>
          <w:i/>
          <w:sz w:val="20"/>
        </w:rPr>
        <w:t>Corporations Act</w:t>
      </w:r>
      <w:r w:rsidRPr="00FB366D">
        <w:rPr>
          <w:rFonts w:ascii="Verdana" w:hAnsi="Verdana"/>
          <w:sz w:val="20"/>
        </w:rPr>
        <w:t xml:space="preserve"> and</w:t>
      </w:r>
      <w:r>
        <w:rPr>
          <w:rFonts w:ascii="Verdana" w:hAnsi="Verdana"/>
          <w:sz w:val="20"/>
        </w:rPr>
        <w:t xml:space="preserve"> the</w:t>
      </w:r>
      <w:r w:rsidRPr="00FB366D">
        <w:rPr>
          <w:rFonts w:ascii="Verdana" w:hAnsi="Verdana"/>
          <w:sz w:val="20"/>
        </w:rPr>
        <w:t xml:space="preserve"> </w:t>
      </w:r>
      <w:r w:rsidRPr="00FB366D">
        <w:rPr>
          <w:rFonts w:ascii="Verdana" w:hAnsi="Verdana"/>
          <w:i/>
          <w:sz w:val="20"/>
          <w:lang w:val="en-US"/>
        </w:rPr>
        <w:t>Competition and Consumer Act</w:t>
      </w:r>
      <w:r w:rsidRPr="00FB366D">
        <w:rPr>
          <w:rFonts w:ascii="Verdana" w:hAnsi="Verdana"/>
          <w:sz w:val="20"/>
        </w:rPr>
        <w:t>. The auditor has a duty to the corporation (such as to notify management of errors or problems) and to members of the corporation in the expression of an opinion in the audit report. Failure to detect and disclose a material misstatement is likely to render the auditor liable on this basis.</w:t>
      </w:r>
    </w:p>
    <w:p w:rsidR="006213B4" w:rsidRDefault="006213B4" w:rsidP="006213B4">
      <w:pPr>
        <w:tabs>
          <w:tab w:val="left" w:pos="-2552"/>
        </w:tabs>
        <w:spacing w:line="360" w:lineRule="auto"/>
        <w:ind w:right="18"/>
        <w:jc w:val="both"/>
        <w:rPr>
          <w:rFonts w:ascii="Verdana" w:hAnsi="Verdana"/>
          <w:sz w:val="20"/>
        </w:rPr>
      </w:pPr>
      <w:r>
        <w:rPr>
          <w:rFonts w:ascii="Verdana" w:hAnsi="Verdana"/>
          <w:sz w:val="20"/>
        </w:rPr>
        <w:tab/>
      </w:r>
      <w:r w:rsidRPr="00FB366D">
        <w:rPr>
          <w:rFonts w:ascii="Verdana" w:hAnsi="Verdana"/>
          <w:sz w:val="20"/>
        </w:rPr>
        <w:t>The auditor</w:t>
      </w:r>
      <w:r>
        <w:rPr>
          <w:rFonts w:ascii="Verdana" w:hAnsi="Verdana"/>
          <w:sz w:val="20"/>
        </w:rPr>
        <w:t>’</w:t>
      </w:r>
      <w:r w:rsidRPr="00FB366D">
        <w:rPr>
          <w:rFonts w:ascii="Verdana" w:hAnsi="Verdana"/>
          <w:sz w:val="20"/>
        </w:rPr>
        <w:t>s liability</w:t>
      </w:r>
      <w:r w:rsidRPr="00FB366D">
        <w:rPr>
          <w:rFonts w:ascii="Verdana" w:hAnsi="Verdana"/>
          <w:i/>
          <w:sz w:val="20"/>
        </w:rPr>
        <w:t xml:space="preserve"> to third parties</w:t>
      </w:r>
      <w:r w:rsidRPr="00FB366D">
        <w:rPr>
          <w:rFonts w:ascii="Verdana" w:hAnsi="Verdana"/>
          <w:sz w:val="20"/>
        </w:rPr>
        <w:t xml:space="preserve"> </w:t>
      </w:r>
      <w:r w:rsidRPr="00FB366D">
        <w:rPr>
          <w:rFonts w:ascii="Verdana" w:hAnsi="Verdana"/>
          <w:i/>
          <w:sz w:val="20"/>
        </w:rPr>
        <w:t>under common law</w:t>
      </w:r>
      <w:r w:rsidRPr="00FB366D">
        <w:rPr>
          <w:rFonts w:ascii="Verdana" w:hAnsi="Verdana"/>
          <w:sz w:val="20"/>
        </w:rPr>
        <w:t xml:space="preserve"> results from any loss incurred by the claimant due to reliance upon misleading financial statements. An example would be a bank that has loans outstanding to an audited company. If the audit report did not disclose that the company had contingent liabilities that subsequently became real liabilities and forced the company into bankruptcy, the bank could proceed with legal action against the auditors for the material omission</w:t>
      </w:r>
      <w:r>
        <w:rPr>
          <w:rFonts w:ascii="Verdana" w:hAnsi="Verdana"/>
          <w:sz w:val="20"/>
        </w:rPr>
        <w:t>—</w:t>
      </w:r>
      <w:r w:rsidRPr="00FB366D">
        <w:rPr>
          <w:rFonts w:ascii="Verdana" w:hAnsi="Verdana"/>
          <w:sz w:val="20"/>
        </w:rPr>
        <w:t>the bank would have to establish that it enjoyed sufficient proximity and its reliance was reasonably foreseeable.</w:t>
      </w:r>
    </w:p>
    <w:p w:rsidR="006213B4" w:rsidRPr="00FB366D" w:rsidRDefault="006213B4" w:rsidP="006213B4">
      <w:pPr>
        <w:tabs>
          <w:tab w:val="left" w:pos="-2552"/>
        </w:tabs>
        <w:spacing w:line="360" w:lineRule="auto"/>
        <w:ind w:right="18"/>
        <w:jc w:val="both"/>
        <w:rPr>
          <w:rFonts w:ascii="Verdana" w:hAnsi="Verdana"/>
          <w:sz w:val="20"/>
        </w:rPr>
      </w:pPr>
      <w:r>
        <w:rPr>
          <w:rFonts w:ascii="Verdana" w:hAnsi="Verdana"/>
          <w:sz w:val="20"/>
        </w:rPr>
        <w:tab/>
      </w:r>
      <w:r w:rsidRPr="00FB366D">
        <w:rPr>
          <w:rFonts w:ascii="Verdana" w:hAnsi="Verdana"/>
          <w:i/>
          <w:sz w:val="20"/>
        </w:rPr>
        <w:t xml:space="preserve">Liability to third parties under statutory law </w:t>
      </w:r>
      <w:r w:rsidRPr="00FB366D">
        <w:rPr>
          <w:rFonts w:ascii="Verdana" w:hAnsi="Verdana"/>
          <w:sz w:val="20"/>
        </w:rPr>
        <w:t>is most likely</w:t>
      </w:r>
      <w:r w:rsidRPr="00FB366D">
        <w:rPr>
          <w:rFonts w:ascii="Verdana" w:hAnsi="Verdana"/>
          <w:i/>
          <w:sz w:val="20"/>
        </w:rPr>
        <w:t xml:space="preserve"> </w:t>
      </w:r>
      <w:r w:rsidRPr="00FB366D">
        <w:rPr>
          <w:rFonts w:ascii="Verdana" w:hAnsi="Verdana"/>
          <w:sz w:val="20"/>
        </w:rPr>
        <w:t xml:space="preserve">to arise under the Fair Trading legislation regarding misleading or deceptive statements. Because silence can be construed as misstatement, this may </w:t>
      </w:r>
      <w:r>
        <w:rPr>
          <w:rFonts w:ascii="Verdana" w:hAnsi="Verdana"/>
          <w:sz w:val="20"/>
        </w:rPr>
        <w:t>leave auditors exposed to third-</w:t>
      </w:r>
      <w:r w:rsidRPr="00FB366D">
        <w:rPr>
          <w:rFonts w:ascii="Verdana" w:hAnsi="Verdana"/>
          <w:sz w:val="20"/>
        </w:rPr>
        <w:t>party claims for failure to detect and report misstatements. However, this is yet to be tested in court. Where it can be established that a third party has privity of contract then they will be able to take action on a similar basis to the embers of the corporation.</w:t>
      </w:r>
    </w:p>
    <w:p w:rsidR="006213B4" w:rsidRPr="00FB366D" w:rsidRDefault="006213B4" w:rsidP="006213B4">
      <w:pPr>
        <w:tabs>
          <w:tab w:val="left" w:pos="-2552"/>
        </w:tabs>
        <w:spacing w:line="360" w:lineRule="auto"/>
        <w:ind w:right="18"/>
        <w:jc w:val="both"/>
        <w:rPr>
          <w:rFonts w:ascii="Verdana" w:hAnsi="Verdana"/>
          <w:b/>
          <w:sz w:val="20"/>
        </w:rPr>
      </w:pPr>
    </w:p>
    <w:p w:rsidR="006213B4" w:rsidRPr="00F6299C" w:rsidRDefault="006213B4" w:rsidP="006213B4">
      <w:pPr>
        <w:tabs>
          <w:tab w:val="left" w:pos="-2835"/>
          <w:tab w:val="left" w:pos="-426"/>
        </w:tabs>
        <w:spacing w:line="360" w:lineRule="auto"/>
        <w:ind w:right="18"/>
        <w:jc w:val="both"/>
        <w:rPr>
          <w:rFonts w:ascii="Verdana" w:hAnsi="Verdana"/>
          <w:i/>
          <w:sz w:val="20"/>
        </w:rPr>
      </w:pPr>
      <w:r w:rsidRPr="00FB366D">
        <w:rPr>
          <w:rFonts w:ascii="Verdana" w:hAnsi="Verdana"/>
          <w:b/>
          <w:sz w:val="20"/>
        </w:rPr>
        <w:t>2-1</w:t>
      </w:r>
      <w:r>
        <w:rPr>
          <w:rFonts w:ascii="Verdana" w:hAnsi="Verdana"/>
          <w:b/>
          <w:sz w:val="20"/>
        </w:rPr>
        <w:t>0</w:t>
      </w:r>
      <w:r w:rsidRPr="00FB366D">
        <w:rPr>
          <w:rFonts w:ascii="Verdana" w:hAnsi="Verdana"/>
          <w:sz w:val="20"/>
        </w:rPr>
        <w:tab/>
        <w:t>Liability to clients under common law has remained relatively unchanged for many years. If an auditor breaches an implied or expressed contract with a client</w:t>
      </w:r>
      <w:r>
        <w:rPr>
          <w:rFonts w:ascii="Verdana" w:hAnsi="Verdana"/>
          <w:sz w:val="20"/>
        </w:rPr>
        <w:t>,</w:t>
      </w:r>
      <w:r w:rsidRPr="00FB366D">
        <w:rPr>
          <w:rFonts w:ascii="Verdana" w:hAnsi="Verdana"/>
          <w:sz w:val="20"/>
        </w:rPr>
        <w:t xml:space="preserve"> there is a legal responsibility to pay damages. Traditionally</w:t>
      </w:r>
      <w:r>
        <w:rPr>
          <w:rFonts w:ascii="Verdana" w:hAnsi="Verdana"/>
          <w:sz w:val="20"/>
        </w:rPr>
        <w:t>,</w:t>
      </w:r>
      <w:r w:rsidRPr="00FB366D">
        <w:rPr>
          <w:rFonts w:ascii="Verdana" w:hAnsi="Verdana"/>
          <w:sz w:val="20"/>
        </w:rPr>
        <w:t xml:space="preserve"> the distinction between privity of contract with clients and lack of privity of contract with third parties is </w:t>
      </w:r>
      <w:r w:rsidRPr="00FB366D">
        <w:rPr>
          <w:rFonts w:ascii="Verdana" w:hAnsi="Verdana"/>
          <w:sz w:val="20"/>
        </w:rPr>
        <w:lastRenderedPageBreak/>
        <w:t>essential in common law. The lack of privity of contract with third parties means that third parties have no rights with respect to auditors except in the case of gross negligence. Liability to third parties under common law has been restrictively defined in the High Court</w:t>
      </w:r>
      <w:r>
        <w:rPr>
          <w:rFonts w:ascii="Verdana" w:hAnsi="Verdana"/>
          <w:sz w:val="20"/>
        </w:rPr>
        <w:t>’</w:t>
      </w:r>
      <w:r w:rsidRPr="00FB366D">
        <w:rPr>
          <w:rFonts w:ascii="Verdana" w:hAnsi="Verdana"/>
          <w:sz w:val="20"/>
        </w:rPr>
        <w:t xml:space="preserve">s decision in </w:t>
      </w:r>
      <w:r w:rsidRPr="00FB366D">
        <w:rPr>
          <w:rFonts w:ascii="Verdana" w:hAnsi="Verdana"/>
          <w:i/>
          <w:sz w:val="20"/>
        </w:rPr>
        <w:t>Esanda</w:t>
      </w:r>
      <w:r w:rsidRPr="00FB366D">
        <w:rPr>
          <w:rFonts w:ascii="Verdana" w:hAnsi="Verdana"/>
          <w:sz w:val="20"/>
        </w:rPr>
        <w:t xml:space="preserve"> to accord with these notions of privity by employing a combination of </w:t>
      </w:r>
      <w:r w:rsidRPr="00FB366D">
        <w:rPr>
          <w:rFonts w:ascii="Verdana" w:hAnsi="Verdana"/>
          <w:i/>
          <w:sz w:val="20"/>
        </w:rPr>
        <w:t>proximity</w:t>
      </w:r>
      <w:r w:rsidRPr="00FB366D">
        <w:rPr>
          <w:rFonts w:ascii="Verdana" w:hAnsi="Verdana"/>
          <w:sz w:val="20"/>
        </w:rPr>
        <w:t xml:space="preserve"> and </w:t>
      </w:r>
      <w:r w:rsidRPr="00FB366D">
        <w:rPr>
          <w:rFonts w:ascii="Verdana" w:hAnsi="Verdana"/>
          <w:i/>
          <w:sz w:val="20"/>
        </w:rPr>
        <w:t xml:space="preserve">foreseeability </w:t>
      </w:r>
      <w:r w:rsidRPr="00FB366D">
        <w:rPr>
          <w:rFonts w:ascii="Verdana" w:hAnsi="Verdana"/>
          <w:sz w:val="20"/>
        </w:rPr>
        <w:t>tests</w:t>
      </w:r>
      <w:r w:rsidRPr="00FB366D">
        <w:rPr>
          <w:rFonts w:ascii="Verdana" w:hAnsi="Verdana"/>
          <w:i/>
          <w:sz w:val="20"/>
        </w:rPr>
        <w:t>.</w:t>
      </w:r>
    </w:p>
    <w:p w:rsidR="006213B4" w:rsidRDefault="006213B4" w:rsidP="006213B4">
      <w:pPr>
        <w:tabs>
          <w:tab w:val="left" w:pos="-7655"/>
          <w:tab w:val="left" w:pos="-5812"/>
          <w:tab w:val="left" w:pos="-5245"/>
          <w:tab w:val="left" w:pos="-2835"/>
          <w:tab w:val="left" w:pos="-2410"/>
          <w:tab w:val="left" w:pos="709"/>
          <w:tab w:val="left" w:pos="16018"/>
        </w:tabs>
        <w:spacing w:line="360" w:lineRule="auto"/>
        <w:ind w:right="18"/>
        <w:rPr>
          <w:rFonts w:ascii="Verdana" w:hAnsi="Verdana"/>
          <w:b/>
          <w:sz w:val="20"/>
        </w:rPr>
      </w:pPr>
    </w:p>
    <w:p w:rsidR="006213B4" w:rsidRPr="00FB366D" w:rsidRDefault="006213B4" w:rsidP="006213B4">
      <w:pPr>
        <w:tabs>
          <w:tab w:val="left" w:pos="-7655"/>
          <w:tab w:val="left" w:pos="-5812"/>
          <w:tab w:val="left" w:pos="-5245"/>
          <w:tab w:val="left" w:pos="-2835"/>
          <w:tab w:val="left" w:pos="-2410"/>
          <w:tab w:val="left" w:pos="709"/>
          <w:tab w:val="left" w:pos="16018"/>
        </w:tabs>
        <w:spacing w:line="360" w:lineRule="auto"/>
        <w:ind w:right="18"/>
        <w:rPr>
          <w:rFonts w:ascii="Verdana" w:hAnsi="Verdana"/>
          <w:sz w:val="20"/>
        </w:rPr>
      </w:pPr>
      <w:r w:rsidRPr="00FB366D">
        <w:rPr>
          <w:rFonts w:ascii="Verdana" w:hAnsi="Verdana"/>
          <w:b/>
          <w:sz w:val="20"/>
        </w:rPr>
        <w:t>2-1</w:t>
      </w:r>
      <w:r>
        <w:rPr>
          <w:rFonts w:ascii="Verdana" w:hAnsi="Verdana"/>
          <w:b/>
          <w:sz w:val="20"/>
        </w:rPr>
        <w:t>1</w:t>
      </w:r>
      <w:r>
        <w:rPr>
          <w:rFonts w:ascii="Verdana" w:hAnsi="Verdana"/>
          <w:b/>
          <w:sz w:val="20"/>
        </w:rPr>
        <w:tab/>
      </w:r>
      <w:r w:rsidRPr="00FB366D">
        <w:rPr>
          <w:rFonts w:ascii="Verdana" w:hAnsi="Verdana"/>
          <w:sz w:val="20"/>
        </w:rPr>
        <w:t>The auditor should assess the risk that errors and irregularities may cause a client</w:t>
      </w:r>
      <w:r>
        <w:rPr>
          <w:rFonts w:ascii="Verdana" w:hAnsi="Verdana"/>
          <w:sz w:val="20"/>
        </w:rPr>
        <w:t>’</w:t>
      </w:r>
      <w:r w:rsidRPr="00FB366D">
        <w:rPr>
          <w:rFonts w:ascii="Verdana" w:hAnsi="Verdana"/>
          <w:sz w:val="20"/>
        </w:rPr>
        <w:t xml:space="preserve">s financial statements to contain a misstatement. Based on this assessment, the auditor should design the audit to provide </w:t>
      </w:r>
      <w:r w:rsidRPr="00FB366D">
        <w:rPr>
          <w:rFonts w:ascii="Verdana" w:hAnsi="Verdana"/>
          <w:i/>
          <w:sz w:val="20"/>
        </w:rPr>
        <w:t>reasonable assurance</w:t>
      </w:r>
      <w:r w:rsidRPr="00FB366D">
        <w:rPr>
          <w:rFonts w:ascii="Verdana" w:hAnsi="Verdana"/>
          <w:sz w:val="20"/>
        </w:rPr>
        <w:t xml:space="preserve"> of detecting errors and irregularities that are material to the financial statements. </w:t>
      </w:r>
      <w:r>
        <w:rPr>
          <w:rFonts w:ascii="Verdana" w:hAnsi="Verdana"/>
          <w:sz w:val="20"/>
        </w:rPr>
        <w:t>B</w:t>
      </w:r>
      <w:r w:rsidRPr="00FB366D">
        <w:rPr>
          <w:rFonts w:ascii="Verdana" w:hAnsi="Verdana"/>
          <w:sz w:val="20"/>
        </w:rPr>
        <w:t>ecause of the nature of irregularities (including def</w:t>
      </w:r>
      <w:r>
        <w:rPr>
          <w:rFonts w:ascii="Verdana" w:hAnsi="Verdana"/>
          <w:sz w:val="20"/>
        </w:rPr>
        <w:t xml:space="preserve">alcations), </w:t>
      </w:r>
      <w:r w:rsidRPr="00FB366D">
        <w:rPr>
          <w:rFonts w:ascii="Verdana" w:hAnsi="Verdana"/>
          <w:sz w:val="20"/>
        </w:rPr>
        <w:t xml:space="preserve">properly designed and executed audit procedures that are effective for detecting error may not be appropriate in the context of an identified risk of material misstatement due to fraud. The decision in the </w:t>
      </w:r>
      <w:r w:rsidRPr="00FB366D">
        <w:rPr>
          <w:rFonts w:ascii="Verdana" w:hAnsi="Verdana"/>
          <w:i/>
          <w:sz w:val="20"/>
        </w:rPr>
        <w:t>Pacific Acceptance</w:t>
      </w:r>
      <w:r w:rsidRPr="00FB366D">
        <w:rPr>
          <w:rFonts w:ascii="Verdana" w:hAnsi="Verdana"/>
          <w:sz w:val="20"/>
        </w:rPr>
        <w:t xml:space="preserve"> case confirmed the auditor</w:t>
      </w:r>
      <w:r>
        <w:rPr>
          <w:rFonts w:ascii="Verdana" w:hAnsi="Verdana"/>
          <w:sz w:val="20"/>
        </w:rPr>
        <w:t>’</w:t>
      </w:r>
      <w:r w:rsidRPr="00FB366D">
        <w:rPr>
          <w:rFonts w:ascii="Verdana" w:hAnsi="Verdana"/>
          <w:sz w:val="20"/>
        </w:rPr>
        <w:t>s duty to audit with due care and skill</w:t>
      </w:r>
      <w:r>
        <w:rPr>
          <w:rFonts w:ascii="Verdana" w:hAnsi="Verdana"/>
          <w:sz w:val="20"/>
        </w:rPr>
        <w:t>,</w:t>
      </w:r>
      <w:r w:rsidRPr="00FB366D">
        <w:rPr>
          <w:rFonts w:ascii="Verdana" w:hAnsi="Verdana"/>
          <w:sz w:val="20"/>
        </w:rPr>
        <w:t xml:space="preserve"> </w:t>
      </w:r>
      <w:r>
        <w:rPr>
          <w:rFonts w:ascii="Verdana" w:hAnsi="Verdana"/>
          <w:i/>
          <w:sz w:val="20"/>
        </w:rPr>
        <w:t>including</w:t>
      </w:r>
      <w:r w:rsidRPr="00FB366D">
        <w:rPr>
          <w:rFonts w:ascii="Verdana" w:hAnsi="Verdana"/>
          <w:sz w:val="20"/>
        </w:rPr>
        <w:t xml:space="preserve"> a duty to design the audit with due regard to the possibility of fraud. </w:t>
      </w:r>
      <w:r w:rsidRPr="00FB366D">
        <w:rPr>
          <w:rFonts w:ascii="Verdana" w:hAnsi="Verdana"/>
          <w:i/>
          <w:sz w:val="20"/>
        </w:rPr>
        <w:t>WA Chip and Pulp</w:t>
      </w:r>
      <w:r w:rsidRPr="00FB366D">
        <w:rPr>
          <w:rFonts w:ascii="Verdana" w:hAnsi="Verdana"/>
          <w:sz w:val="20"/>
        </w:rPr>
        <w:t xml:space="preserve"> highlighted the irrelevance of materiality in considering the need to further pursue indicators of fraud.</w:t>
      </w:r>
      <w:r>
        <w:rPr>
          <w:rFonts w:ascii="Verdana" w:hAnsi="Verdana"/>
          <w:sz w:val="20"/>
        </w:rPr>
        <w:t xml:space="preserve"> The Auditing Standards establish the minimum level of competency expected of the auditor during the conduct of the audit.</w:t>
      </w:r>
    </w:p>
    <w:p w:rsidR="006213B4" w:rsidRPr="00FB366D" w:rsidRDefault="006213B4" w:rsidP="006213B4">
      <w:pPr>
        <w:tabs>
          <w:tab w:val="left" w:pos="-7655"/>
          <w:tab w:val="left" w:pos="-5812"/>
          <w:tab w:val="left" w:pos="-3544"/>
          <w:tab w:val="left" w:pos="-3261"/>
          <w:tab w:val="left" w:pos="-2835"/>
          <w:tab w:val="left" w:pos="-2410"/>
          <w:tab w:val="left" w:pos="-2268"/>
          <w:tab w:val="left" w:pos="-432"/>
          <w:tab w:val="left" w:pos="16018"/>
        </w:tabs>
        <w:spacing w:line="360" w:lineRule="auto"/>
        <w:jc w:val="both"/>
        <w:rPr>
          <w:rFonts w:ascii="Verdana" w:hAnsi="Verdana"/>
          <w:sz w:val="20"/>
        </w:rPr>
      </w:pPr>
    </w:p>
    <w:p w:rsidR="006213B4" w:rsidRPr="00FB366D" w:rsidRDefault="006213B4" w:rsidP="006213B4">
      <w:pPr>
        <w:tabs>
          <w:tab w:val="left" w:pos="-3544"/>
          <w:tab w:val="left" w:pos="-3261"/>
          <w:tab w:val="left" w:pos="-2410"/>
          <w:tab w:val="left" w:pos="-2268"/>
          <w:tab w:val="left" w:pos="-432"/>
          <w:tab w:val="left" w:pos="706"/>
        </w:tabs>
        <w:spacing w:after="120" w:line="360" w:lineRule="auto"/>
        <w:jc w:val="both"/>
        <w:rPr>
          <w:rFonts w:ascii="Verdana" w:hAnsi="Verdana"/>
          <w:sz w:val="20"/>
        </w:rPr>
      </w:pPr>
      <w:r w:rsidRPr="00FB366D">
        <w:rPr>
          <w:rFonts w:ascii="Verdana" w:hAnsi="Verdana"/>
          <w:b/>
          <w:sz w:val="20"/>
        </w:rPr>
        <w:t>2-1</w:t>
      </w:r>
      <w:r>
        <w:rPr>
          <w:rFonts w:ascii="Verdana" w:hAnsi="Verdana"/>
          <w:b/>
          <w:sz w:val="20"/>
        </w:rPr>
        <w:t>2</w:t>
      </w:r>
      <w:r w:rsidRPr="00FB366D">
        <w:rPr>
          <w:rFonts w:ascii="Verdana" w:hAnsi="Verdana"/>
          <w:sz w:val="20"/>
        </w:rPr>
        <w:tab/>
        <w:t>Some of the ways an auditor can reduce liability in auditing are:</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sidRPr="00FB366D">
        <w:rPr>
          <w:rFonts w:ascii="Verdana" w:hAnsi="Verdana"/>
          <w:bCs/>
          <w:i/>
          <w:sz w:val="20"/>
          <w:lang w:val="en-US"/>
        </w:rPr>
        <w:t>Deal only with clients possessing integrity</w:t>
      </w:r>
      <w:r>
        <w:rPr>
          <w:rFonts w:ascii="Verdana" w:hAnsi="Verdana"/>
          <w:bCs/>
          <w:i/>
          <w:sz w:val="20"/>
          <w:lang w:val="en-US"/>
        </w:rPr>
        <w:t>:</w:t>
      </w:r>
      <w:r w:rsidRPr="00FB366D">
        <w:rPr>
          <w:rFonts w:ascii="Verdana" w:hAnsi="Verdana"/>
          <w:bCs/>
          <w:i/>
          <w:sz w:val="20"/>
          <w:lang w:val="en-US"/>
        </w:rPr>
        <w:t xml:space="preserve"> </w:t>
      </w:r>
      <w:r w:rsidRPr="00FB366D">
        <w:rPr>
          <w:rFonts w:ascii="Verdana" w:hAnsi="Verdana"/>
          <w:bCs/>
          <w:sz w:val="20"/>
          <w:lang w:val="en-US"/>
        </w:rPr>
        <w:t>A firm needs procedures to evaluate the integrity of clients and should dissociate itself from clients found to be lacking in integrity.</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sidRPr="00FB366D">
        <w:rPr>
          <w:rFonts w:ascii="Verdana" w:hAnsi="Verdana"/>
          <w:bCs/>
          <w:i/>
          <w:sz w:val="20"/>
          <w:lang w:val="en-US"/>
        </w:rPr>
        <w:t>Employ qualified personnel, and train and supervise them properly</w:t>
      </w:r>
      <w:r>
        <w:rPr>
          <w:rFonts w:ascii="Verdana" w:hAnsi="Verdana"/>
          <w:bCs/>
          <w:i/>
          <w:sz w:val="20"/>
          <w:lang w:val="en-US"/>
        </w:rPr>
        <w:t>:</w:t>
      </w:r>
      <w:r w:rsidRPr="00FB366D">
        <w:rPr>
          <w:rFonts w:ascii="Verdana" w:hAnsi="Verdana"/>
          <w:bCs/>
          <w:i/>
          <w:sz w:val="20"/>
          <w:lang w:val="en-US"/>
        </w:rPr>
        <w:t xml:space="preserve"> </w:t>
      </w:r>
      <w:r>
        <w:rPr>
          <w:rFonts w:ascii="Verdana" w:hAnsi="Verdana"/>
          <w:bCs/>
          <w:sz w:val="20"/>
          <w:lang w:val="en-US"/>
        </w:rPr>
        <w:t>I</w:t>
      </w:r>
      <w:r w:rsidRPr="00FB366D">
        <w:rPr>
          <w:rFonts w:ascii="Verdana" w:hAnsi="Verdana"/>
          <w:bCs/>
          <w:sz w:val="20"/>
          <w:lang w:val="en-US"/>
        </w:rPr>
        <w:t>t is important that young professionals be qualified, well trained and supervised by experienced and qualified professionals.</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sidRPr="00FB366D">
        <w:rPr>
          <w:rFonts w:ascii="Verdana" w:hAnsi="Verdana"/>
          <w:bCs/>
          <w:i/>
          <w:sz w:val="20"/>
          <w:lang w:val="en-US"/>
        </w:rPr>
        <w:t>Follow the</w:t>
      </w:r>
      <w:r>
        <w:rPr>
          <w:rFonts w:ascii="Verdana" w:hAnsi="Verdana"/>
          <w:bCs/>
          <w:i/>
          <w:sz w:val="20"/>
          <w:lang w:val="en-US"/>
        </w:rPr>
        <w:t xml:space="preserve"> auditing standards assiduously:</w:t>
      </w:r>
      <w:r w:rsidRPr="00FB366D">
        <w:rPr>
          <w:rFonts w:ascii="Verdana" w:hAnsi="Verdana"/>
          <w:bCs/>
          <w:i/>
          <w:sz w:val="20"/>
          <w:lang w:val="en-US"/>
        </w:rPr>
        <w:t xml:space="preserve"> </w:t>
      </w:r>
      <w:r w:rsidRPr="00FB366D">
        <w:rPr>
          <w:rFonts w:ascii="Verdana" w:hAnsi="Verdana"/>
          <w:bCs/>
          <w:sz w:val="20"/>
          <w:lang w:val="en-US"/>
        </w:rPr>
        <w:t>Audit firms and AACs must have procedures to ensure all personnel understand and follow the standards.</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Pr>
          <w:rFonts w:ascii="Verdana" w:hAnsi="Verdana"/>
          <w:bCs/>
          <w:i/>
          <w:sz w:val="20"/>
          <w:lang w:val="en-US"/>
        </w:rPr>
        <w:t>Maintain independence:</w:t>
      </w:r>
      <w:r w:rsidRPr="00FB366D">
        <w:rPr>
          <w:rFonts w:ascii="Verdana" w:hAnsi="Verdana"/>
          <w:bCs/>
          <w:i/>
          <w:sz w:val="20"/>
          <w:lang w:val="en-US"/>
        </w:rPr>
        <w:t xml:space="preserve"> </w:t>
      </w:r>
      <w:r w:rsidRPr="00FB366D">
        <w:rPr>
          <w:rFonts w:ascii="Verdana" w:hAnsi="Verdana"/>
          <w:bCs/>
          <w:sz w:val="20"/>
          <w:lang w:val="en-US"/>
        </w:rPr>
        <w:t>Independence-in-fact is more than merely following the statutory requirements. It requires an auditor to maintain an attitude of responsibility separate from the client</w:t>
      </w:r>
      <w:r>
        <w:rPr>
          <w:rFonts w:ascii="Verdana" w:hAnsi="Verdana"/>
          <w:bCs/>
          <w:sz w:val="20"/>
          <w:lang w:val="en-US"/>
        </w:rPr>
        <w:t>’</w:t>
      </w:r>
      <w:r w:rsidRPr="00FB366D">
        <w:rPr>
          <w:rFonts w:ascii="Verdana" w:hAnsi="Verdana"/>
          <w:bCs/>
          <w:sz w:val="20"/>
          <w:lang w:val="en-US"/>
        </w:rPr>
        <w:t>s and management</w:t>
      </w:r>
      <w:r>
        <w:rPr>
          <w:rFonts w:ascii="Verdana" w:hAnsi="Verdana"/>
          <w:bCs/>
          <w:sz w:val="20"/>
          <w:lang w:val="en-US"/>
        </w:rPr>
        <w:t>’</w:t>
      </w:r>
      <w:r w:rsidRPr="00FB366D">
        <w:rPr>
          <w:rFonts w:ascii="Verdana" w:hAnsi="Verdana"/>
          <w:bCs/>
          <w:sz w:val="20"/>
          <w:lang w:val="en-US"/>
        </w:rPr>
        <w:t xml:space="preserve">s interests. </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Pr>
          <w:rFonts w:ascii="Verdana" w:hAnsi="Verdana"/>
          <w:bCs/>
          <w:i/>
          <w:sz w:val="20"/>
          <w:lang w:val="en-US"/>
        </w:rPr>
        <w:t>Exercise professional sc</w:t>
      </w:r>
      <w:r w:rsidRPr="00FB366D">
        <w:rPr>
          <w:rFonts w:ascii="Verdana" w:hAnsi="Verdana"/>
          <w:bCs/>
          <w:i/>
          <w:sz w:val="20"/>
          <w:lang w:val="en-US"/>
        </w:rPr>
        <w:t>epticism</w:t>
      </w:r>
      <w:r w:rsidRPr="005906E9">
        <w:rPr>
          <w:rFonts w:ascii="Verdana" w:hAnsi="Verdana"/>
          <w:bCs/>
          <w:i/>
          <w:sz w:val="20"/>
          <w:lang w:val="en-US"/>
        </w:rPr>
        <w:t>:</w:t>
      </w:r>
      <w:r w:rsidRPr="00FB366D">
        <w:rPr>
          <w:rFonts w:ascii="Verdana" w:hAnsi="Verdana"/>
          <w:bCs/>
          <w:sz w:val="20"/>
          <w:lang w:val="en-US"/>
        </w:rPr>
        <w:t xml:space="preserve"> Auditors mus</w:t>
      </w:r>
      <w:r>
        <w:rPr>
          <w:rFonts w:ascii="Verdana" w:hAnsi="Verdana"/>
          <w:bCs/>
          <w:sz w:val="20"/>
          <w:lang w:val="en-US"/>
        </w:rPr>
        <w:t>t maintain a healthy level of sc</w:t>
      </w:r>
      <w:r w:rsidRPr="00FB366D">
        <w:rPr>
          <w:rFonts w:ascii="Verdana" w:hAnsi="Verdana"/>
          <w:bCs/>
          <w:sz w:val="20"/>
          <w:lang w:val="en-US"/>
        </w:rPr>
        <w:t>epticism and be alert to potential misstatements.</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sidRPr="00FB366D">
        <w:rPr>
          <w:rFonts w:ascii="Verdana" w:hAnsi="Verdana"/>
          <w:bCs/>
          <w:i/>
          <w:sz w:val="20"/>
          <w:lang w:val="en-US"/>
        </w:rPr>
        <w:lastRenderedPageBreak/>
        <w:t>Understand the client</w:t>
      </w:r>
      <w:r>
        <w:rPr>
          <w:rFonts w:ascii="Verdana" w:hAnsi="Verdana"/>
          <w:bCs/>
          <w:i/>
          <w:sz w:val="20"/>
          <w:lang w:val="en-US"/>
        </w:rPr>
        <w:t>’</w:t>
      </w:r>
      <w:r w:rsidRPr="00FB366D">
        <w:rPr>
          <w:rFonts w:ascii="Verdana" w:hAnsi="Verdana"/>
          <w:bCs/>
          <w:i/>
          <w:sz w:val="20"/>
          <w:lang w:val="en-US"/>
        </w:rPr>
        <w:t>s business</w:t>
      </w:r>
      <w:r>
        <w:rPr>
          <w:rFonts w:ascii="Verdana" w:hAnsi="Verdana"/>
          <w:bCs/>
          <w:i/>
          <w:sz w:val="20"/>
          <w:lang w:val="en-US"/>
        </w:rPr>
        <w:t xml:space="preserve">: </w:t>
      </w:r>
      <w:r>
        <w:rPr>
          <w:rFonts w:ascii="Verdana" w:hAnsi="Verdana"/>
          <w:bCs/>
          <w:sz w:val="20"/>
          <w:lang w:val="en-US"/>
        </w:rPr>
        <w:t>Lack of knowledge of industry practices and client operations can lead to an auditor failing to uncover errors.</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Pr>
          <w:rFonts w:ascii="Verdana" w:hAnsi="Verdana"/>
          <w:bCs/>
          <w:i/>
          <w:sz w:val="20"/>
          <w:lang w:val="en-US"/>
        </w:rPr>
        <w:t>Perform quality audits:</w:t>
      </w:r>
      <w:r w:rsidRPr="00FB366D">
        <w:rPr>
          <w:rFonts w:ascii="Verdana" w:hAnsi="Verdana"/>
          <w:bCs/>
          <w:i/>
          <w:sz w:val="20"/>
          <w:lang w:val="en-US"/>
        </w:rPr>
        <w:t xml:space="preserve"> </w:t>
      </w:r>
      <w:r w:rsidRPr="00FB366D">
        <w:rPr>
          <w:rFonts w:ascii="Verdana" w:hAnsi="Verdana"/>
          <w:bCs/>
          <w:sz w:val="20"/>
          <w:lang w:val="en-US"/>
        </w:rPr>
        <w:t>Quality audits require obtaining appropriate evidence and making appropriate judgments about the evidence.</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Pr>
          <w:rFonts w:ascii="Verdana" w:hAnsi="Verdana"/>
          <w:bCs/>
          <w:i/>
          <w:sz w:val="20"/>
          <w:lang w:val="en-US"/>
        </w:rPr>
        <w:t>Document the work properly:</w:t>
      </w:r>
      <w:r w:rsidRPr="00FB366D">
        <w:rPr>
          <w:rFonts w:ascii="Verdana" w:hAnsi="Verdana"/>
          <w:bCs/>
          <w:i/>
          <w:sz w:val="20"/>
          <w:lang w:val="en-US"/>
        </w:rPr>
        <w:t xml:space="preserve"> </w:t>
      </w:r>
      <w:r w:rsidRPr="00FB366D">
        <w:rPr>
          <w:rFonts w:ascii="Verdana" w:hAnsi="Verdana"/>
          <w:bCs/>
          <w:sz w:val="20"/>
          <w:lang w:val="en-US"/>
        </w:rPr>
        <w:t>The preparation of good working papers helps in organising and performing quality audits. Quality working papers are essential if an auditor needs to defend an audit in court.</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sidRPr="00FB366D">
        <w:rPr>
          <w:rFonts w:ascii="Verdana" w:hAnsi="Verdana"/>
          <w:bCs/>
          <w:i/>
          <w:sz w:val="20"/>
          <w:lang w:val="en-US"/>
        </w:rPr>
        <w:t xml:space="preserve">Obtain an engagement letter and a representation letter. </w:t>
      </w:r>
      <w:r w:rsidRPr="00FB366D">
        <w:rPr>
          <w:rFonts w:ascii="Verdana" w:hAnsi="Verdana"/>
          <w:bCs/>
          <w:sz w:val="20"/>
          <w:lang w:val="en-US"/>
        </w:rPr>
        <w:t xml:space="preserve">An engagement letter and a representation letter are essential in defining the respective obligations of the client and the auditor. </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sidRPr="00FB366D">
        <w:rPr>
          <w:rFonts w:ascii="Verdana" w:hAnsi="Verdana"/>
          <w:bCs/>
          <w:i/>
          <w:sz w:val="20"/>
          <w:lang w:val="en-US"/>
        </w:rPr>
        <w:t>Carry adequate insurance</w:t>
      </w:r>
      <w:r w:rsidRPr="005906E9">
        <w:rPr>
          <w:rFonts w:ascii="Verdana" w:hAnsi="Verdana"/>
          <w:bCs/>
          <w:i/>
          <w:sz w:val="20"/>
          <w:lang w:val="en-US"/>
        </w:rPr>
        <w:t>:</w:t>
      </w:r>
      <w:r w:rsidRPr="00FB366D">
        <w:rPr>
          <w:rFonts w:ascii="Verdana" w:hAnsi="Verdana"/>
          <w:bCs/>
          <w:sz w:val="20"/>
          <w:lang w:val="en-US"/>
        </w:rPr>
        <w:t xml:space="preserve"> This is also a legal requirement for AACs and is covered by the professional bodies</w:t>
      </w:r>
      <w:r>
        <w:rPr>
          <w:rFonts w:ascii="Verdana" w:hAnsi="Verdana"/>
          <w:bCs/>
          <w:sz w:val="20"/>
          <w:lang w:val="en-US"/>
        </w:rPr>
        <w:t>’</w:t>
      </w:r>
      <w:r w:rsidRPr="00FB366D">
        <w:rPr>
          <w:rFonts w:ascii="Verdana" w:hAnsi="Verdana"/>
          <w:bCs/>
          <w:sz w:val="20"/>
          <w:lang w:val="en-US"/>
        </w:rPr>
        <w:t xml:space="preserve"> rules for all auditors.</w:t>
      </w:r>
    </w:p>
    <w:p w:rsidR="006213B4" w:rsidRPr="00FB366D" w:rsidRDefault="006213B4" w:rsidP="006213B4">
      <w:pPr>
        <w:numPr>
          <w:ilvl w:val="0"/>
          <w:numId w:val="6"/>
        </w:numPr>
        <w:tabs>
          <w:tab w:val="left" w:pos="-7230"/>
          <w:tab w:val="left" w:pos="-6804"/>
          <w:tab w:val="left" w:pos="-1985"/>
          <w:tab w:val="left" w:pos="1180"/>
        </w:tabs>
        <w:spacing w:line="360" w:lineRule="auto"/>
        <w:ind w:left="1134"/>
        <w:jc w:val="both"/>
        <w:rPr>
          <w:rFonts w:ascii="Verdana" w:hAnsi="Verdana"/>
          <w:bCs/>
          <w:sz w:val="20"/>
          <w:lang w:val="en-US"/>
        </w:rPr>
      </w:pPr>
      <w:r>
        <w:rPr>
          <w:rFonts w:ascii="Verdana" w:hAnsi="Verdana"/>
          <w:i/>
          <w:sz w:val="20"/>
          <w:lang w:val="en-US"/>
        </w:rPr>
        <w:t>Seek legal counsel:</w:t>
      </w:r>
      <w:r w:rsidRPr="00FB366D">
        <w:rPr>
          <w:rFonts w:ascii="Verdana" w:hAnsi="Verdana"/>
          <w:i/>
          <w:sz w:val="20"/>
          <w:lang w:val="en-US"/>
        </w:rPr>
        <w:t xml:space="preserve"> </w:t>
      </w:r>
      <w:r w:rsidRPr="00FB366D">
        <w:rPr>
          <w:rFonts w:ascii="Verdana" w:hAnsi="Verdana"/>
          <w:sz w:val="20"/>
          <w:lang w:val="en-US"/>
        </w:rPr>
        <w:t>Whenever serious problems occur during an audit or the event of potential or actual legal action, the auditor should immediately seek appropriate legal advice.</w:t>
      </w:r>
    </w:p>
    <w:p w:rsidR="006213B4" w:rsidRPr="00FB366D" w:rsidRDefault="006213B4" w:rsidP="006213B4">
      <w:pPr>
        <w:tabs>
          <w:tab w:val="left" w:pos="-432"/>
          <w:tab w:val="left" w:pos="706"/>
          <w:tab w:val="left" w:pos="1180"/>
          <w:tab w:val="left" w:pos="1654"/>
          <w:tab w:val="left" w:pos="2128"/>
          <w:tab w:val="left" w:pos="2602"/>
        </w:tabs>
        <w:spacing w:line="360" w:lineRule="auto"/>
        <w:ind w:left="1134"/>
        <w:jc w:val="both"/>
        <w:rPr>
          <w:rFonts w:ascii="Verdana" w:hAnsi="Verdana"/>
          <w:b/>
          <w:sz w:val="20"/>
        </w:rPr>
      </w:pPr>
    </w:p>
    <w:p w:rsidR="006213B4" w:rsidRDefault="006213B4" w:rsidP="006213B4">
      <w:pPr>
        <w:spacing w:line="360" w:lineRule="auto"/>
        <w:rPr>
          <w:rFonts w:ascii="Verdana" w:hAnsi="Verdana"/>
          <w:b/>
          <w:sz w:val="20"/>
        </w:rPr>
      </w:pPr>
      <w:r>
        <w:rPr>
          <w:rFonts w:ascii="Verdana" w:hAnsi="Verdana"/>
          <w:b/>
          <w:sz w:val="20"/>
        </w:rPr>
        <w:br w:type="page"/>
      </w:r>
    </w:p>
    <w:p w:rsidR="006213B4" w:rsidRDefault="006213B4" w:rsidP="006213B4">
      <w:pPr>
        <w:spacing w:line="360" w:lineRule="auto"/>
        <w:rPr>
          <w:rFonts w:ascii="Verdana" w:hAnsi="Verdana"/>
          <w:b/>
          <w:sz w:val="20"/>
        </w:rPr>
      </w:pPr>
    </w:p>
    <w:p w:rsidR="006213B4" w:rsidRPr="00FB366D" w:rsidRDefault="006213B4" w:rsidP="006213B4">
      <w:pPr>
        <w:tabs>
          <w:tab w:val="left" w:pos="-432"/>
          <w:tab w:val="left" w:pos="706"/>
          <w:tab w:val="left" w:pos="1180"/>
          <w:tab w:val="left" w:pos="1654"/>
          <w:tab w:val="left" w:pos="2128"/>
          <w:tab w:val="left" w:pos="2602"/>
        </w:tabs>
        <w:spacing w:line="360" w:lineRule="auto"/>
        <w:jc w:val="both"/>
        <w:rPr>
          <w:rFonts w:ascii="Verdana" w:hAnsi="Verdana"/>
          <w:b/>
          <w:i/>
          <w:sz w:val="28"/>
        </w:rPr>
      </w:pPr>
      <w:r w:rsidRPr="00FB366D">
        <w:rPr>
          <w:rFonts w:ascii="Verdana" w:hAnsi="Verdana"/>
          <w:b/>
          <w:i/>
          <w:sz w:val="28"/>
        </w:rPr>
        <w:t>Multiple Choice Questions</w:t>
      </w:r>
    </w:p>
    <w:p w:rsidR="006213B4" w:rsidRPr="00FB366D" w:rsidRDefault="006213B4" w:rsidP="006213B4">
      <w:pPr>
        <w:tabs>
          <w:tab w:val="left" w:pos="-432"/>
          <w:tab w:val="left" w:pos="706"/>
          <w:tab w:val="left" w:pos="2128"/>
          <w:tab w:val="left" w:pos="2602"/>
        </w:tabs>
        <w:spacing w:line="360" w:lineRule="auto"/>
        <w:jc w:val="both"/>
        <w:rPr>
          <w:rFonts w:ascii="Verdana" w:hAnsi="Verdana"/>
          <w:sz w:val="20"/>
        </w:rPr>
      </w:pPr>
    </w:p>
    <w:p w:rsidR="006213B4" w:rsidRPr="00FB366D" w:rsidRDefault="006213B4" w:rsidP="006213B4">
      <w:pPr>
        <w:tabs>
          <w:tab w:val="left" w:pos="-3544"/>
        </w:tabs>
        <w:spacing w:line="360" w:lineRule="auto"/>
        <w:ind w:right="17"/>
        <w:rPr>
          <w:rFonts w:ascii="Verdana" w:hAnsi="Verdana"/>
          <w:sz w:val="20"/>
        </w:rPr>
      </w:pPr>
      <w:r w:rsidRPr="00FB366D">
        <w:rPr>
          <w:rFonts w:ascii="Verdana" w:hAnsi="Verdana"/>
          <w:b/>
          <w:sz w:val="20"/>
        </w:rPr>
        <w:t>2-1</w:t>
      </w:r>
      <w:r>
        <w:rPr>
          <w:rFonts w:ascii="Verdana" w:hAnsi="Verdana"/>
          <w:b/>
          <w:sz w:val="20"/>
        </w:rPr>
        <w:t>3</w:t>
      </w:r>
      <w:r>
        <w:rPr>
          <w:rFonts w:ascii="Verdana" w:hAnsi="Verdana"/>
          <w:sz w:val="20"/>
        </w:rPr>
        <w:tab/>
      </w:r>
      <w:r>
        <w:rPr>
          <w:rFonts w:ascii="Verdana" w:hAnsi="Verdana"/>
          <w:sz w:val="20"/>
        </w:rPr>
        <w:tab/>
        <w:t>a. (4)</w:t>
      </w:r>
      <w:r>
        <w:rPr>
          <w:rFonts w:ascii="Verdana" w:hAnsi="Verdana"/>
          <w:sz w:val="20"/>
        </w:rPr>
        <w:tab/>
      </w:r>
      <w:r>
        <w:rPr>
          <w:rFonts w:ascii="Verdana" w:hAnsi="Verdana"/>
          <w:sz w:val="20"/>
        </w:rPr>
        <w:tab/>
        <w:t xml:space="preserve">b. </w:t>
      </w:r>
      <w:r w:rsidRPr="00FB366D">
        <w:rPr>
          <w:rFonts w:ascii="Verdana" w:hAnsi="Verdana"/>
          <w:sz w:val="20"/>
        </w:rPr>
        <w:t>(1)</w:t>
      </w:r>
    </w:p>
    <w:p w:rsidR="006213B4" w:rsidRPr="00FB366D" w:rsidRDefault="006213B4" w:rsidP="006213B4">
      <w:pPr>
        <w:tabs>
          <w:tab w:val="left" w:pos="-3544"/>
          <w:tab w:val="left" w:pos="-3402"/>
        </w:tabs>
        <w:spacing w:line="360" w:lineRule="auto"/>
        <w:ind w:right="17"/>
        <w:rPr>
          <w:rFonts w:ascii="Verdana" w:hAnsi="Verdana"/>
          <w:sz w:val="20"/>
        </w:rPr>
      </w:pPr>
      <w:r w:rsidRPr="00FB366D">
        <w:rPr>
          <w:rFonts w:ascii="Verdana" w:hAnsi="Verdana"/>
          <w:b/>
          <w:sz w:val="20"/>
        </w:rPr>
        <w:t>2-1</w:t>
      </w:r>
      <w:r>
        <w:rPr>
          <w:rFonts w:ascii="Verdana" w:hAnsi="Verdana"/>
          <w:b/>
          <w:sz w:val="20"/>
        </w:rPr>
        <w:t>4</w:t>
      </w:r>
      <w:r>
        <w:rPr>
          <w:rFonts w:ascii="Verdana" w:hAnsi="Verdana"/>
          <w:sz w:val="20"/>
        </w:rPr>
        <w:tab/>
      </w:r>
      <w:r>
        <w:rPr>
          <w:rFonts w:ascii="Verdana" w:hAnsi="Verdana"/>
          <w:sz w:val="20"/>
        </w:rPr>
        <w:tab/>
        <w:t xml:space="preserve">a. </w:t>
      </w:r>
      <w:r w:rsidRPr="00FB366D">
        <w:rPr>
          <w:rFonts w:ascii="Verdana" w:hAnsi="Verdana"/>
          <w:sz w:val="20"/>
        </w:rPr>
        <w:t>(2</w:t>
      </w:r>
      <w:r>
        <w:rPr>
          <w:rFonts w:ascii="Verdana" w:hAnsi="Verdana"/>
          <w:sz w:val="20"/>
        </w:rPr>
        <w:t>)</w:t>
      </w:r>
      <w:r>
        <w:rPr>
          <w:rFonts w:ascii="Verdana" w:hAnsi="Verdana"/>
          <w:sz w:val="20"/>
        </w:rPr>
        <w:tab/>
      </w:r>
      <w:r>
        <w:rPr>
          <w:rFonts w:ascii="Verdana" w:hAnsi="Verdana"/>
          <w:sz w:val="20"/>
        </w:rPr>
        <w:tab/>
        <w:t>b. (2)</w:t>
      </w:r>
      <w:r>
        <w:rPr>
          <w:rFonts w:ascii="Verdana" w:hAnsi="Verdana"/>
          <w:sz w:val="20"/>
        </w:rPr>
        <w:tab/>
      </w:r>
      <w:r>
        <w:rPr>
          <w:rFonts w:ascii="Verdana" w:hAnsi="Verdana"/>
          <w:sz w:val="20"/>
        </w:rPr>
        <w:tab/>
      </w:r>
      <w:r w:rsidRPr="00FB366D">
        <w:rPr>
          <w:rFonts w:ascii="Verdana" w:hAnsi="Verdana"/>
          <w:sz w:val="20"/>
        </w:rPr>
        <w:t>c</w:t>
      </w:r>
      <w:r>
        <w:rPr>
          <w:rFonts w:ascii="Verdana" w:hAnsi="Verdana"/>
          <w:sz w:val="20"/>
        </w:rPr>
        <w:t>. (1)</w:t>
      </w:r>
    </w:p>
    <w:p w:rsidR="006213B4" w:rsidRPr="00FB366D" w:rsidRDefault="006213B4" w:rsidP="006213B4">
      <w:pPr>
        <w:tabs>
          <w:tab w:val="left" w:pos="-3544"/>
        </w:tabs>
        <w:spacing w:line="360" w:lineRule="auto"/>
        <w:ind w:right="17"/>
        <w:rPr>
          <w:rFonts w:ascii="Verdana" w:hAnsi="Verdana"/>
          <w:sz w:val="20"/>
        </w:rPr>
      </w:pPr>
      <w:r w:rsidRPr="00FB366D">
        <w:rPr>
          <w:rFonts w:ascii="Verdana" w:hAnsi="Verdana"/>
          <w:b/>
          <w:sz w:val="20"/>
        </w:rPr>
        <w:t>2-1</w:t>
      </w:r>
      <w:r>
        <w:rPr>
          <w:rFonts w:ascii="Verdana" w:hAnsi="Verdana"/>
          <w:b/>
          <w:sz w:val="20"/>
        </w:rPr>
        <w:t>5</w:t>
      </w:r>
      <w:r>
        <w:rPr>
          <w:rFonts w:ascii="Verdana" w:hAnsi="Verdana"/>
          <w:sz w:val="20"/>
        </w:rPr>
        <w:tab/>
      </w:r>
      <w:r>
        <w:rPr>
          <w:rFonts w:ascii="Verdana" w:hAnsi="Verdana"/>
          <w:sz w:val="20"/>
        </w:rPr>
        <w:tab/>
        <w:t>a. (4)</w:t>
      </w:r>
      <w:r>
        <w:rPr>
          <w:rFonts w:ascii="Verdana" w:hAnsi="Verdana"/>
          <w:sz w:val="20"/>
        </w:rPr>
        <w:tab/>
      </w:r>
      <w:r>
        <w:rPr>
          <w:rFonts w:ascii="Verdana" w:hAnsi="Verdana"/>
          <w:sz w:val="20"/>
        </w:rPr>
        <w:tab/>
        <w:t>b. (1)</w:t>
      </w:r>
    </w:p>
    <w:p w:rsidR="006213B4" w:rsidRPr="00FB366D" w:rsidRDefault="006213B4" w:rsidP="006213B4">
      <w:pPr>
        <w:tabs>
          <w:tab w:val="left" w:pos="-432"/>
          <w:tab w:val="left" w:pos="0"/>
          <w:tab w:val="left" w:pos="706"/>
          <w:tab w:val="left" w:pos="1949"/>
          <w:tab w:val="left" w:pos="2128"/>
          <w:tab w:val="left" w:pos="2429"/>
          <w:tab w:val="left" w:pos="2602"/>
          <w:tab w:val="left" w:pos="3293"/>
          <w:tab w:val="left" w:pos="3773"/>
          <w:tab w:val="left" w:pos="4541"/>
          <w:tab w:val="left" w:pos="5021"/>
        </w:tabs>
        <w:spacing w:line="360" w:lineRule="auto"/>
        <w:jc w:val="both"/>
        <w:rPr>
          <w:rFonts w:ascii="Verdana" w:hAnsi="Verdana"/>
          <w:sz w:val="20"/>
        </w:rPr>
      </w:pPr>
    </w:p>
    <w:p w:rsidR="006213B4" w:rsidRDefault="006213B4" w:rsidP="006213B4">
      <w:pPr>
        <w:spacing w:line="360" w:lineRule="auto"/>
        <w:rPr>
          <w:rFonts w:ascii="Verdana" w:hAnsi="Verdana"/>
          <w:b/>
          <w:i/>
          <w:sz w:val="28"/>
        </w:rPr>
      </w:pPr>
      <w:r>
        <w:rPr>
          <w:rFonts w:ascii="Verdana" w:hAnsi="Verdana"/>
          <w:b/>
          <w:i/>
          <w:sz w:val="28"/>
        </w:rPr>
        <w:br w:type="page"/>
      </w:r>
    </w:p>
    <w:p w:rsidR="006213B4" w:rsidRPr="00FB366D" w:rsidRDefault="006213B4" w:rsidP="006213B4">
      <w:pPr>
        <w:tabs>
          <w:tab w:val="left" w:pos="-432"/>
          <w:tab w:val="left" w:pos="706"/>
          <w:tab w:val="left" w:pos="1180"/>
          <w:tab w:val="left" w:pos="1654"/>
          <w:tab w:val="left" w:pos="2128"/>
          <w:tab w:val="left" w:pos="2602"/>
        </w:tabs>
        <w:spacing w:line="360" w:lineRule="auto"/>
        <w:jc w:val="both"/>
        <w:rPr>
          <w:rFonts w:ascii="Verdana" w:hAnsi="Verdana"/>
          <w:i/>
          <w:sz w:val="28"/>
        </w:rPr>
      </w:pPr>
      <w:r w:rsidRPr="00FB366D">
        <w:rPr>
          <w:rFonts w:ascii="Verdana" w:hAnsi="Verdana"/>
          <w:b/>
          <w:i/>
          <w:sz w:val="28"/>
        </w:rPr>
        <w:t>Discussion Questions and Problems</w:t>
      </w:r>
    </w:p>
    <w:p w:rsidR="006213B4" w:rsidRPr="00FB366D" w:rsidRDefault="006213B4" w:rsidP="006213B4">
      <w:pPr>
        <w:tabs>
          <w:tab w:val="left" w:pos="-432"/>
          <w:tab w:val="left" w:pos="706"/>
          <w:tab w:val="left" w:pos="1180"/>
          <w:tab w:val="left" w:pos="1654"/>
          <w:tab w:val="left" w:pos="2128"/>
          <w:tab w:val="left" w:pos="2602"/>
        </w:tabs>
        <w:spacing w:line="360" w:lineRule="auto"/>
        <w:jc w:val="both"/>
        <w:rPr>
          <w:rFonts w:ascii="Verdana" w:hAnsi="Verdana"/>
          <w:sz w:val="20"/>
        </w:rPr>
      </w:pPr>
    </w:p>
    <w:p w:rsidR="006213B4" w:rsidRPr="00FB366D" w:rsidRDefault="006213B4" w:rsidP="006213B4">
      <w:pPr>
        <w:tabs>
          <w:tab w:val="left" w:pos="709"/>
          <w:tab w:val="left" w:pos="1134"/>
        </w:tabs>
        <w:spacing w:line="360" w:lineRule="auto"/>
        <w:ind w:left="1134" w:hanging="1134"/>
        <w:jc w:val="both"/>
        <w:rPr>
          <w:rFonts w:ascii="Verdana" w:hAnsi="Verdana"/>
          <w:sz w:val="20"/>
        </w:rPr>
      </w:pPr>
      <w:r w:rsidRPr="00FB366D">
        <w:rPr>
          <w:rFonts w:ascii="Verdana" w:hAnsi="Verdana"/>
          <w:b/>
          <w:sz w:val="20"/>
        </w:rPr>
        <w:t>2-1</w:t>
      </w:r>
      <w:r>
        <w:rPr>
          <w:rFonts w:ascii="Verdana" w:hAnsi="Verdana"/>
          <w:b/>
          <w:sz w:val="20"/>
        </w:rPr>
        <w:t>6</w:t>
      </w:r>
      <w:r w:rsidRPr="00FB366D">
        <w:rPr>
          <w:rFonts w:ascii="Verdana" w:hAnsi="Verdana"/>
          <w:sz w:val="20"/>
        </w:rPr>
        <w:tab/>
        <w:t xml:space="preserve">a. </w:t>
      </w:r>
      <w:r w:rsidRPr="00FB366D">
        <w:rPr>
          <w:rFonts w:ascii="Verdana" w:hAnsi="Verdana"/>
          <w:sz w:val="20"/>
        </w:rPr>
        <w:tab/>
        <w:t>Crosden &amp; Sykes should use the defences</w:t>
      </w:r>
      <w:r w:rsidRPr="00FB366D">
        <w:rPr>
          <w:rFonts w:ascii="Verdana" w:hAnsi="Verdana"/>
          <w:b/>
          <w:sz w:val="20"/>
        </w:rPr>
        <w:t xml:space="preserve"> </w:t>
      </w:r>
      <w:r w:rsidRPr="00FB366D">
        <w:rPr>
          <w:rFonts w:ascii="Verdana" w:hAnsi="Verdana"/>
          <w:sz w:val="20"/>
        </w:rPr>
        <w:t xml:space="preserve">of meeting generally accepted auditing standards and contributory negligence. The fraud perpetuated by Posh </w:t>
      </w:r>
      <w:r>
        <w:rPr>
          <w:rFonts w:ascii="Verdana" w:hAnsi="Verdana"/>
          <w:sz w:val="20"/>
        </w:rPr>
        <w:t>Manikins Ltd</w:t>
      </w:r>
      <w:r w:rsidRPr="00FB366D">
        <w:rPr>
          <w:rFonts w:ascii="Verdana" w:hAnsi="Verdana"/>
          <w:sz w:val="20"/>
        </w:rPr>
        <w:t xml:space="preserve"> was a reasonably complex one and difficult to uncover</w:t>
      </w:r>
      <w:r w:rsidRPr="00FB366D">
        <w:rPr>
          <w:rFonts w:ascii="Verdana" w:hAnsi="Verdana"/>
          <w:b/>
          <w:sz w:val="20"/>
        </w:rPr>
        <w:t xml:space="preserve"> </w:t>
      </w:r>
      <w:r w:rsidRPr="00FB366D">
        <w:rPr>
          <w:rFonts w:ascii="Verdana" w:hAnsi="Verdana"/>
          <w:sz w:val="20"/>
        </w:rPr>
        <w:t>except by the procedures suggested by Crosden.</w:t>
      </w:r>
    </w:p>
    <w:p w:rsidR="006213B4" w:rsidRDefault="006213B4" w:rsidP="006213B4">
      <w:pPr>
        <w:tabs>
          <w:tab w:val="left" w:pos="709"/>
          <w:tab w:val="left" w:pos="1134"/>
          <w:tab w:val="left" w:pos="1701"/>
        </w:tabs>
        <w:spacing w:line="360" w:lineRule="auto"/>
        <w:ind w:left="1134" w:firstLine="567"/>
        <w:jc w:val="both"/>
        <w:rPr>
          <w:rFonts w:ascii="Verdana" w:hAnsi="Verdana"/>
          <w:sz w:val="20"/>
        </w:rPr>
      </w:pPr>
      <w:r w:rsidRPr="00FB366D">
        <w:rPr>
          <w:rFonts w:ascii="Verdana" w:hAnsi="Verdana"/>
          <w:sz w:val="20"/>
        </w:rPr>
        <w:t>In most circumstances it would not be necessary to physically count all inventory at different locations on the same day. Furthermore</w:t>
      </w:r>
      <w:r>
        <w:rPr>
          <w:rFonts w:ascii="Verdana" w:hAnsi="Verdana"/>
          <w:sz w:val="20"/>
        </w:rPr>
        <w:t>,</w:t>
      </w:r>
      <w:r w:rsidRPr="00FB366D">
        <w:rPr>
          <w:rFonts w:ascii="Verdana" w:hAnsi="Verdana"/>
          <w:sz w:val="20"/>
        </w:rPr>
        <w:t xml:space="preserve"> the president of the company contributed to the failure </w:t>
      </w:r>
      <w:r>
        <w:rPr>
          <w:rFonts w:ascii="Verdana" w:hAnsi="Verdana"/>
          <w:sz w:val="20"/>
        </w:rPr>
        <w:t>to find</w:t>
      </w:r>
      <w:r w:rsidRPr="00FB366D">
        <w:rPr>
          <w:rFonts w:ascii="Verdana" w:hAnsi="Verdana"/>
          <w:sz w:val="20"/>
        </w:rPr>
        <w:t xml:space="preserve"> the irregularity by refusing to follow Crosden</w:t>
      </w:r>
      <w:r>
        <w:rPr>
          <w:rFonts w:ascii="Verdana" w:hAnsi="Verdana"/>
          <w:sz w:val="20"/>
        </w:rPr>
        <w:t>’</w:t>
      </w:r>
      <w:r w:rsidRPr="00FB366D">
        <w:rPr>
          <w:rFonts w:ascii="Verdana" w:hAnsi="Verdana"/>
          <w:sz w:val="20"/>
        </w:rPr>
        <w:t>s suggestion. There is evidence of that through his signed statement.</w:t>
      </w:r>
    </w:p>
    <w:p w:rsidR="006213B4" w:rsidRPr="00FB366D" w:rsidRDefault="006213B4" w:rsidP="006213B4">
      <w:pPr>
        <w:tabs>
          <w:tab w:val="left" w:pos="709"/>
          <w:tab w:val="left" w:pos="1134"/>
          <w:tab w:val="left" w:pos="1701"/>
        </w:tabs>
        <w:spacing w:line="360" w:lineRule="auto"/>
        <w:ind w:left="1134" w:firstLine="567"/>
        <w:jc w:val="both"/>
        <w:rPr>
          <w:rFonts w:ascii="Verdana" w:hAnsi="Verdana"/>
          <w:sz w:val="20"/>
        </w:rPr>
      </w:pPr>
    </w:p>
    <w:p w:rsidR="006213B4" w:rsidRDefault="006213B4" w:rsidP="006213B4">
      <w:pPr>
        <w:tabs>
          <w:tab w:val="left" w:pos="709"/>
          <w:tab w:val="left" w:pos="1134"/>
        </w:tabs>
        <w:spacing w:before="120" w:line="360" w:lineRule="auto"/>
        <w:ind w:left="1134" w:hanging="1134"/>
        <w:jc w:val="both"/>
        <w:rPr>
          <w:rFonts w:ascii="Verdana" w:hAnsi="Verdana"/>
          <w:sz w:val="20"/>
        </w:rPr>
      </w:pPr>
      <w:r w:rsidRPr="00FB366D">
        <w:rPr>
          <w:rFonts w:ascii="Verdana" w:hAnsi="Verdana"/>
          <w:sz w:val="20"/>
        </w:rPr>
        <w:tab/>
        <w:t xml:space="preserve">b. </w:t>
      </w:r>
      <w:r w:rsidRPr="00FB366D">
        <w:rPr>
          <w:rFonts w:ascii="Verdana" w:hAnsi="Verdana"/>
          <w:sz w:val="20"/>
        </w:rPr>
        <w:tab/>
        <w:t>There are two defences Crosden &amp; Sykes should use in an action by National Commercial Bank. First</w:t>
      </w:r>
      <w:r>
        <w:rPr>
          <w:rFonts w:ascii="Verdana" w:hAnsi="Verdana"/>
          <w:sz w:val="20"/>
        </w:rPr>
        <w:t>,</w:t>
      </w:r>
      <w:r w:rsidRPr="00FB366D">
        <w:rPr>
          <w:rFonts w:ascii="Verdana" w:hAnsi="Verdana"/>
          <w:sz w:val="20"/>
        </w:rPr>
        <w:t xml:space="preserve"> there is a lack of privity of contract. Although this was a known third party, it does not mean that there is any duty to that party in this situation (see </w:t>
      </w:r>
      <w:r w:rsidRPr="00FB366D">
        <w:rPr>
          <w:rFonts w:ascii="Verdana" w:hAnsi="Verdana"/>
          <w:i/>
          <w:sz w:val="20"/>
        </w:rPr>
        <w:t>Esanda</w:t>
      </w:r>
      <w:r w:rsidRPr="00FB366D">
        <w:rPr>
          <w:rFonts w:ascii="Verdana" w:hAnsi="Verdana"/>
          <w:sz w:val="20"/>
        </w:rPr>
        <w:t xml:space="preserve">). This defence is very likely to succeed if it is an audit under the </w:t>
      </w:r>
      <w:r w:rsidRPr="00FB366D">
        <w:rPr>
          <w:rFonts w:ascii="Verdana" w:hAnsi="Verdana"/>
          <w:i/>
          <w:sz w:val="20"/>
        </w:rPr>
        <w:t>Corporations Act</w:t>
      </w:r>
      <w:r w:rsidRPr="00FB366D">
        <w:rPr>
          <w:rFonts w:ascii="Verdana" w:hAnsi="Verdana"/>
          <w:sz w:val="20"/>
        </w:rPr>
        <w:t>. The second defence is that the auditor followed appropriate auditing standards in the audit of inventory, including the employment of due care. Ordinarily it is unreasonable to expect an auditor to find such an unusual problem in the course of an ordinary audit. The fact that the auditor did not uncover the fraud does not mean the auditor has any responsibility for it.</w:t>
      </w:r>
    </w:p>
    <w:p w:rsidR="006213B4" w:rsidRPr="00FB366D" w:rsidRDefault="006213B4" w:rsidP="006213B4">
      <w:pPr>
        <w:tabs>
          <w:tab w:val="left" w:pos="709"/>
          <w:tab w:val="left" w:pos="1134"/>
        </w:tabs>
        <w:spacing w:before="120" w:line="360" w:lineRule="auto"/>
        <w:ind w:left="1134" w:hanging="1134"/>
        <w:jc w:val="both"/>
        <w:rPr>
          <w:rFonts w:ascii="Verdana" w:hAnsi="Verdana"/>
          <w:sz w:val="20"/>
        </w:rPr>
      </w:pPr>
    </w:p>
    <w:p w:rsidR="006213B4" w:rsidRPr="00FB366D" w:rsidRDefault="006213B4" w:rsidP="006213B4">
      <w:pPr>
        <w:pStyle w:val="BodyTextIndent"/>
        <w:tabs>
          <w:tab w:val="clear" w:pos="540"/>
          <w:tab w:val="clear" w:pos="2160"/>
          <w:tab w:val="clear" w:pos="2880"/>
          <w:tab w:val="clear" w:pos="3600"/>
          <w:tab w:val="clear" w:pos="4320"/>
          <w:tab w:val="clear" w:pos="5040"/>
          <w:tab w:val="clear" w:pos="5760"/>
          <w:tab w:val="clear" w:pos="6480"/>
          <w:tab w:val="clear" w:pos="7200"/>
          <w:tab w:val="left" w:pos="709"/>
          <w:tab w:val="left" w:pos="1701"/>
        </w:tabs>
        <w:spacing w:line="360" w:lineRule="auto"/>
        <w:rPr>
          <w:rFonts w:ascii="Verdana" w:hAnsi="Verdana"/>
          <w:sz w:val="20"/>
        </w:rPr>
      </w:pPr>
      <w:r w:rsidRPr="00FB366D">
        <w:rPr>
          <w:rFonts w:ascii="Verdana" w:hAnsi="Verdana"/>
          <w:sz w:val="20"/>
        </w:rPr>
        <w:tab/>
        <w:t xml:space="preserve">c. </w:t>
      </w:r>
      <w:r w:rsidRPr="00FB366D">
        <w:rPr>
          <w:rFonts w:ascii="Verdana" w:hAnsi="Verdana"/>
          <w:sz w:val="20"/>
        </w:rPr>
        <w:tab/>
        <w:t>The auditor is more likely to be successful in her defence against the client using contributory negligence defence i</w:t>
      </w:r>
      <w:r>
        <w:rPr>
          <w:rFonts w:ascii="Verdana" w:hAnsi="Verdana"/>
          <w:sz w:val="20"/>
        </w:rPr>
        <w:t>f it is a non-statutory audit. B</w:t>
      </w:r>
      <w:r w:rsidRPr="00FB366D">
        <w:rPr>
          <w:rFonts w:ascii="Verdana" w:hAnsi="Verdana"/>
          <w:sz w:val="20"/>
        </w:rPr>
        <w:t>ut the failure of the plaintiff to take appropriate reasonable steps is considered in the calculus. The company has responsibility for instituting an adequate internal control structure. The managing director</w:t>
      </w:r>
      <w:r>
        <w:rPr>
          <w:rFonts w:ascii="Verdana" w:hAnsi="Verdana"/>
          <w:sz w:val="20"/>
        </w:rPr>
        <w:t>’</w:t>
      </w:r>
      <w:r w:rsidRPr="00FB366D">
        <w:rPr>
          <w:rFonts w:ascii="Verdana" w:hAnsi="Verdana"/>
          <w:sz w:val="20"/>
        </w:rPr>
        <w:t>s statement that it was impractical to count all inventory on the same day because of personnel shortages and customer preferences puts considerable burden on the company for its own loss.</w:t>
      </w:r>
    </w:p>
    <w:p w:rsidR="006213B4" w:rsidRDefault="006213B4" w:rsidP="006213B4">
      <w:pPr>
        <w:tabs>
          <w:tab w:val="left" w:pos="709"/>
          <w:tab w:val="left" w:pos="1134"/>
          <w:tab w:val="left" w:pos="1701"/>
        </w:tabs>
        <w:spacing w:line="360" w:lineRule="auto"/>
        <w:ind w:left="1134" w:firstLine="567"/>
        <w:jc w:val="both"/>
        <w:rPr>
          <w:rFonts w:ascii="Verdana" w:hAnsi="Verdana"/>
          <w:sz w:val="20"/>
        </w:rPr>
      </w:pPr>
      <w:r w:rsidRPr="00FB366D">
        <w:rPr>
          <w:rFonts w:ascii="Verdana" w:hAnsi="Verdana"/>
          <w:sz w:val="20"/>
        </w:rPr>
        <w:t>It is also unlikely that National Commercial Bank will be successful in an action. The court is likely to conclude that Crosden</w:t>
      </w:r>
      <w:r>
        <w:rPr>
          <w:rFonts w:ascii="Verdana" w:hAnsi="Verdana"/>
          <w:sz w:val="20"/>
        </w:rPr>
        <w:t xml:space="preserve"> &amp; Sykes</w:t>
      </w:r>
      <w:r w:rsidRPr="00FB366D">
        <w:rPr>
          <w:rFonts w:ascii="Verdana" w:hAnsi="Verdana"/>
          <w:sz w:val="20"/>
        </w:rPr>
        <w:t xml:space="preserve"> </w:t>
      </w:r>
      <w:r w:rsidRPr="00FB366D">
        <w:rPr>
          <w:rFonts w:ascii="Verdana" w:hAnsi="Verdana"/>
          <w:sz w:val="20"/>
        </w:rPr>
        <w:lastRenderedPageBreak/>
        <w:t xml:space="preserve">followed due care in the performance of </w:t>
      </w:r>
      <w:r>
        <w:rPr>
          <w:rFonts w:ascii="Verdana" w:hAnsi="Verdana"/>
          <w:sz w:val="20"/>
        </w:rPr>
        <w:t>their</w:t>
      </w:r>
      <w:r w:rsidRPr="00FB366D">
        <w:rPr>
          <w:rFonts w:ascii="Verdana" w:hAnsi="Verdana"/>
          <w:sz w:val="20"/>
        </w:rPr>
        <w:t xml:space="preserve"> work. The fact that there was not a count of all inventory on the same date is unlikely to be sufficient for a successful action. </w:t>
      </w:r>
    </w:p>
    <w:p w:rsidR="006213B4" w:rsidRPr="00FB366D" w:rsidRDefault="006213B4" w:rsidP="006213B4">
      <w:pPr>
        <w:tabs>
          <w:tab w:val="left" w:pos="709"/>
          <w:tab w:val="left" w:pos="1134"/>
          <w:tab w:val="left" w:pos="1701"/>
        </w:tabs>
        <w:spacing w:line="360" w:lineRule="auto"/>
        <w:ind w:left="1134" w:firstLine="567"/>
        <w:jc w:val="both"/>
        <w:rPr>
          <w:rFonts w:ascii="Verdana" w:hAnsi="Verdana"/>
          <w:sz w:val="20"/>
        </w:rPr>
      </w:pPr>
    </w:p>
    <w:p w:rsidR="006213B4" w:rsidRPr="00FB366D" w:rsidRDefault="006213B4" w:rsidP="006213B4">
      <w:pPr>
        <w:tabs>
          <w:tab w:val="left" w:pos="709"/>
          <w:tab w:val="left" w:pos="1134"/>
        </w:tabs>
        <w:spacing w:before="120" w:line="360" w:lineRule="auto"/>
        <w:ind w:left="1134" w:hanging="1134"/>
        <w:jc w:val="both"/>
        <w:rPr>
          <w:rFonts w:ascii="Verdana" w:hAnsi="Verdana"/>
          <w:sz w:val="20"/>
        </w:rPr>
      </w:pPr>
      <w:r w:rsidRPr="00FB366D">
        <w:rPr>
          <w:rFonts w:ascii="Verdana" w:hAnsi="Verdana"/>
          <w:sz w:val="20"/>
        </w:rPr>
        <w:tab/>
        <w:t xml:space="preserve">d. </w:t>
      </w:r>
      <w:r w:rsidRPr="00FB366D">
        <w:rPr>
          <w:rFonts w:ascii="Verdana" w:hAnsi="Verdana"/>
          <w:sz w:val="20"/>
        </w:rPr>
        <w:tab/>
        <w:t xml:space="preserve">The issues and outcomes should be essentially the same if the action </w:t>
      </w:r>
      <w:r>
        <w:rPr>
          <w:rFonts w:ascii="Verdana" w:hAnsi="Verdana"/>
          <w:sz w:val="20"/>
        </w:rPr>
        <w:t xml:space="preserve">is </w:t>
      </w:r>
      <w:r w:rsidRPr="00FB366D">
        <w:rPr>
          <w:rFonts w:ascii="Verdana" w:hAnsi="Verdana"/>
          <w:sz w:val="20"/>
        </w:rPr>
        <w:t xml:space="preserve">brought under the </w:t>
      </w:r>
      <w:r w:rsidRPr="00FB366D">
        <w:rPr>
          <w:rFonts w:ascii="Verdana" w:hAnsi="Verdana"/>
          <w:i/>
          <w:sz w:val="20"/>
          <w:lang w:val="en-US"/>
        </w:rPr>
        <w:t>Competition and Consumer Act 2010</w:t>
      </w:r>
      <w:r w:rsidRPr="00FB366D">
        <w:rPr>
          <w:rFonts w:ascii="Verdana" w:hAnsi="Verdana"/>
          <w:sz w:val="20"/>
        </w:rPr>
        <w:t>, except the contributory negligence defence may be less persuasive.</w:t>
      </w:r>
    </w:p>
    <w:p w:rsidR="006213B4" w:rsidRPr="00FB366D" w:rsidRDefault="006213B4" w:rsidP="006213B4">
      <w:pPr>
        <w:pStyle w:val="Level1"/>
        <w:widowControl/>
        <w:tabs>
          <w:tab w:val="left" w:pos="709"/>
          <w:tab w:val="left" w:pos="1134"/>
        </w:tabs>
        <w:spacing w:line="360" w:lineRule="auto"/>
        <w:jc w:val="both"/>
        <w:rPr>
          <w:rFonts w:ascii="Verdana" w:hAnsi="Verdana"/>
          <w:sz w:val="20"/>
        </w:rPr>
      </w:pPr>
    </w:p>
    <w:p w:rsidR="006213B4" w:rsidRPr="00FB366D" w:rsidRDefault="006213B4" w:rsidP="006213B4">
      <w:pPr>
        <w:tabs>
          <w:tab w:val="left" w:pos="-6237"/>
          <w:tab w:val="left" w:pos="-4678"/>
          <w:tab w:val="left" w:pos="0"/>
          <w:tab w:val="left" w:pos="1134"/>
        </w:tabs>
        <w:spacing w:line="360" w:lineRule="auto"/>
        <w:ind w:right="18"/>
        <w:jc w:val="both"/>
        <w:rPr>
          <w:rFonts w:ascii="Verdana" w:hAnsi="Verdana"/>
          <w:sz w:val="20"/>
        </w:rPr>
      </w:pPr>
      <w:r w:rsidRPr="00FB366D">
        <w:rPr>
          <w:rFonts w:ascii="Verdana" w:hAnsi="Verdana"/>
          <w:b/>
          <w:sz w:val="20"/>
        </w:rPr>
        <w:t>2-1</w:t>
      </w:r>
      <w:r>
        <w:rPr>
          <w:rFonts w:ascii="Verdana" w:hAnsi="Verdana"/>
          <w:b/>
          <w:sz w:val="20"/>
        </w:rPr>
        <w:t>7</w:t>
      </w:r>
      <w:r>
        <w:rPr>
          <w:rFonts w:ascii="Verdana" w:hAnsi="Verdana"/>
          <w:sz w:val="20"/>
        </w:rPr>
        <w:t xml:space="preserve"> </w:t>
      </w:r>
      <w:r>
        <w:rPr>
          <w:rFonts w:ascii="Verdana" w:hAnsi="Verdana"/>
          <w:sz w:val="20"/>
        </w:rPr>
        <w:tab/>
      </w:r>
      <w:r w:rsidRPr="00FB366D">
        <w:rPr>
          <w:rFonts w:ascii="Verdana" w:hAnsi="Verdana"/>
          <w:sz w:val="20"/>
        </w:rPr>
        <w:t xml:space="preserve">It is likely the auditor will be liable to the shareholders and the company. Because the financial statements were fraudulently prepared, liability </w:t>
      </w:r>
      <w:r>
        <w:rPr>
          <w:rFonts w:ascii="Verdana" w:hAnsi="Verdana"/>
          <w:sz w:val="20"/>
        </w:rPr>
        <w:t>may run to third parties under Fair T</w:t>
      </w:r>
      <w:r w:rsidRPr="00FB366D">
        <w:rPr>
          <w:rFonts w:ascii="Verdana" w:hAnsi="Verdana"/>
          <w:sz w:val="20"/>
        </w:rPr>
        <w:t>rading legislation. Fraud can be either actual or constructive. Here, there was no a</w:t>
      </w:r>
      <w:r>
        <w:rPr>
          <w:rFonts w:ascii="Verdana" w:hAnsi="Verdana"/>
          <w:sz w:val="20"/>
        </w:rPr>
        <w:t xml:space="preserve">ctual fraud on the part of Ji </w:t>
      </w:r>
      <w:r w:rsidRPr="00FB366D">
        <w:rPr>
          <w:rFonts w:ascii="Verdana" w:hAnsi="Verdana"/>
          <w:sz w:val="20"/>
        </w:rPr>
        <w:t>or the firm in that there was no deliberate falsehood made with the r</w:t>
      </w:r>
      <w:r>
        <w:rPr>
          <w:rFonts w:ascii="Verdana" w:hAnsi="Verdana"/>
          <w:sz w:val="20"/>
        </w:rPr>
        <w:t xml:space="preserve">equisite intent to deceive. </w:t>
      </w:r>
      <w:r w:rsidRPr="00FB366D">
        <w:rPr>
          <w:rFonts w:ascii="Verdana" w:hAnsi="Verdana"/>
          <w:sz w:val="20"/>
        </w:rPr>
        <w:t>However, it would appear that constructive fraud may be present. Constructive fraud is found where the auditor</w:t>
      </w:r>
      <w:r>
        <w:rPr>
          <w:rFonts w:ascii="Verdana" w:hAnsi="Verdana"/>
          <w:sz w:val="20"/>
        </w:rPr>
        <w:t>’</w:t>
      </w:r>
      <w:r w:rsidRPr="00FB366D">
        <w:rPr>
          <w:rFonts w:ascii="Verdana" w:hAnsi="Verdana"/>
          <w:sz w:val="20"/>
        </w:rPr>
        <w:t>s performance is found to be grossly negligent. That is, the auditor really had either no basis or so flimsy a basis for his or her opinion that he or she has manifested a reckles</w:t>
      </w:r>
      <w:r>
        <w:rPr>
          <w:rFonts w:ascii="Verdana" w:hAnsi="Verdana"/>
          <w:sz w:val="20"/>
        </w:rPr>
        <w:t>s disregard for the truth. Ji’</w:t>
      </w:r>
      <w:r w:rsidRPr="00FB366D">
        <w:rPr>
          <w:rFonts w:ascii="Verdana" w:hAnsi="Verdana"/>
          <w:sz w:val="20"/>
        </w:rPr>
        <w:t>s disregard for standard auditing procedures would seem to indicate such gross negligence and, therefore, the firm may be liable to third parties who relied on the financial statements and suffered a loss as a result. A contributory negligence defence may succeed if it is not the statutory audit.</w:t>
      </w:r>
    </w:p>
    <w:p w:rsidR="006213B4" w:rsidRPr="00FB366D" w:rsidRDefault="006213B4" w:rsidP="006213B4">
      <w:pPr>
        <w:tabs>
          <w:tab w:val="left" w:pos="0"/>
          <w:tab w:val="left" w:pos="1440"/>
          <w:tab w:val="left" w:pos="2160"/>
          <w:tab w:val="left" w:pos="2880"/>
          <w:tab w:val="left" w:pos="3600"/>
          <w:tab w:val="left" w:pos="4320"/>
          <w:tab w:val="left" w:pos="5040"/>
          <w:tab w:val="left" w:pos="5760"/>
          <w:tab w:val="left" w:pos="6480"/>
          <w:tab w:val="left" w:pos="7200"/>
        </w:tabs>
        <w:spacing w:line="360" w:lineRule="auto"/>
        <w:ind w:right="18"/>
        <w:rPr>
          <w:rFonts w:ascii="Verdana" w:hAnsi="Verdana"/>
          <w:sz w:val="20"/>
        </w:rPr>
      </w:pPr>
    </w:p>
    <w:p w:rsidR="006213B4" w:rsidRDefault="006213B4" w:rsidP="006213B4">
      <w:pPr>
        <w:tabs>
          <w:tab w:val="left" w:pos="0"/>
          <w:tab w:val="left" w:pos="1134"/>
        </w:tabs>
        <w:spacing w:line="360" w:lineRule="auto"/>
        <w:ind w:right="18"/>
        <w:jc w:val="both"/>
        <w:rPr>
          <w:rFonts w:ascii="Verdana" w:hAnsi="Verdana"/>
          <w:sz w:val="20"/>
        </w:rPr>
      </w:pPr>
      <w:r w:rsidRPr="00FB366D">
        <w:rPr>
          <w:rFonts w:ascii="Verdana" w:hAnsi="Verdana"/>
          <w:b/>
          <w:sz w:val="20"/>
        </w:rPr>
        <w:t>2-1</w:t>
      </w:r>
      <w:r>
        <w:rPr>
          <w:rFonts w:ascii="Verdana" w:hAnsi="Verdana"/>
          <w:b/>
          <w:sz w:val="20"/>
        </w:rPr>
        <w:t>8</w:t>
      </w:r>
      <w:r>
        <w:rPr>
          <w:rFonts w:ascii="Verdana" w:hAnsi="Verdana"/>
          <w:sz w:val="20"/>
        </w:rPr>
        <w:tab/>
      </w:r>
      <w:r w:rsidRPr="00FB366D">
        <w:rPr>
          <w:rFonts w:ascii="Verdana" w:hAnsi="Verdana"/>
          <w:sz w:val="20"/>
        </w:rPr>
        <w:t xml:space="preserve">The answers provided in this section assume the traditional legal relationship exists between the audit </w:t>
      </w:r>
      <w:r>
        <w:rPr>
          <w:rFonts w:ascii="Verdana" w:hAnsi="Verdana"/>
          <w:sz w:val="20"/>
        </w:rPr>
        <w:t>firm and the third-</w:t>
      </w:r>
      <w:r w:rsidRPr="00FB366D">
        <w:rPr>
          <w:rFonts w:ascii="Verdana" w:hAnsi="Verdana"/>
          <w:sz w:val="20"/>
        </w:rPr>
        <w:t>party user; that is, there is no privity of contract,</w:t>
      </w:r>
      <w:r>
        <w:rPr>
          <w:rFonts w:ascii="Verdana" w:hAnsi="Verdana"/>
          <w:sz w:val="20"/>
        </w:rPr>
        <w:t xml:space="preserve"> the known versus unknown third-</w:t>
      </w:r>
      <w:r w:rsidRPr="00FB366D">
        <w:rPr>
          <w:rFonts w:ascii="Verdana" w:hAnsi="Verdana"/>
          <w:sz w:val="20"/>
        </w:rPr>
        <w:t>party user is not a significant issue, and clear negligence is required before there can be liability.</w:t>
      </w:r>
    </w:p>
    <w:p w:rsidR="006213B4" w:rsidRPr="00FB366D" w:rsidRDefault="006213B4" w:rsidP="006213B4">
      <w:pPr>
        <w:tabs>
          <w:tab w:val="left" w:pos="0"/>
          <w:tab w:val="left" w:pos="1134"/>
        </w:tabs>
        <w:spacing w:line="360" w:lineRule="auto"/>
        <w:ind w:right="18"/>
        <w:jc w:val="both"/>
        <w:rPr>
          <w:rFonts w:ascii="Verdana" w:hAnsi="Verdana"/>
          <w:sz w:val="20"/>
        </w:rPr>
      </w:pPr>
    </w:p>
    <w:p w:rsidR="006213B4" w:rsidRDefault="006213B4" w:rsidP="006213B4">
      <w:pPr>
        <w:tabs>
          <w:tab w:val="left" w:pos="-2694"/>
          <w:tab w:val="left" w:pos="2016"/>
          <w:tab w:val="left" w:pos="2736"/>
          <w:tab w:val="left" w:pos="3456"/>
          <w:tab w:val="left" w:pos="4176"/>
          <w:tab w:val="left" w:pos="4896"/>
          <w:tab w:val="left" w:pos="5616"/>
          <w:tab w:val="left" w:pos="6336"/>
          <w:tab w:val="left" w:pos="7056"/>
          <w:tab w:val="left" w:pos="12616"/>
          <w:tab w:val="left" w:pos="14459"/>
          <w:tab w:val="left" w:pos="15309"/>
          <w:tab w:val="left" w:pos="16160"/>
          <w:tab w:val="left" w:pos="16302"/>
        </w:tabs>
        <w:spacing w:line="360" w:lineRule="auto"/>
        <w:ind w:left="1134" w:right="17" w:hanging="425"/>
        <w:jc w:val="both"/>
        <w:rPr>
          <w:rFonts w:ascii="Verdana" w:hAnsi="Verdana"/>
          <w:sz w:val="20"/>
        </w:rPr>
      </w:pPr>
      <w:r>
        <w:rPr>
          <w:rFonts w:ascii="Verdana" w:hAnsi="Verdana"/>
          <w:sz w:val="20"/>
        </w:rPr>
        <w:t>a</w:t>
      </w:r>
      <w:r w:rsidRPr="00FB366D">
        <w:rPr>
          <w:rFonts w:ascii="Verdana" w:hAnsi="Verdana"/>
          <w:sz w:val="20"/>
        </w:rPr>
        <w:t xml:space="preserve">. </w:t>
      </w:r>
      <w:r w:rsidRPr="00FB366D">
        <w:rPr>
          <w:rFonts w:ascii="Verdana" w:hAnsi="Verdana"/>
          <w:sz w:val="20"/>
        </w:rPr>
        <w:tab/>
        <w:t>False. Gross negligence (constructive fraud) will probably be treated as actual fraud in determining who may recover from the firm.</w:t>
      </w:r>
    </w:p>
    <w:p w:rsidR="006213B4" w:rsidRPr="00FB366D" w:rsidRDefault="006213B4" w:rsidP="006213B4">
      <w:pPr>
        <w:tabs>
          <w:tab w:val="left" w:pos="-2694"/>
          <w:tab w:val="left" w:pos="12616"/>
          <w:tab w:val="left" w:pos="14459"/>
          <w:tab w:val="left" w:pos="15309"/>
          <w:tab w:val="left" w:pos="16160"/>
          <w:tab w:val="left" w:pos="16302"/>
        </w:tabs>
        <w:spacing w:line="360" w:lineRule="auto"/>
        <w:ind w:left="1134" w:right="17" w:hanging="425"/>
        <w:jc w:val="both"/>
        <w:rPr>
          <w:rFonts w:ascii="Verdana" w:hAnsi="Verdana"/>
          <w:sz w:val="20"/>
        </w:rPr>
      </w:pPr>
      <w:r>
        <w:rPr>
          <w:rFonts w:ascii="Verdana" w:hAnsi="Verdana"/>
          <w:sz w:val="20"/>
        </w:rPr>
        <w:t>b</w:t>
      </w:r>
      <w:r w:rsidRPr="00FB366D">
        <w:rPr>
          <w:rFonts w:ascii="Verdana" w:hAnsi="Verdana"/>
          <w:sz w:val="20"/>
        </w:rPr>
        <w:t xml:space="preserve">. </w:t>
      </w:r>
      <w:r w:rsidRPr="00FB366D">
        <w:rPr>
          <w:rFonts w:ascii="Verdana" w:hAnsi="Verdana"/>
          <w:sz w:val="20"/>
        </w:rPr>
        <w:tab/>
        <w:t xml:space="preserve">False. There was no privity of contract between </w:t>
      </w:r>
      <w:r>
        <w:rPr>
          <w:rFonts w:ascii="Verdana" w:hAnsi="Verdana"/>
          <w:sz w:val="20"/>
        </w:rPr>
        <w:t>Spitz &amp; Resuello</w:t>
      </w:r>
      <w:r w:rsidRPr="00FB366D">
        <w:rPr>
          <w:rFonts w:ascii="Verdana" w:hAnsi="Verdana"/>
          <w:sz w:val="20"/>
        </w:rPr>
        <w:t xml:space="preserve"> and </w:t>
      </w:r>
      <w:r>
        <w:rPr>
          <w:rFonts w:ascii="Verdana" w:hAnsi="Verdana"/>
          <w:sz w:val="20"/>
        </w:rPr>
        <w:t>Ditipu</w:t>
      </w:r>
      <w:r w:rsidRPr="00FB366D">
        <w:rPr>
          <w:rFonts w:ascii="Verdana" w:hAnsi="Verdana"/>
          <w:sz w:val="20"/>
        </w:rPr>
        <w:t>. Therefore, negligence will not be sufficient</w:t>
      </w:r>
      <w:r>
        <w:rPr>
          <w:rFonts w:ascii="Verdana" w:hAnsi="Verdana"/>
          <w:sz w:val="20"/>
        </w:rPr>
        <w:t xml:space="preserve"> for recovery. An action under Fair T</w:t>
      </w:r>
      <w:r w:rsidRPr="00FB366D">
        <w:rPr>
          <w:rFonts w:ascii="Verdana" w:hAnsi="Verdana"/>
          <w:sz w:val="20"/>
        </w:rPr>
        <w:t>rading legislation might succeed.</w:t>
      </w:r>
    </w:p>
    <w:p w:rsidR="006213B4" w:rsidRDefault="006213B4" w:rsidP="006213B4">
      <w:pPr>
        <w:pStyle w:val="BlockText"/>
        <w:tabs>
          <w:tab w:val="clear" w:pos="709"/>
          <w:tab w:val="left" w:pos="-2694"/>
          <w:tab w:val="left" w:pos="12616"/>
          <w:tab w:val="left" w:pos="14459"/>
          <w:tab w:val="left" w:pos="15309"/>
          <w:tab w:val="left" w:pos="16160"/>
          <w:tab w:val="left" w:pos="16302"/>
        </w:tabs>
        <w:spacing w:line="360" w:lineRule="auto"/>
        <w:ind w:left="1134" w:hanging="425"/>
        <w:rPr>
          <w:rFonts w:ascii="Verdana" w:hAnsi="Verdana"/>
          <w:sz w:val="20"/>
        </w:rPr>
      </w:pPr>
      <w:r>
        <w:rPr>
          <w:rFonts w:ascii="Verdana" w:hAnsi="Verdana"/>
          <w:sz w:val="20"/>
        </w:rPr>
        <w:t>c</w:t>
      </w:r>
      <w:r w:rsidRPr="00FB366D">
        <w:rPr>
          <w:rFonts w:ascii="Verdana" w:hAnsi="Verdana"/>
          <w:sz w:val="20"/>
        </w:rPr>
        <w:t xml:space="preserve">. </w:t>
      </w:r>
      <w:r w:rsidRPr="00FB366D">
        <w:rPr>
          <w:rFonts w:ascii="Verdana" w:hAnsi="Verdana"/>
          <w:sz w:val="20"/>
        </w:rPr>
        <w:tab/>
        <w:t xml:space="preserve">False. </w:t>
      </w:r>
      <w:r>
        <w:rPr>
          <w:rFonts w:ascii="Verdana" w:hAnsi="Verdana"/>
          <w:sz w:val="20"/>
        </w:rPr>
        <w:t>Ditipu</w:t>
      </w:r>
      <w:r w:rsidRPr="00FB366D">
        <w:rPr>
          <w:rFonts w:ascii="Verdana" w:hAnsi="Verdana"/>
          <w:sz w:val="20"/>
        </w:rPr>
        <w:t xml:space="preserve"> is an unknown third party and will probably be able to recover damages only in the case of fraud.</w:t>
      </w:r>
    </w:p>
    <w:p w:rsidR="006213B4" w:rsidRPr="00FB366D" w:rsidRDefault="006213B4" w:rsidP="006213B4">
      <w:pPr>
        <w:tabs>
          <w:tab w:val="left" w:pos="-2694"/>
          <w:tab w:val="left" w:pos="12616"/>
          <w:tab w:val="left" w:pos="14459"/>
          <w:tab w:val="left" w:pos="15309"/>
          <w:tab w:val="left" w:pos="16160"/>
          <w:tab w:val="left" w:pos="16302"/>
        </w:tabs>
        <w:spacing w:line="360" w:lineRule="auto"/>
        <w:ind w:left="1134" w:right="17" w:hanging="425"/>
        <w:jc w:val="both"/>
        <w:rPr>
          <w:rFonts w:ascii="Verdana" w:hAnsi="Verdana"/>
          <w:sz w:val="20"/>
        </w:rPr>
      </w:pPr>
      <w:r>
        <w:rPr>
          <w:rFonts w:ascii="Verdana" w:hAnsi="Verdana"/>
          <w:sz w:val="20"/>
        </w:rPr>
        <w:t xml:space="preserve">d. </w:t>
      </w:r>
      <w:r>
        <w:rPr>
          <w:rFonts w:ascii="Verdana" w:hAnsi="Verdana"/>
          <w:sz w:val="20"/>
        </w:rPr>
        <w:tab/>
        <w:t>True. See b</w:t>
      </w:r>
      <w:r w:rsidRPr="00FB366D">
        <w:rPr>
          <w:rFonts w:ascii="Verdana" w:hAnsi="Verdana"/>
          <w:sz w:val="20"/>
        </w:rPr>
        <w:t>.</w:t>
      </w:r>
    </w:p>
    <w:p w:rsidR="006213B4" w:rsidRPr="00FB366D" w:rsidRDefault="006213B4" w:rsidP="006213B4">
      <w:pPr>
        <w:pStyle w:val="BlockText"/>
        <w:tabs>
          <w:tab w:val="clear" w:pos="709"/>
          <w:tab w:val="left" w:pos="-2694"/>
          <w:tab w:val="left" w:pos="12616"/>
          <w:tab w:val="left" w:pos="14459"/>
          <w:tab w:val="left" w:pos="15309"/>
          <w:tab w:val="left" w:pos="16160"/>
          <w:tab w:val="left" w:pos="16302"/>
        </w:tabs>
        <w:spacing w:line="360" w:lineRule="auto"/>
        <w:ind w:left="1134" w:hanging="425"/>
        <w:rPr>
          <w:rFonts w:ascii="Verdana" w:hAnsi="Verdana"/>
          <w:sz w:val="20"/>
        </w:rPr>
      </w:pPr>
    </w:p>
    <w:p w:rsidR="006213B4" w:rsidRPr="00FB366D" w:rsidRDefault="006213B4" w:rsidP="006213B4">
      <w:pPr>
        <w:tabs>
          <w:tab w:val="left" w:pos="709"/>
        </w:tabs>
        <w:spacing w:line="360" w:lineRule="auto"/>
        <w:ind w:left="709" w:right="17" w:hanging="357"/>
        <w:rPr>
          <w:rFonts w:ascii="Verdana" w:hAnsi="Verdana"/>
          <w:sz w:val="20"/>
        </w:rPr>
      </w:pPr>
    </w:p>
    <w:p w:rsidR="006213B4" w:rsidRPr="00FB366D" w:rsidRDefault="006213B4" w:rsidP="006213B4">
      <w:pPr>
        <w:tabs>
          <w:tab w:val="left" w:pos="709"/>
          <w:tab w:val="left" w:pos="1134"/>
        </w:tabs>
        <w:spacing w:line="360" w:lineRule="auto"/>
        <w:ind w:left="1134" w:hanging="1134"/>
        <w:jc w:val="both"/>
        <w:rPr>
          <w:rFonts w:ascii="Verdana" w:hAnsi="Verdana"/>
          <w:sz w:val="20"/>
        </w:rPr>
      </w:pPr>
      <w:r w:rsidRPr="00FB366D">
        <w:rPr>
          <w:rFonts w:ascii="Verdana" w:hAnsi="Verdana"/>
          <w:b/>
          <w:sz w:val="20"/>
        </w:rPr>
        <w:t>2-</w:t>
      </w:r>
      <w:r>
        <w:rPr>
          <w:rFonts w:ascii="Verdana" w:hAnsi="Verdana"/>
          <w:b/>
          <w:sz w:val="20"/>
        </w:rPr>
        <w:t>19</w:t>
      </w:r>
      <w:r w:rsidRPr="00FB366D">
        <w:rPr>
          <w:rFonts w:ascii="Verdana" w:hAnsi="Verdana"/>
          <w:sz w:val="20"/>
        </w:rPr>
        <w:tab/>
        <w:t xml:space="preserve">a. </w:t>
      </w:r>
      <w:r w:rsidRPr="00FB366D">
        <w:rPr>
          <w:rFonts w:ascii="Verdana" w:hAnsi="Verdana"/>
          <w:sz w:val="20"/>
        </w:rPr>
        <w:tab/>
        <w:t>The over-valuation of Sydney inventory would probably have been discovered using standard audit procedures for valuing inventory. Auditors have an obligation to see for themselves, and so should have verified the Bathurst inventory</w:t>
      </w:r>
      <w:r>
        <w:rPr>
          <w:rFonts w:ascii="Verdana" w:hAnsi="Verdana"/>
          <w:sz w:val="20"/>
        </w:rPr>
        <w:t>—</w:t>
      </w:r>
      <w:r w:rsidRPr="00FB366D">
        <w:rPr>
          <w:rFonts w:ascii="Verdana" w:hAnsi="Verdana"/>
          <w:sz w:val="20"/>
        </w:rPr>
        <w:t>especially given its materiality. The auditor is unlikely to be liable to the client for subsequent losses even though they appear to have been negligent.</w:t>
      </w:r>
    </w:p>
    <w:p w:rsidR="006213B4" w:rsidRPr="00FB366D" w:rsidRDefault="006213B4" w:rsidP="006213B4">
      <w:pPr>
        <w:pStyle w:val="BodyTextIndent"/>
        <w:tabs>
          <w:tab w:val="clear" w:pos="540"/>
          <w:tab w:val="clear" w:pos="2160"/>
          <w:tab w:val="clear" w:pos="2880"/>
          <w:tab w:val="clear" w:pos="3600"/>
          <w:tab w:val="clear" w:pos="4320"/>
          <w:tab w:val="clear" w:pos="5040"/>
          <w:tab w:val="clear" w:pos="5760"/>
          <w:tab w:val="clear" w:pos="6480"/>
          <w:tab w:val="clear" w:pos="7200"/>
          <w:tab w:val="left" w:pos="709"/>
        </w:tabs>
        <w:spacing w:line="360" w:lineRule="auto"/>
        <w:rPr>
          <w:rFonts w:ascii="Verdana" w:hAnsi="Verdana"/>
          <w:sz w:val="20"/>
        </w:rPr>
      </w:pPr>
      <w:r w:rsidRPr="00FB366D">
        <w:rPr>
          <w:rFonts w:ascii="Verdana" w:hAnsi="Verdana"/>
          <w:sz w:val="20"/>
        </w:rPr>
        <w:tab/>
        <w:t xml:space="preserve">b. </w:t>
      </w:r>
      <w:r w:rsidRPr="00FB366D">
        <w:rPr>
          <w:rFonts w:ascii="Verdana" w:hAnsi="Verdana"/>
          <w:sz w:val="20"/>
        </w:rPr>
        <w:tab/>
        <w:t>The principle defence is lack of privity of contract. A secondary defence based on contributory negligence (which would only affect the auditors</w:t>
      </w:r>
      <w:r>
        <w:rPr>
          <w:rFonts w:ascii="Verdana" w:hAnsi="Verdana"/>
          <w:sz w:val="20"/>
        </w:rPr>
        <w:t>’</w:t>
      </w:r>
      <w:r w:rsidRPr="00FB366D">
        <w:rPr>
          <w:rFonts w:ascii="Verdana" w:hAnsi="Verdana"/>
          <w:sz w:val="20"/>
        </w:rPr>
        <w:t xml:space="preserve"> share of Cornerd</w:t>
      </w:r>
      <w:r>
        <w:rPr>
          <w:rFonts w:ascii="Verdana" w:hAnsi="Verdana"/>
          <w:sz w:val="20"/>
        </w:rPr>
        <w:t>’s losses)</w:t>
      </w:r>
      <w:r w:rsidRPr="00FB366D">
        <w:rPr>
          <w:rFonts w:ascii="Verdana" w:hAnsi="Verdana"/>
          <w:sz w:val="20"/>
        </w:rPr>
        <w:t xml:space="preserve"> could be used as a fallback should they be unsuccessful with the lack of privity defence.</w:t>
      </w:r>
    </w:p>
    <w:p w:rsidR="006213B4" w:rsidRDefault="006213B4" w:rsidP="006213B4">
      <w:pPr>
        <w:tabs>
          <w:tab w:val="left" w:pos="-432"/>
          <w:tab w:val="left" w:pos="706"/>
          <w:tab w:val="left" w:pos="1180"/>
          <w:tab w:val="left" w:pos="1654"/>
          <w:tab w:val="left" w:pos="2128"/>
          <w:tab w:val="left" w:pos="2602"/>
        </w:tabs>
        <w:spacing w:line="360" w:lineRule="auto"/>
        <w:jc w:val="both"/>
        <w:rPr>
          <w:rFonts w:ascii="Verdana" w:hAnsi="Verdana"/>
          <w:b/>
          <w:i/>
          <w:sz w:val="28"/>
        </w:rPr>
      </w:pPr>
    </w:p>
    <w:p w:rsidR="006213B4" w:rsidRPr="00EB687B" w:rsidRDefault="006213B4" w:rsidP="006213B4">
      <w:pPr>
        <w:tabs>
          <w:tab w:val="left" w:pos="-432"/>
          <w:tab w:val="left" w:pos="706"/>
          <w:tab w:val="left" w:pos="1180"/>
          <w:tab w:val="left" w:pos="1654"/>
          <w:tab w:val="left" w:pos="2128"/>
          <w:tab w:val="left" w:pos="2602"/>
        </w:tabs>
        <w:spacing w:line="360" w:lineRule="auto"/>
        <w:jc w:val="both"/>
        <w:rPr>
          <w:rFonts w:ascii="Verdana" w:hAnsi="Verdana"/>
          <w:b/>
          <w:i/>
          <w:sz w:val="28"/>
        </w:rPr>
      </w:pPr>
      <w:r>
        <w:rPr>
          <w:rFonts w:ascii="Verdana" w:hAnsi="Verdana"/>
          <w:b/>
          <w:i/>
          <w:sz w:val="28"/>
        </w:rPr>
        <w:br w:type="page"/>
      </w:r>
      <w:r w:rsidRPr="00EB687B">
        <w:rPr>
          <w:rFonts w:ascii="Verdana" w:hAnsi="Verdana"/>
          <w:b/>
          <w:i/>
          <w:sz w:val="28"/>
        </w:rPr>
        <w:lastRenderedPageBreak/>
        <w:t>Case</w:t>
      </w:r>
    </w:p>
    <w:p w:rsidR="006213B4" w:rsidRPr="00FB366D" w:rsidRDefault="006213B4" w:rsidP="006213B4">
      <w:pPr>
        <w:tabs>
          <w:tab w:val="left" w:pos="709"/>
          <w:tab w:val="left" w:pos="1134"/>
        </w:tabs>
        <w:spacing w:line="360" w:lineRule="auto"/>
        <w:ind w:left="1134" w:hanging="1134"/>
        <w:jc w:val="both"/>
        <w:rPr>
          <w:rFonts w:ascii="Verdana" w:hAnsi="Verdana"/>
          <w:sz w:val="20"/>
          <w:u w:val="single"/>
        </w:rPr>
      </w:pPr>
    </w:p>
    <w:p w:rsidR="006213B4" w:rsidRPr="00FB366D" w:rsidRDefault="006213B4" w:rsidP="006213B4">
      <w:pPr>
        <w:widowControl w:val="0"/>
        <w:tabs>
          <w:tab w:val="left" w:pos="567"/>
          <w:tab w:val="left" w:pos="1134"/>
        </w:tabs>
        <w:spacing w:line="360" w:lineRule="auto"/>
        <w:ind w:left="1134" w:hanging="1134"/>
        <w:jc w:val="both"/>
        <w:rPr>
          <w:rFonts w:ascii="Verdana" w:hAnsi="Verdana"/>
          <w:sz w:val="20"/>
        </w:rPr>
      </w:pPr>
      <w:r w:rsidRPr="00FB366D">
        <w:rPr>
          <w:rFonts w:ascii="Verdana" w:hAnsi="Verdana"/>
          <w:b/>
          <w:sz w:val="20"/>
        </w:rPr>
        <w:t>2-2</w:t>
      </w:r>
      <w:r>
        <w:rPr>
          <w:rFonts w:ascii="Verdana" w:hAnsi="Verdana"/>
          <w:b/>
          <w:sz w:val="20"/>
        </w:rPr>
        <w:t>0</w:t>
      </w:r>
      <w:r>
        <w:rPr>
          <w:rFonts w:ascii="Verdana" w:hAnsi="Verdana"/>
          <w:sz w:val="20"/>
        </w:rPr>
        <w:t xml:space="preserve"> </w:t>
      </w:r>
      <w:r w:rsidRPr="00FB366D">
        <w:rPr>
          <w:rFonts w:ascii="Verdana" w:hAnsi="Verdana"/>
          <w:sz w:val="20"/>
        </w:rPr>
        <w:t>a, b.</w:t>
      </w:r>
      <w:r w:rsidRPr="00FB366D">
        <w:rPr>
          <w:rFonts w:ascii="Verdana" w:hAnsi="Verdana"/>
          <w:sz w:val="20"/>
        </w:rPr>
        <w:tab/>
        <w:t>For the</w:t>
      </w:r>
      <w:r>
        <w:rPr>
          <w:rFonts w:ascii="Verdana" w:hAnsi="Verdana"/>
          <w:sz w:val="20"/>
        </w:rPr>
        <w:t xml:space="preserve"> charge of fraud to prevail, Nu</w:t>
      </w:r>
      <w:r w:rsidRPr="00FB366D">
        <w:rPr>
          <w:rFonts w:ascii="Verdana" w:hAnsi="Verdana"/>
          <w:sz w:val="20"/>
        </w:rPr>
        <w:t xml:space="preserve">Wave must show that Dell Dingle &amp; Pritchard had knowledge of fraud or had recklessly disregarded the truth (to establish that the auditors acted with </w:t>
      </w:r>
      <w:r w:rsidRPr="008C4C60">
        <w:rPr>
          <w:rFonts w:ascii="Verdana" w:hAnsi="Verdana"/>
          <w:sz w:val="20"/>
        </w:rPr>
        <w:t>scienter</w:t>
      </w:r>
      <w:r w:rsidRPr="00FB366D">
        <w:rPr>
          <w:rFonts w:ascii="Verdana" w:hAnsi="Verdana"/>
          <w:sz w:val="20"/>
        </w:rPr>
        <w:t>).</w:t>
      </w:r>
    </w:p>
    <w:p w:rsidR="006213B4" w:rsidRDefault="006213B4" w:rsidP="006213B4">
      <w:pPr>
        <w:widowControl w:val="0"/>
        <w:tabs>
          <w:tab w:val="left" w:pos="567"/>
          <w:tab w:val="left" w:pos="1134"/>
        </w:tabs>
        <w:spacing w:line="360" w:lineRule="auto"/>
        <w:ind w:left="1134" w:firstLine="567"/>
        <w:jc w:val="both"/>
        <w:rPr>
          <w:rFonts w:ascii="Verdana" w:hAnsi="Verdana"/>
          <w:sz w:val="20"/>
        </w:rPr>
      </w:pPr>
      <w:r>
        <w:rPr>
          <w:rFonts w:ascii="Verdana" w:hAnsi="Verdana"/>
          <w:sz w:val="20"/>
        </w:rPr>
        <w:t>The circumstances suggest NuWave was an intended third-</w:t>
      </w:r>
      <w:r w:rsidRPr="00FB366D">
        <w:rPr>
          <w:rFonts w:ascii="Verdana" w:hAnsi="Verdana"/>
          <w:sz w:val="20"/>
        </w:rPr>
        <w:t>party beneficiary of the audit contract. Depending on interpretation of the circumstances, they may enjoy privity, effectively creating a</w:t>
      </w:r>
      <w:r>
        <w:rPr>
          <w:rFonts w:ascii="Verdana" w:hAnsi="Verdana"/>
          <w:sz w:val="20"/>
        </w:rPr>
        <w:t xml:space="preserve"> direct relationship between Nu</w:t>
      </w:r>
      <w:r w:rsidRPr="00FB366D">
        <w:rPr>
          <w:rFonts w:ascii="Verdana" w:hAnsi="Verdana"/>
          <w:sz w:val="20"/>
        </w:rPr>
        <w:t>Wave and the auditors. If a privity (or lack of proximity) defence failed, the auditors would best rely on an absence of negligence or a contributory negligence defence. For a negligence action to succeed, it is necessary to show that the auditors failed to take reasonable care and skill, or failed to accord with accepted auditing standards.</w:t>
      </w:r>
    </w:p>
    <w:p w:rsidR="006213B4" w:rsidRPr="00FB366D" w:rsidRDefault="006213B4" w:rsidP="006213B4">
      <w:pPr>
        <w:widowControl w:val="0"/>
        <w:tabs>
          <w:tab w:val="left" w:pos="567"/>
          <w:tab w:val="left" w:pos="1134"/>
        </w:tabs>
        <w:spacing w:line="360" w:lineRule="auto"/>
        <w:ind w:left="1134" w:firstLine="567"/>
        <w:jc w:val="both"/>
        <w:rPr>
          <w:rFonts w:ascii="Verdana" w:hAnsi="Verdana"/>
          <w:sz w:val="20"/>
        </w:rPr>
      </w:pPr>
    </w:p>
    <w:p w:rsidR="006213B4" w:rsidRDefault="006213B4" w:rsidP="006213B4">
      <w:pPr>
        <w:pStyle w:val="BodyTextIndent3"/>
        <w:spacing w:line="360" w:lineRule="auto"/>
        <w:jc w:val="both"/>
        <w:rPr>
          <w:rFonts w:ascii="Verdana" w:hAnsi="Verdana"/>
          <w:sz w:val="20"/>
        </w:rPr>
      </w:pPr>
      <w:r w:rsidRPr="00FB366D">
        <w:rPr>
          <w:rFonts w:ascii="Verdana" w:hAnsi="Verdana"/>
          <w:sz w:val="20"/>
        </w:rPr>
        <w:tab/>
        <w:t xml:space="preserve">c. </w:t>
      </w:r>
      <w:r w:rsidRPr="00FB366D">
        <w:rPr>
          <w:rFonts w:ascii="Verdana" w:hAnsi="Verdana"/>
          <w:sz w:val="20"/>
        </w:rPr>
        <w:tab/>
        <w:t xml:space="preserve">Sections pertaining to the position of officers of </w:t>
      </w:r>
      <w:r>
        <w:rPr>
          <w:rFonts w:ascii="Verdana" w:hAnsi="Verdana"/>
          <w:sz w:val="20"/>
        </w:rPr>
        <w:t>Megadon include s. 1308(</w:t>
      </w:r>
      <w:r w:rsidRPr="00FB366D">
        <w:rPr>
          <w:rFonts w:ascii="Verdana" w:hAnsi="Verdana"/>
          <w:sz w:val="20"/>
        </w:rPr>
        <w:t>9</w:t>
      </w:r>
      <w:r>
        <w:rPr>
          <w:rFonts w:ascii="Verdana" w:hAnsi="Verdana"/>
          <w:sz w:val="20"/>
        </w:rPr>
        <w:t>)</w:t>
      </w:r>
      <w:r w:rsidRPr="00FB366D">
        <w:rPr>
          <w:rFonts w:ascii="Verdana" w:hAnsi="Verdana"/>
          <w:sz w:val="20"/>
        </w:rPr>
        <w:t xml:space="preserve"> (false or misleading state</w:t>
      </w:r>
      <w:r>
        <w:rPr>
          <w:rFonts w:ascii="Verdana" w:hAnsi="Verdana"/>
          <w:sz w:val="20"/>
        </w:rPr>
        <w:t>ments/information) and 1311(</w:t>
      </w:r>
      <w:r w:rsidRPr="00FB366D">
        <w:rPr>
          <w:rFonts w:ascii="Verdana" w:hAnsi="Verdana"/>
          <w:sz w:val="20"/>
        </w:rPr>
        <w:t>2</w:t>
      </w:r>
      <w:r>
        <w:rPr>
          <w:rFonts w:ascii="Verdana" w:hAnsi="Verdana"/>
          <w:sz w:val="20"/>
        </w:rPr>
        <w:t>)</w:t>
      </w:r>
      <w:r w:rsidRPr="00FB366D">
        <w:rPr>
          <w:rFonts w:ascii="Verdana" w:hAnsi="Verdana"/>
          <w:sz w:val="20"/>
        </w:rPr>
        <w:t xml:space="preserve"> (penalties). If fraud is involved, see also </w:t>
      </w:r>
      <w:r>
        <w:rPr>
          <w:rFonts w:ascii="Verdana" w:hAnsi="Verdana"/>
          <w:sz w:val="20"/>
        </w:rPr>
        <w:t xml:space="preserve">ss. </w:t>
      </w:r>
      <w:r w:rsidRPr="00FB366D">
        <w:rPr>
          <w:rFonts w:ascii="Verdana" w:hAnsi="Verdana"/>
          <w:sz w:val="20"/>
        </w:rPr>
        <w:t xml:space="preserve">596 and 1307. </w:t>
      </w:r>
    </w:p>
    <w:p w:rsidR="006213B4" w:rsidRPr="00FB366D" w:rsidRDefault="006213B4" w:rsidP="006213B4">
      <w:pPr>
        <w:pStyle w:val="BodyTextIndent3"/>
        <w:spacing w:line="360" w:lineRule="auto"/>
        <w:jc w:val="both"/>
        <w:rPr>
          <w:rFonts w:ascii="Verdana" w:hAnsi="Verdana"/>
          <w:sz w:val="20"/>
        </w:rPr>
      </w:pPr>
    </w:p>
    <w:p w:rsidR="006213B4" w:rsidRDefault="006213B4" w:rsidP="006213B4">
      <w:pPr>
        <w:widowControl w:val="0"/>
        <w:tabs>
          <w:tab w:val="left" w:pos="567"/>
          <w:tab w:val="left" w:pos="1134"/>
        </w:tabs>
        <w:spacing w:before="120" w:line="360" w:lineRule="auto"/>
        <w:ind w:left="1134" w:hanging="1134"/>
        <w:jc w:val="both"/>
        <w:rPr>
          <w:rFonts w:ascii="Verdana" w:hAnsi="Verdana"/>
          <w:sz w:val="20"/>
        </w:rPr>
      </w:pPr>
      <w:r w:rsidRPr="00FB366D">
        <w:rPr>
          <w:rFonts w:ascii="Verdana" w:hAnsi="Verdana"/>
          <w:sz w:val="20"/>
        </w:rPr>
        <w:tab/>
        <w:t xml:space="preserve">d. </w:t>
      </w:r>
      <w:r w:rsidRPr="00FB366D">
        <w:rPr>
          <w:rFonts w:ascii="Verdana" w:hAnsi="Verdana"/>
          <w:sz w:val="20"/>
        </w:rPr>
        <w:tab/>
        <w:t xml:space="preserve">See the </w:t>
      </w:r>
      <w:r w:rsidRPr="00FB366D">
        <w:rPr>
          <w:rFonts w:ascii="Verdana" w:hAnsi="Verdana"/>
          <w:i/>
          <w:sz w:val="20"/>
          <w:lang w:val="en-US"/>
        </w:rPr>
        <w:t>Competition and Consumer Act 2010</w:t>
      </w:r>
      <w:r w:rsidRPr="00FB366D">
        <w:rPr>
          <w:rFonts w:ascii="Verdana" w:hAnsi="Verdana"/>
          <w:sz w:val="20"/>
        </w:rPr>
        <w:t>.</w:t>
      </w:r>
    </w:p>
    <w:p w:rsidR="006213B4" w:rsidRPr="00FB366D" w:rsidRDefault="006213B4" w:rsidP="006213B4">
      <w:pPr>
        <w:widowControl w:val="0"/>
        <w:tabs>
          <w:tab w:val="left" w:pos="567"/>
          <w:tab w:val="left" w:pos="1134"/>
        </w:tabs>
        <w:spacing w:before="120" w:line="360" w:lineRule="auto"/>
        <w:ind w:left="1134" w:hanging="1134"/>
        <w:jc w:val="both"/>
        <w:rPr>
          <w:rFonts w:ascii="Verdana" w:hAnsi="Verdana"/>
          <w:sz w:val="20"/>
        </w:rPr>
      </w:pPr>
    </w:p>
    <w:p w:rsidR="006213B4" w:rsidRDefault="006213B4" w:rsidP="006213B4">
      <w:pPr>
        <w:widowControl w:val="0"/>
        <w:tabs>
          <w:tab w:val="left" w:pos="567"/>
          <w:tab w:val="left" w:pos="1134"/>
        </w:tabs>
        <w:spacing w:before="120" w:line="360" w:lineRule="auto"/>
        <w:ind w:left="1134" w:hanging="1134"/>
        <w:jc w:val="both"/>
        <w:rPr>
          <w:rFonts w:ascii="Verdana" w:hAnsi="Verdana"/>
          <w:sz w:val="20"/>
        </w:rPr>
      </w:pPr>
      <w:r w:rsidRPr="00FB366D">
        <w:rPr>
          <w:rFonts w:ascii="Verdana" w:hAnsi="Verdana"/>
          <w:sz w:val="20"/>
        </w:rPr>
        <w:tab/>
        <w:t>e.</w:t>
      </w:r>
      <w:r w:rsidRPr="00FB366D">
        <w:rPr>
          <w:rFonts w:ascii="Verdana" w:hAnsi="Verdana"/>
          <w:sz w:val="20"/>
        </w:rPr>
        <w:tab/>
        <w:t xml:space="preserve">See a. and b. above. </w:t>
      </w:r>
    </w:p>
    <w:p w:rsidR="006213B4" w:rsidRPr="00FB366D" w:rsidRDefault="006213B4" w:rsidP="006213B4">
      <w:pPr>
        <w:widowControl w:val="0"/>
        <w:tabs>
          <w:tab w:val="left" w:pos="567"/>
          <w:tab w:val="left" w:pos="1134"/>
        </w:tabs>
        <w:spacing w:before="120" w:line="360" w:lineRule="auto"/>
        <w:ind w:left="1134" w:hanging="1134"/>
        <w:jc w:val="both"/>
        <w:rPr>
          <w:rFonts w:ascii="Verdana" w:hAnsi="Verdana"/>
          <w:sz w:val="20"/>
        </w:rPr>
      </w:pPr>
    </w:p>
    <w:p w:rsidR="006213B4" w:rsidRDefault="006213B4" w:rsidP="006213B4">
      <w:pPr>
        <w:widowControl w:val="0"/>
        <w:tabs>
          <w:tab w:val="left" w:pos="567"/>
          <w:tab w:val="left" w:pos="1134"/>
        </w:tabs>
        <w:spacing w:before="120" w:line="360" w:lineRule="auto"/>
        <w:ind w:left="1134" w:hanging="1134"/>
        <w:jc w:val="both"/>
        <w:rPr>
          <w:rFonts w:ascii="Verdana" w:hAnsi="Verdana"/>
          <w:sz w:val="20"/>
        </w:rPr>
      </w:pPr>
      <w:r w:rsidRPr="00FB366D">
        <w:rPr>
          <w:rFonts w:ascii="Verdana" w:hAnsi="Verdana"/>
          <w:sz w:val="20"/>
        </w:rPr>
        <w:tab/>
        <w:t xml:space="preserve">f. </w:t>
      </w:r>
      <w:r w:rsidRPr="00FB366D">
        <w:rPr>
          <w:rFonts w:ascii="Verdana" w:hAnsi="Verdana"/>
          <w:sz w:val="20"/>
        </w:rPr>
        <w:tab/>
        <w:t>This would depend largely on the privity of contract defence</w:t>
      </w:r>
      <w:r>
        <w:rPr>
          <w:rFonts w:ascii="Verdana" w:hAnsi="Verdana"/>
          <w:sz w:val="20"/>
        </w:rPr>
        <w:t>—whether Nu</w:t>
      </w:r>
      <w:r w:rsidRPr="00FB366D">
        <w:rPr>
          <w:rFonts w:ascii="Verdana" w:hAnsi="Verdana"/>
          <w:sz w:val="20"/>
        </w:rPr>
        <w:t>Wave was the known and intended third-party beneficiary. If the auditors are unsuccessful in a privity defence, then Nu-Wave should be able to recover damages. The extent of their recovery from the auditors would then depend on the success of a contributory negli</w:t>
      </w:r>
      <w:r>
        <w:rPr>
          <w:rFonts w:ascii="Verdana" w:hAnsi="Verdana"/>
          <w:sz w:val="20"/>
        </w:rPr>
        <w:t>gence defence by Megadon.</w:t>
      </w:r>
    </w:p>
    <w:p w:rsidR="006213B4" w:rsidRDefault="006213B4" w:rsidP="006213B4">
      <w:pPr>
        <w:widowControl w:val="0"/>
        <w:tabs>
          <w:tab w:val="left" w:pos="567"/>
          <w:tab w:val="left" w:pos="1134"/>
        </w:tabs>
        <w:spacing w:before="120" w:line="360" w:lineRule="auto"/>
        <w:ind w:left="1134" w:hanging="1134"/>
        <w:jc w:val="both"/>
        <w:rPr>
          <w:rFonts w:ascii="Verdana" w:hAnsi="Verdana"/>
          <w:sz w:val="20"/>
        </w:rPr>
      </w:pPr>
    </w:p>
    <w:p w:rsidR="006213B4" w:rsidRDefault="006213B4" w:rsidP="006213B4">
      <w:pPr>
        <w:tabs>
          <w:tab w:val="left" w:pos="0"/>
          <w:tab w:val="left" w:pos="1134"/>
          <w:tab w:val="left" w:pos="2160"/>
          <w:tab w:val="left" w:pos="2880"/>
          <w:tab w:val="left" w:pos="3600"/>
          <w:tab w:val="left" w:pos="4320"/>
          <w:tab w:val="left" w:pos="5040"/>
          <w:tab w:val="left" w:pos="5760"/>
          <w:tab w:val="left" w:pos="6480"/>
          <w:tab w:val="left" w:pos="7200"/>
        </w:tabs>
        <w:spacing w:line="360" w:lineRule="auto"/>
        <w:ind w:right="18"/>
        <w:jc w:val="both"/>
        <w:rPr>
          <w:rFonts w:ascii="Verdana" w:hAnsi="Verdana"/>
          <w:b/>
          <w:sz w:val="20"/>
        </w:rPr>
      </w:pPr>
    </w:p>
    <w:p w:rsidR="006213B4" w:rsidRDefault="006213B4" w:rsidP="006213B4">
      <w:pPr>
        <w:tabs>
          <w:tab w:val="left" w:pos="0"/>
          <w:tab w:val="left" w:pos="1134"/>
          <w:tab w:val="left" w:pos="2160"/>
          <w:tab w:val="left" w:pos="2880"/>
          <w:tab w:val="left" w:pos="3600"/>
          <w:tab w:val="left" w:pos="4320"/>
          <w:tab w:val="left" w:pos="5040"/>
          <w:tab w:val="left" w:pos="5760"/>
          <w:tab w:val="left" w:pos="6480"/>
          <w:tab w:val="left" w:pos="7200"/>
        </w:tabs>
        <w:spacing w:line="360" w:lineRule="auto"/>
        <w:ind w:right="18"/>
        <w:jc w:val="both"/>
        <w:rPr>
          <w:rFonts w:ascii="Verdana" w:hAnsi="Verdana"/>
          <w:b/>
          <w:sz w:val="20"/>
        </w:rPr>
      </w:pPr>
    </w:p>
    <w:p w:rsidR="006213B4" w:rsidRDefault="006213B4" w:rsidP="006213B4">
      <w:pPr>
        <w:tabs>
          <w:tab w:val="left" w:pos="0"/>
          <w:tab w:val="left" w:pos="1134"/>
          <w:tab w:val="left" w:pos="2160"/>
          <w:tab w:val="left" w:pos="2880"/>
          <w:tab w:val="left" w:pos="3600"/>
          <w:tab w:val="left" w:pos="4320"/>
          <w:tab w:val="left" w:pos="5040"/>
          <w:tab w:val="left" w:pos="5760"/>
          <w:tab w:val="left" w:pos="6480"/>
          <w:tab w:val="left" w:pos="7200"/>
        </w:tabs>
        <w:spacing w:line="360" w:lineRule="auto"/>
        <w:ind w:right="18"/>
        <w:jc w:val="both"/>
        <w:rPr>
          <w:rFonts w:ascii="Verdana" w:hAnsi="Verdana"/>
          <w:b/>
          <w:sz w:val="20"/>
        </w:rPr>
      </w:pPr>
    </w:p>
    <w:p w:rsidR="006213B4" w:rsidRPr="00FB366D" w:rsidRDefault="006213B4" w:rsidP="006213B4">
      <w:pPr>
        <w:tabs>
          <w:tab w:val="left" w:pos="0"/>
          <w:tab w:val="left" w:pos="1134"/>
          <w:tab w:val="left" w:pos="2160"/>
          <w:tab w:val="left" w:pos="2880"/>
          <w:tab w:val="left" w:pos="3600"/>
          <w:tab w:val="left" w:pos="4320"/>
          <w:tab w:val="left" w:pos="5040"/>
          <w:tab w:val="left" w:pos="5760"/>
          <w:tab w:val="left" w:pos="6480"/>
          <w:tab w:val="left" w:pos="7200"/>
        </w:tabs>
        <w:spacing w:line="360" w:lineRule="auto"/>
        <w:ind w:right="18"/>
        <w:jc w:val="both"/>
        <w:rPr>
          <w:rFonts w:ascii="Verdana" w:hAnsi="Verdana"/>
          <w:sz w:val="20"/>
        </w:rPr>
      </w:pPr>
      <w:r>
        <w:rPr>
          <w:rFonts w:ascii="Verdana" w:hAnsi="Verdana"/>
          <w:b/>
          <w:sz w:val="20"/>
        </w:rPr>
        <w:br w:type="page"/>
      </w:r>
      <w:r w:rsidRPr="00FB366D">
        <w:rPr>
          <w:rFonts w:ascii="Verdana" w:hAnsi="Verdana"/>
          <w:b/>
          <w:sz w:val="20"/>
        </w:rPr>
        <w:lastRenderedPageBreak/>
        <w:t>2-</w:t>
      </w:r>
      <w:r>
        <w:rPr>
          <w:rFonts w:ascii="Verdana" w:hAnsi="Verdana"/>
          <w:b/>
          <w:sz w:val="20"/>
        </w:rPr>
        <w:t>21</w:t>
      </w:r>
      <w:r>
        <w:rPr>
          <w:rFonts w:ascii="Verdana" w:hAnsi="Verdana"/>
          <w:sz w:val="20"/>
        </w:rPr>
        <w:tab/>
        <w:t>The accounting firm</w:t>
      </w:r>
      <w:r w:rsidRPr="00FB366D">
        <w:rPr>
          <w:rFonts w:ascii="Verdana" w:hAnsi="Verdana"/>
          <w:sz w:val="20"/>
        </w:rPr>
        <w:t xml:space="preserve"> Watts </w:t>
      </w:r>
      <w:r>
        <w:rPr>
          <w:rFonts w:ascii="Verdana" w:hAnsi="Verdana"/>
          <w:sz w:val="20"/>
        </w:rPr>
        <w:t>&amp; Ampage</w:t>
      </w:r>
      <w:r w:rsidRPr="00FB366D">
        <w:rPr>
          <w:rFonts w:ascii="Verdana" w:hAnsi="Verdana"/>
          <w:sz w:val="20"/>
        </w:rPr>
        <w:t xml:space="preserve"> is potentially liable to its client because of the possible negligence of the partner in charge. Should there be a finding of negligence, liability would be limited to those losses that would have been avoided had reasonable care been exercised.</w:t>
      </w:r>
    </w:p>
    <w:p w:rsidR="006213B4" w:rsidRPr="00FB366D" w:rsidRDefault="006213B4" w:rsidP="006213B4">
      <w:pPr>
        <w:pStyle w:val="BodyText2"/>
        <w:widowControl/>
        <w:tabs>
          <w:tab w:val="clear" w:pos="440"/>
          <w:tab w:val="clear" w:pos="720"/>
          <w:tab w:val="clear" w:pos="1440"/>
          <w:tab w:val="clear" w:pos="2160"/>
          <w:tab w:val="clear" w:pos="2880"/>
          <w:tab w:val="clear" w:pos="3600"/>
          <w:tab w:val="clear" w:pos="4320"/>
          <w:tab w:val="clear" w:pos="5040"/>
          <w:tab w:val="clear" w:pos="5760"/>
          <w:tab w:val="clear" w:pos="6480"/>
          <w:tab w:val="clear" w:pos="7200"/>
          <w:tab w:val="left" w:pos="0"/>
          <w:tab w:val="left" w:pos="12900"/>
          <w:tab w:val="left" w:pos="16302"/>
        </w:tabs>
        <w:spacing w:line="360" w:lineRule="auto"/>
        <w:ind w:firstLine="1134"/>
        <w:rPr>
          <w:rFonts w:ascii="Verdana" w:hAnsi="Verdana"/>
          <w:sz w:val="20"/>
        </w:rPr>
      </w:pPr>
      <w:r w:rsidRPr="00FB366D">
        <w:rPr>
          <w:rFonts w:ascii="Verdana" w:hAnsi="Verdana"/>
          <w:sz w:val="20"/>
        </w:rPr>
        <w:t>There being no evidence of the assumption of a greater responsibility, the partner</w:t>
      </w:r>
      <w:r>
        <w:rPr>
          <w:rFonts w:ascii="Verdana" w:hAnsi="Verdana"/>
          <w:sz w:val="20"/>
        </w:rPr>
        <w:t>’</w:t>
      </w:r>
      <w:r w:rsidRPr="00FB366D">
        <w:rPr>
          <w:rFonts w:ascii="Verdana" w:hAnsi="Verdana"/>
          <w:sz w:val="20"/>
        </w:rPr>
        <w:t>s conduct is governed, as a minimum, by the profession</w:t>
      </w:r>
      <w:r>
        <w:rPr>
          <w:rFonts w:ascii="Verdana" w:hAnsi="Verdana"/>
          <w:sz w:val="20"/>
        </w:rPr>
        <w:t>’</w:t>
      </w:r>
      <w:r w:rsidRPr="00FB366D">
        <w:rPr>
          <w:rFonts w:ascii="Verdana" w:hAnsi="Verdana"/>
          <w:sz w:val="20"/>
        </w:rPr>
        <w:t xml:space="preserve">s </w:t>
      </w:r>
      <w:r>
        <w:rPr>
          <w:rFonts w:ascii="Verdana" w:hAnsi="Verdana"/>
          <w:sz w:val="20"/>
        </w:rPr>
        <w:t>prevailing standards of conduct</w:t>
      </w:r>
      <w:r w:rsidRPr="00FB366D">
        <w:rPr>
          <w:rFonts w:ascii="Verdana" w:hAnsi="Verdana"/>
          <w:sz w:val="20"/>
        </w:rPr>
        <w:t>. The question arises as to whether the duty of reasonable care was breached when the partner failed to investigate further after being apprised by a competent subordinate of exceptions to 6% of the vouchers payable examined. Moreover, a question of causation arises; i.e. whether further actions by the partner would have disclosed the fraud. If both lack of due care and causation are established, recovery for negligence will be available.</w:t>
      </w:r>
    </w:p>
    <w:p w:rsidR="006213B4" w:rsidRPr="00FB366D" w:rsidRDefault="006213B4" w:rsidP="006213B4">
      <w:pPr>
        <w:pStyle w:val="BodyText2"/>
        <w:widowControl/>
        <w:tabs>
          <w:tab w:val="clear" w:pos="440"/>
          <w:tab w:val="clear" w:pos="720"/>
          <w:tab w:val="left" w:pos="709"/>
        </w:tabs>
        <w:spacing w:line="360" w:lineRule="auto"/>
        <w:rPr>
          <w:rFonts w:ascii="Verdana" w:hAnsi="Verdana"/>
          <w:sz w:val="20"/>
        </w:rPr>
      </w:pPr>
    </w:p>
    <w:p w:rsidR="006213B4" w:rsidRDefault="006213B4" w:rsidP="006213B4">
      <w:pPr>
        <w:tabs>
          <w:tab w:val="left" w:pos="0"/>
          <w:tab w:val="left" w:pos="1134"/>
          <w:tab w:val="left" w:pos="2160"/>
          <w:tab w:val="left" w:pos="2880"/>
          <w:tab w:val="left" w:pos="3600"/>
          <w:tab w:val="left" w:pos="4320"/>
          <w:tab w:val="left" w:pos="5040"/>
          <w:tab w:val="left" w:pos="5760"/>
          <w:tab w:val="left" w:pos="6480"/>
          <w:tab w:val="left" w:pos="7200"/>
        </w:tabs>
        <w:spacing w:line="360" w:lineRule="auto"/>
        <w:ind w:right="18"/>
        <w:jc w:val="both"/>
        <w:rPr>
          <w:rFonts w:ascii="Verdana" w:hAnsi="Verdana"/>
          <w:b/>
          <w:sz w:val="20"/>
        </w:rPr>
      </w:pPr>
    </w:p>
    <w:p w:rsidR="006213B4" w:rsidRPr="00FB366D" w:rsidRDefault="006213B4" w:rsidP="006213B4">
      <w:pPr>
        <w:tabs>
          <w:tab w:val="left" w:pos="-3969"/>
          <w:tab w:val="left" w:pos="709"/>
          <w:tab w:val="left" w:pos="1134"/>
          <w:tab w:val="left" w:pos="1701"/>
          <w:tab w:val="left" w:pos="16160"/>
        </w:tabs>
        <w:spacing w:line="360" w:lineRule="auto"/>
        <w:ind w:left="1134" w:hanging="1134"/>
        <w:jc w:val="both"/>
        <w:rPr>
          <w:rFonts w:ascii="Verdana" w:hAnsi="Verdana"/>
          <w:sz w:val="20"/>
        </w:rPr>
      </w:pPr>
      <w:r w:rsidRPr="00FB366D">
        <w:rPr>
          <w:rFonts w:ascii="Verdana" w:hAnsi="Verdana"/>
          <w:b/>
          <w:sz w:val="20"/>
        </w:rPr>
        <w:t>2-2</w:t>
      </w:r>
      <w:r>
        <w:rPr>
          <w:rFonts w:ascii="Verdana" w:hAnsi="Verdana"/>
          <w:b/>
          <w:sz w:val="20"/>
        </w:rPr>
        <w:t>2</w:t>
      </w:r>
      <w:r>
        <w:rPr>
          <w:rFonts w:ascii="Verdana" w:hAnsi="Verdana"/>
          <w:sz w:val="20"/>
        </w:rPr>
        <w:tab/>
        <w:t>a.</w:t>
      </w:r>
      <w:r w:rsidRPr="00FB366D">
        <w:rPr>
          <w:rFonts w:ascii="Verdana" w:hAnsi="Verdana"/>
          <w:sz w:val="20"/>
        </w:rPr>
        <w:tab/>
        <w:t>The legal issues involved in this case revolve around the auditor</w:t>
      </w:r>
      <w:r>
        <w:rPr>
          <w:rFonts w:ascii="Verdana" w:hAnsi="Verdana"/>
          <w:sz w:val="20"/>
        </w:rPr>
        <w:t>’</w:t>
      </w:r>
      <w:r w:rsidRPr="00FB366D">
        <w:rPr>
          <w:rFonts w:ascii="Verdana" w:hAnsi="Verdana"/>
          <w:sz w:val="20"/>
        </w:rPr>
        <w:t>s compliance with auditing standards and contributory negligence. Statements on Auditing Standards indicate that accounts receivable should be confirmed by the auditor. This procedure was employed in the case</w:t>
      </w:r>
      <w:r>
        <w:rPr>
          <w:rFonts w:ascii="Verdana" w:hAnsi="Verdana"/>
          <w:sz w:val="20"/>
        </w:rPr>
        <w:t>,</w:t>
      </w:r>
      <w:r w:rsidRPr="00FB366D">
        <w:rPr>
          <w:rFonts w:ascii="Verdana" w:hAnsi="Verdana"/>
          <w:sz w:val="20"/>
        </w:rPr>
        <w:t xml:space="preserve"> and the legal issue is whether or not the auditor used due care in following up the confirmation replies received.</w:t>
      </w:r>
    </w:p>
    <w:p w:rsidR="006213B4" w:rsidRDefault="006213B4" w:rsidP="006213B4">
      <w:pPr>
        <w:pStyle w:val="BodyText2"/>
        <w:widowControl/>
        <w:tabs>
          <w:tab w:val="clear" w:pos="440"/>
          <w:tab w:val="clear" w:pos="720"/>
          <w:tab w:val="clear" w:pos="1440"/>
          <w:tab w:val="clear" w:pos="2160"/>
          <w:tab w:val="clear" w:pos="2880"/>
          <w:tab w:val="clear" w:pos="3600"/>
          <w:tab w:val="clear" w:pos="4320"/>
          <w:tab w:val="clear" w:pos="5040"/>
          <w:tab w:val="clear" w:pos="5760"/>
          <w:tab w:val="clear" w:pos="6480"/>
          <w:tab w:val="clear" w:pos="7200"/>
          <w:tab w:val="left" w:pos="567"/>
          <w:tab w:val="left" w:pos="1134"/>
          <w:tab w:val="left" w:pos="1701"/>
          <w:tab w:val="left" w:pos="16160"/>
        </w:tabs>
        <w:spacing w:line="360" w:lineRule="auto"/>
        <w:ind w:left="1134" w:right="0" w:firstLine="567"/>
        <w:rPr>
          <w:rFonts w:ascii="Verdana" w:hAnsi="Verdana"/>
          <w:sz w:val="20"/>
        </w:rPr>
      </w:pPr>
      <w:r w:rsidRPr="00FB366D">
        <w:rPr>
          <w:rFonts w:ascii="Verdana" w:hAnsi="Verdana"/>
          <w:sz w:val="20"/>
        </w:rPr>
        <w:t xml:space="preserve">As a defence in the legal action, the auditor would claim to have followed generally accepted auditing standards by properly confirming accounts receivable. In addition, the auditor may defend him or herself by testifying that the company controller was responsible for investigating the reason for the differences reported on the confirmation replies. The auditor may state that he or she had a right to conclude that the controller had reviewed the explanations provided by the </w:t>
      </w:r>
      <w:r>
        <w:rPr>
          <w:rFonts w:ascii="Verdana" w:hAnsi="Verdana"/>
          <w:sz w:val="20"/>
        </w:rPr>
        <w:t>assistant accountant</w:t>
      </w:r>
      <w:r w:rsidRPr="00FB366D">
        <w:rPr>
          <w:rFonts w:ascii="Verdana" w:hAnsi="Verdana"/>
          <w:sz w:val="20"/>
        </w:rPr>
        <w:t xml:space="preserve">, and concluded they were correct. The auditor might also use the defence that there was contributory negligence. The controller should not have delegated the work to the </w:t>
      </w:r>
      <w:r>
        <w:rPr>
          <w:rFonts w:ascii="Verdana" w:hAnsi="Verdana"/>
          <w:sz w:val="20"/>
        </w:rPr>
        <w:t xml:space="preserve">assistant accountant </w:t>
      </w:r>
      <w:r w:rsidRPr="00FB366D">
        <w:rPr>
          <w:rFonts w:ascii="Verdana" w:hAnsi="Verdana"/>
          <w:sz w:val="20"/>
        </w:rPr>
        <w:t>and should have recognised the potential for intentional wrong</w:t>
      </w:r>
      <w:r w:rsidRPr="00FB366D">
        <w:rPr>
          <w:rFonts w:ascii="Verdana" w:hAnsi="Verdana"/>
          <w:sz w:val="20"/>
        </w:rPr>
        <w:noBreakHyphen/>
        <w:t xml:space="preserve">doing by the </w:t>
      </w:r>
      <w:r>
        <w:rPr>
          <w:rFonts w:ascii="Verdana" w:hAnsi="Verdana"/>
          <w:sz w:val="20"/>
        </w:rPr>
        <w:t>assistant accountant</w:t>
      </w:r>
      <w:r w:rsidRPr="00FB366D">
        <w:rPr>
          <w:rFonts w:ascii="Verdana" w:hAnsi="Verdana"/>
          <w:sz w:val="20"/>
        </w:rPr>
        <w:t>.</w:t>
      </w:r>
    </w:p>
    <w:p w:rsidR="006213B4" w:rsidRPr="00FB366D" w:rsidRDefault="006213B4" w:rsidP="006213B4">
      <w:pPr>
        <w:pStyle w:val="BodyText2"/>
        <w:widowControl/>
        <w:tabs>
          <w:tab w:val="clear" w:pos="440"/>
          <w:tab w:val="clear" w:pos="720"/>
          <w:tab w:val="clear" w:pos="1440"/>
          <w:tab w:val="clear" w:pos="2160"/>
          <w:tab w:val="clear" w:pos="2880"/>
          <w:tab w:val="clear" w:pos="3600"/>
          <w:tab w:val="clear" w:pos="4320"/>
          <w:tab w:val="clear" w:pos="5040"/>
          <w:tab w:val="clear" w:pos="5760"/>
          <w:tab w:val="clear" w:pos="6480"/>
          <w:tab w:val="clear" w:pos="7200"/>
          <w:tab w:val="left" w:pos="567"/>
          <w:tab w:val="left" w:pos="1134"/>
          <w:tab w:val="left" w:pos="1701"/>
          <w:tab w:val="left" w:pos="16160"/>
        </w:tabs>
        <w:spacing w:line="360" w:lineRule="auto"/>
        <w:ind w:left="1134" w:right="0" w:firstLine="567"/>
        <w:rPr>
          <w:rFonts w:ascii="Verdana" w:hAnsi="Verdana"/>
          <w:sz w:val="20"/>
        </w:rPr>
      </w:pPr>
    </w:p>
    <w:p w:rsidR="006213B4" w:rsidRDefault="006213B4" w:rsidP="006213B4">
      <w:pPr>
        <w:pStyle w:val="BodyTextIndent"/>
        <w:tabs>
          <w:tab w:val="clear" w:pos="540"/>
          <w:tab w:val="clear" w:pos="2160"/>
          <w:tab w:val="clear" w:pos="2880"/>
          <w:tab w:val="clear" w:pos="3600"/>
          <w:tab w:val="clear" w:pos="4320"/>
          <w:tab w:val="clear" w:pos="5040"/>
          <w:tab w:val="clear" w:pos="5760"/>
          <w:tab w:val="clear" w:pos="6480"/>
          <w:tab w:val="clear" w:pos="7200"/>
          <w:tab w:val="left" w:pos="709"/>
          <w:tab w:val="left" w:pos="13041"/>
        </w:tabs>
        <w:spacing w:line="360" w:lineRule="auto"/>
        <w:rPr>
          <w:rFonts w:ascii="Verdana" w:hAnsi="Verdana"/>
          <w:sz w:val="20"/>
        </w:rPr>
      </w:pPr>
      <w:r w:rsidRPr="00FB366D">
        <w:rPr>
          <w:rFonts w:ascii="Verdana" w:hAnsi="Verdana"/>
          <w:sz w:val="20"/>
        </w:rPr>
        <w:tab/>
        <w:t xml:space="preserve">b. </w:t>
      </w:r>
      <w:r w:rsidRPr="00FB366D">
        <w:rPr>
          <w:rFonts w:ascii="Verdana" w:hAnsi="Verdana"/>
          <w:sz w:val="20"/>
        </w:rPr>
        <w:tab/>
        <w:t>The auditor</w:t>
      </w:r>
      <w:r>
        <w:rPr>
          <w:rFonts w:ascii="Verdana" w:hAnsi="Verdana"/>
          <w:sz w:val="20"/>
        </w:rPr>
        <w:t>’</w:t>
      </w:r>
      <w:r w:rsidRPr="00FB366D">
        <w:rPr>
          <w:rFonts w:ascii="Verdana" w:hAnsi="Verdana"/>
          <w:sz w:val="20"/>
        </w:rPr>
        <w:t xml:space="preserve">s deficiency in conducting the audit of accounts receivable was his or her failure to investigate and obtain evidence to substantiate the explanations provided by the </w:t>
      </w:r>
      <w:r>
        <w:rPr>
          <w:rFonts w:ascii="Verdana" w:hAnsi="Verdana"/>
          <w:sz w:val="20"/>
        </w:rPr>
        <w:t>assistant accountant</w:t>
      </w:r>
      <w:r w:rsidRPr="00FB366D">
        <w:rPr>
          <w:rFonts w:ascii="Verdana" w:hAnsi="Verdana"/>
          <w:sz w:val="20"/>
        </w:rPr>
        <w:t xml:space="preserve">. The auditor </w:t>
      </w:r>
      <w:r w:rsidRPr="00FB366D">
        <w:rPr>
          <w:rFonts w:ascii="Verdana" w:hAnsi="Verdana"/>
          <w:sz w:val="20"/>
        </w:rPr>
        <w:lastRenderedPageBreak/>
        <w:t xml:space="preserve">should have investigated each of the timing differences, through which he or she may have discovered that no sales allowance had been granted to the customer, but in fact, the customer had mailed payment for the merchandise which the </w:t>
      </w:r>
      <w:r>
        <w:rPr>
          <w:rFonts w:ascii="Verdana" w:hAnsi="Verdana"/>
          <w:sz w:val="20"/>
        </w:rPr>
        <w:t xml:space="preserve">assistant accountant </w:t>
      </w:r>
      <w:r w:rsidRPr="00FB366D">
        <w:rPr>
          <w:rFonts w:ascii="Verdana" w:hAnsi="Verdana"/>
          <w:sz w:val="20"/>
        </w:rPr>
        <w:t>had stolen.</w:t>
      </w:r>
    </w:p>
    <w:p w:rsidR="006213B4" w:rsidRPr="00FB366D" w:rsidRDefault="006213B4" w:rsidP="006213B4">
      <w:pPr>
        <w:pStyle w:val="BodyTextIndent"/>
        <w:tabs>
          <w:tab w:val="clear" w:pos="540"/>
          <w:tab w:val="clear" w:pos="2160"/>
          <w:tab w:val="clear" w:pos="2880"/>
          <w:tab w:val="clear" w:pos="3600"/>
          <w:tab w:val="clear" w:pos="4320"/>
          <w:tab w:val="clear" w:pos="5040"/>
          <w:tab w:val="clear" w:pos="5760"/>
          <w:tab w:val="clear" w:pos="6480"/>
          <w:tab w:val="clear" w:pos="7200"/>
          <w:tab w:val="left" w:pos="709"/>
          <w:tab w:val="left" w:pos="13041"/>
        </w:tabs>
        <w:spacing w:line="360" w:lineRule="auto"/>
        <w:rPr>
          <w:rFonts w:ascii="Verdana" w:hAnsi="Verdana"/>
          <w:sz w:val="20"/>
        </w:rPr>
      </w:pPr>
    </w:p>
    <w:p w:rsidR="006213B4" w:rsidRPr="00FB366D" w:rsidRDefault="006213B4" w:rsidP="006213B4">
      <w:pPr>
        <w:tabs>
          <w:tab w:val="left" w:pos="709"/>
          <w:tab w:val="left" w:pos="1134"/>
        </w:tabs>
        <w:spacing w:line="360" w:lineRule="auto"/>
        <w:ind w:right="17"/>
        <w:jc w:val="both"/>
        <w:rPr>
          <w:rFonts w:ascii="Verdana" w:hAnsi="Verdana"/>
          <w:sz w:val="20"/>
        </w:rPr>
      </w:pPr>
    </w:p>
    <w:p w:rsidR="006213B4" w:rsidRDefault="006213B4" w:rsidP="006213B4">
      <w:pPr>
        <w:tabs>
          <w:tab w:val="left" w:pos="709"/>
          <w:tab w:val="left" w:pos="1134"/>
        </w:tabs>
        <w:spacing w:line="360" w:lineRule="auto"/>
        <w:ind w:left="1134" w:hanging="1134"/>
        <w:jc w:val="both"/>
        <w:rPr>
          <w:rFonts w:ascii="Verdana" w:hAnsi="Verdana"/>
          <w:sz w:val="20"/>
        </w:rPr>
      </w:pPr>
      <w:r w:rsidRPr="00FB366D">
        <w:rPr>
          <w:rFonts w:ascii="Verdana" w:hAnsi="Verdana"/>
          <w:b/>
          <w:sz w:val="20"/>
        </w:rPr>
        <w:t>2-2</w:t>
      </w:r>
      <w:r>
        <w:rPr>
          <w:rFonts w:ascii="Verdana" w:hAnsi="Verdana"/>
          <w:b/>
          <w:sz w:val="20"/>
        </w:rPr>
        <w:t>3</w:t>
      </w:r>
      <w:r>
        <w:rPr>
          <w:rFonts w:ascii="Verdana" w:hAnsi="Verdana"/>
          <w:sz w:val="20"/>
        </w:rPr>
        <w:tab/>
        <w:t>a.</w:t>
      </w:r>
      <w:r w:rsidRPr="00FB366D">
        <w:rPr>
          <w:rFonts w:ascii="Verdana" w:hAnsi="Verdana"/>
          <w:sz w:val="20"/>
        </w:rPr>
        <w:tab/>
        <w:t>Yes. Smith was a party to the issuance of false financial statements (joint tortfeasor). The elements necessary to establish an action for common law fraud are present. There was a material misstatement</w:t>
      </w:r>
      <w:r w:rsidRPr="00FB366D">
        <w:rPr>
          <w:rFonts w:ascii="Verdana" w:hAnsi="Verdana"/>
          <w:b/>
          <w:sz w:val="20"/>
        </w:rPr>
        <w:t xml:space="preserve"> </w:t>
      </w:r>
      <w:r w:rsidRPr="00FB366D">
        <w:rPr>
          <w:rFonts w:ascii="Verdana" w:hAnsi="Verdana"/>
          <w:sz w:val="20"/>
        </w:rPr>
        <w:t>of fact, knowledge of falsity (scienter), intent that the plaintiff</w:t>
      </w:r>
      <w:r w:rsidRPr="00FB366D">
        <w:rPr>
          <w:rFonts w:ascii="Verdana" w:hAnsi="Verdana"/>
          <w:b/>
          <w:sz w:val="20"/>
        </w:rPr>
        <w:t xml:space="preserve"> </w:t>
      </w:r>
      <w:r w:rsidRPr="00FB366D">
        <w:rPr>
          <w:rFonts w:ascii="Verdana" w:hAnsi="Verdana"/>
          <w:sz w:val="20"/>
        </w:rPr>
        <w:t>bank rely on the false statement, actual reliance, and damage</w:t>
      </w:r>
      <w:r w:rsidRPr="00FB366D">
        <w:rPr>
          <w:rFonts w:ascii="Verdana" w:hAnsi="Verdana"/>
          <w:b/>
          <w:sz w:val="20"/>
        </w:rPr>
        <w:t xml:space="preserve"> </w:t>
      </w:r>
      <w:r w:rsidRPr="00FB366D">
        <w:rPr>
          <w:rFonts w:ascii="Verdana" w:hAnsi="Verdana"/>
          <w:sz w:val="20"/>
        </w:rPr>
        <w:t>to the bank as a result thereof. If the action is based on</w:t>
      </w:r>
      <w:r w:rsidRPr="00FB366D">
        <w:rPr>
          <w:rFonts w:ascii="Verdana" w:hAnsi="Verdana"/>
          <w:b/>
          <w:sz w:val="20"/>
        </w:rPr>
        <w:t xml:space="preserve"> </w:t>
      </w:r>
      <w:r w:rsidRPr="00FB366D">
        <w:rPr>
          <w:rFonts w:ascii="Verdana" w:hAnsi="Verdana"/>
          <w:sz w:val="20"/>
        </w:rPr>
        <w:t>fraud</w:t>
      </w:r>
      <w:r>
        <w:rPr>
          <w:rFonts w:ascii="Verdana" w:hAnsi="Verdana"/>
          <w:sz w:val="20"/>
        </w:rPr>
        <w:t>,</w:t>
      </w:r>
      <w:r w:rsidRPr="00FB366D">
        <w:rPr>
          <w:rFonts w:ascii="Verdana" w:hAnsi="Verdana"/>
          <w:sz w:val="20"/>
        </w:rPr>
        <w:t xml:space="preserve"> there is no requirement that the bank establish privity of contract with the auditor. Moreover, if the action by the bank is based upon ordinary negligence, which does not require a showing of scienter, the bank may recover as a third</w:t>
      </w:r>
      <w:r w:rsidRPr="00FB366D">
        <w:rPr>
          <w:rFonts w:ascii="Verdana" w:hAnsi="Verdana"/>
          <w:sz w:val="20"/>
        </w:rPr>
        <w:noBreakHyphen/>
        <w:t>party beneficiary (an exception to the strict privity requirement), thus satisfying the proximity test. Thus, the bank should be able to recover its loss from Smith under either theory.</w:t>
      </w:r>
    </w:p>
    <w:p w:rsidR="006213B4" w:rsidRPr="00FB366D" w:rsidRDefault="006213B4" w:rsidP="006213B4">
      <w:pPr>
        <w:tabs>
          <w:tab w:val="left" w:pos="709"/>
          <w:tab w:val="left" w:pos="1134"/>
        </w:tabs>
        <w:spacing w:line="360" w:lineRule="auto"/>
        <w:ind w:left="1134" w:hanging="1134"/>
        <w:jc w:val="both"/>
        <w:rPr>
          <w:rFonts w:ascii="Verdana" w:hAnsi="Verdana"/>
          <w:sz w:val="20"/>
        </w:rPr>
      </w:pPr>
    </w:p>
    <w:p w:rsidR="006213B4" w:rsidRDefault="006213B4" w:rsidP="006213B4">
      <w:pPr>
        <w:pStyle w:val="BodyTextIndent"/>
        <w:tabs>
          <w:tab w:val="clear" w:pos="540"/>
          <w:tab w:val="clear" w:pos="2160"/>
          <w:tab w:val="clear" w:pos="2880"/>
          <w:tab w:val="clear" w:pos="3600"/>
          <w:tab w:val="clear" w:pos="4320"/>
          <w:tab w:val="clear" w:pos="5040"/>
          <w:tab w:val="clear" w:pos="5760"/>
          <w:tab w:val="clear" w:pos="6480"/>
          <w:tab w:val="clear" w:pos="7200"/>
          <w:tab w:val="left" w:pos="709"/>
        </w:tabs>
        <w:spacing w:line="360" w:lineRule="auto"/>
        <w:rPr>
          <w:rFonts w:ascii="Verdana" w:hAnsi="Verdana"/>
          <w:sz w:val="20"/>
        </w:rPr>
      </w:pPr>
      <w:r w:rsidRPr="00FB366D">
        <w:rPr>
          <w:rFonts w:ascii="Verdana" w:hAnsi="Verdana"/>
          <w:sz w:val="20"/>
        </w:rPr>
        <w:tab/>
        <w:t xml:space="preserve">b. </w:t>
      </w:r>
      <w:r w:rsidRPr="00FB366D">
        <w:rPr>
          <w:rFonts w:ascii="Verdana" w:hAnsi="Verdana"/>
          <w:sz w:val="20"/>
        </w:rPr>
        <w:tab/>
        <w:t xml:space="preserve">No. The lessor was a party to the secret agreement. As such, the lessor cannot claim reliance on the financial statements and cannot recover uncollected rents. Even if he or she was damaged indirectly, his or her own fraudulent actions led to his or her loss, and the equitable principle of </w:t>
      </w:r>
      <w:r>
        <w:rPr>
          <w:rFonts w:ascii="Verdana" w:hAnsi="Verdana"/>
          <w:sz w:val="20"/>
        </w:rPr>
        <w:t>‘</w:t>
      </w:r>
      <w:r w:rsidRPr="00FB366D">
        <w:rPr>
          <w:rFonts w:ascii="Verdana" w:hAnsi="Verdana"/>
          <w:sz w:val="20"/>
        </w:rPr>
        <w:t>unclean hands</w:t>
      </w:r>
      <w:r>
        <w:rPr>
          <w:rFonts w:ascii="Verdana" w:hAnsi="Verdana"/>
          <w:sz w:val="20"/>
        </w:rPr>
        <w:t>’</w:t>
      </w:r>
      <w:r w:rsidRPr="00FB366D">
        <w:rPr>
          <w:rFonts w:ascii="Verdana" w:hAnsi="Verdana"/>
          <w:sz w:val="20"/>
        </w:rPr>
        <w:t xml:space="preserve"> precludes him or her from obtaining relief.</w:t>
      </w:r>
    </w:p>
    <w:p w:rsidR="006213B4" w:rsidRPr="00FB366D" w:rsidRDefault="006213B4" w:rsidP="006213B4">
      <w:pPr>
        <w:pStyle w:val="BodyTextIndent"/>
        <w:tabs>
          <w:tab w:val="clear" w:pos="540"/>
          <w:tab w:val="clear" w:pos="2160"/>
          <w:tab w:val="clear" w:pos="2880"/>
          <w:tab w:val="clear" w:pos="3600"/>
          <w:tab w:val="clear" w:pos="4320"/>
          <w:tab w:val="clear" w:pos="5040"/>
          <w:tab w:val="clear" w:pos="5760"/>
          <w:tab w:val="clear" w:pos="6480"/>
          <w:tab w:val="clear" w:pos="7200"/>
          <w:tab w:val="left" w:pos="709"/>
        </w:tabs>
        <w:spacing w:line="360" w:lineRule="auto"/>
        <w:rPr>
          <w:rFonts w:ascii="Verdana" w:hAnsi="Verdana"/>
          <w:sz w:val="20"/>
        </w:rPr>
      </w:pPr>
    </w:p>
    <w:p w:rsidR="006213B4" w:rsidRPr="00FB366D" w:rsidRDefault="006213B4" w:rsidP="006213B4">
      <w:pPr>
        <w:pStyle w:val="BodyText3"/>
        <w:tabs>
          <w:tab w:val="left" w:pos="709"/>
          <w:tab w:val="left" w:pos="1134"/>
        </w:tabs>
        <w:spacing w:line="360" w:lineRule="auto"/>
        <w:ind w:left="1134" w:hanging="1134"/>
        <w:rPr>
          <w:rFonts w:ascii="Verdana" w:hAnsi="Verdana"/>
          <w:sz w:val="20"/>
        </w:rPr>
      </w:pPr>
      <w:r w:rsidRPr="00FB366D">
        <w:rPr>
          <w:rFonts w:ascii="Verdana" w:hAnsi="Verdana"/>
          <w:sz w:val="20"/>
        </w:rPr>
        <w:tab/>
        <w:t xml:space="preserve">c. </w:t>
      </w:r>
      <w:r w:rsidRPr="00FB366D">
        <w:rPr>
          <w:rFonts w:ascii="Verdana" w:hAnsi="Verdana"/>
          <w:sz w:val="20"/>
        </w:rPr>
        <w:tab/>
        <w:t>Yes. Smith had knowledge that the financial statements did not follow appropriate accounting principles and willingly prepared an unqualified opinion. The financial statements were not in accordance with accounting standards. That is a criminal act because there was intent to deceive.</w:t>
      </w:r>
    </w:p>
    <w:p w:rsidR="006213B4" w:rsidRDefault="006213B4" w:rsidP="006213B4">
      <w:pPr>
        <w:tabs>
          <w:tab w:val="left" w:pos="0"/>
          <w:tab w:val="left" w:pos="1134"/>
          <w:tab w:val="left" w:pos="2160"/>
          <w:tab w:val="left" w:pos="2880"/>
          <w:tab w:val="left" w:pos="3600"/>
          <w:tab w:val="left" w:pos="4320"/>
          <w:tab w:val="left" w:pos="5040"/>
          <w:tab w:val="left" w:pos="5760"/>
          <w:tab w:val="left" w:pos="6480"/>
          <w:tab w:val="left" w:pos="7200"/>
        </w:tabs>
        <w:spacing w:line="360" w:lineRule="auto"/>
        <w:ind w:right="18"/>
        <w:jc w:val="both"/>
        <w:rPr>
          <w:rFonts w:ascii="Verdana" w:hAnsi="Verdana"/>
          <w:b/>
          <w:sz w:val="20"/>
        </w:rPr>
      </w:pPr>
    </w:p>
    <w:p w:rsidR="006213B4" w:rsidRDefault="006213B4" w:rsidP="006213B4">
      <w:pPr>
        <w:tabs>
          <w:tab w:val="left" w:pos="0"/>
          <w:tab w:val="left" w:pos="1134"/>
          <w:tab w:val="left" w:pos="2160"/>
          <w:tab w:val="left" w:pos="2880"/>
          <w:tab w:val="left" w:pos="3600"/>
          <w:tab w:val="left" w:pos="4320"/>
          <w:tab w:val="left" w:pos="5040"/>
          <w:tab w:val="left" w:pos="5760"/>
          <w:tab w:val="left" w:pos="6480"/>
          <w:tab w:val="left" w:pos="7200"/>
        </w:tabs>
        <w:spacing w:line="360" w:lineRule="auto"/>
        <w:ind w:right="18"/>
        <w:jc w:val="both"/>
        <w:rPr>
          <w:rFonts w:ascii="Verdana" w:hAnsi="Verdana"/>
          <w:b/>
          <w:sz w:val="20"/>
        </w:rPr>
      </w:pPr>
    </w:p>
    <w:p w:rsidR="006213B4" w:rsidRPr="00FB366D" w:rsidRDefault="006213B4" w:rsidP="006213B4">
      <w:pPr>
        <w:pStyle w:val="BodyText2"/>
        <w:widowControl/>
        <w:tabs>
          <w:tab w:val="clear" w:pos="440"/>
          <w:tab w:val="clear" w:pos="720"/>
          <w:tab w:val="clear" w:pos="1440"/>
          <w:tab w:val="clear" w:pos="2160"/>
          <w:tab w:val="clear" w:pos="2880"/>
          <w:tab w:val="clear" w:pos="3600"/>
          <w:tab w:val="clear" w:pos="4320"/>
          <w:tab w:val="clear" w:pos="5040"/>
          <w:tab w:val="clear" w:pos="5760"/>
          <w:tab w:val="clear" w:pos="6480"/>
          <w:tab w:val="clear" w:pos="7200"/>
          <w:tab w:val="left" w:pos="1134"/>
        </w:tabs>
        <w:spacing w:line="360" w:lineRule="auto"/>
        <w:rPr>
          <w:rFonts w:ascii="Verdana" w:hAnsi="Verdana"/>
          <w:sz w:val="20"/>
        </w:rPr>
      </w:pPr>
      <w:r w:rsidRPr="00FB366D">
        <w:rPr>
          <w:rFonts w:ascii="Verdana" w:hAnsi="Verdana"/>
          <w:b/>
          <w:sz w:val="20"/>
        </w:rPr>
        <w:t>2-2</w:t>
      </w:r>
      <w:r>
        <w:rPr>
          <w:rFonts w:ascii="Verdana" w:hAnsi="Verdana"/>
          <w:b/>
          <w:sz w:val="20"/>
        </w:rPr>
        <w:t>4</w:t>
      </w:r>
      <w:r>
        <w:rPr>
          <w:rFonts w:ascii="Verdana" w:hAnsi="Verdana"/>
          <w:sz w:val="20"/>
        </w:rPr>
        <w:tab/>
      </w:r>
      <w:r w:rsidRPr="00FB366D">
        <w:rPr>
          <w:rFonts w:ascii="Verdana" w:hAnsi="Verdana"/>
          <w:sz w:val="20"/>
        </w:rPr>
        <w:t xml:space="preserve">West &amp; </w:t>
      </w:r>
      <w:r>
        <w:rPr>
          <w:rFonts w:ascii="Verdana" w:hAnsi="Verdana"/>
          <w:sz w:val="20"/>
        </w:rPr>
        <w:t>North</w:t>
      </w:r>
      <w:r w:rsidRPr="00FB366D">
        <w:rPr>
          <w:rFonts w:ascii="Verdana" w:hAnsi="Verdana"/>
          <w:sz w:val="20"/>
        </w:rPr>
        <w:t xml:space="preserve"> will argue they were not negligent. They will emphasis</w:t>
      </w:r>
      <w:r>
        <w:rPr>
          <w:rFonts w:ascii="Verdana" w:hAnsi="Verdana"/>
          <w:sz w:val="20"/>
        </w:rPr>
        <w:t>e</w:t>
      </w:r>
      <w:r w:rsidRPr="00FB366D">
        <w:rPr>
          <w:rFonts w:ascii="Verdana" w:hAnsi="Verdana"/>
          <w:sz w:val="20"/>
        </w:rPr>
        <w:t xml:space="preserve"> that the objective of the statutory audit is not fraud detection. They will have to show they had adequately planned and performed the audit; that there was no </w:t>
      </w:r>
      <w:r w:rsidRPr="00FB366D">
        <w:rPr>
          <w:rFonts w:ascii="Verdana" w:hAnsi="Verdana"/>
          <w:sz w:val="20"/>
        </w:rPr>
        <w:lastRenderedPageBreak/>
        <w:t xml:space="preserve">apparent evidence of the fraud; and that their conduct was reasonable in the circumstances. </w:t>
      </w:r>
    </w:p>
    <w:p w:rsidR="006213B4" w:rsidRDefault="006213B4" w:rsidP="006213B4">
      <w:pPr>
        <w:pStyle w:val="BodyText2"/>
        <w:widowControl/>
        <w:tabs>
          <w:tab w:val="clear" w:pos="440"/>
          <w:tab w:val="clear" w:pos="720"/>
          <w:tab w:val="clear" w:pos="1440"/>
          <w:tab w:val="clear" w:pos="2160"/>
          <w:tab w:val="clear" w:pos="2880"/>
          <w:tab w:val="clear" w:pos="3600"/>
          <w:tab w:val="clear" w:pos="4320"/>
          <w:tab w:val="clear" w:pos="5040"/>
          <w:tab w:val="clear" w:pos="5760"/>
          <w:tab w:val="clear" w:pos="6480"/>
          <w:tab w:val="clear" w:pos="7200"/>
          <w:tab w:val="left" w:pos="709"/>
        </w:tabs>
        <w:spacing w:line="360" w:lineRule="auto"/>
        <w:ind w:firstLine="1134"/>
        <w:rPr>
          <w:rFonts w:ascii="Verdana" w:hAnsi="Verdana"/>
          <w:sz w:val="20"/>
        </w:rPr>
      </w:pPr>
      <w:r w:rsidRPr="00FB366D">
        <w:rPr>
          <w:rFonts w:ascii="Verdana" w:hAnsi="Verdana"/>
          <w:sz w:val="20"/>
        </w:rPr>
        <w:t xml:space="preserve">It is likely to be an important element of evidence as to whether the auditors had conducted reasonableness tests for rents and whether these tests should have or did reveal that rents for some centres were unusually low. </w:t>
      </w:r>
    </w:p>
    <w:p w:rsidR="006213B4" w:rsidRDefault="006213B4" w:rsidP="006213B4">
      <w:pPr>
        <w:pStyle w:val="BodyText2"/>
        <w:widowControl/>
        <w:tabs>
          <w:tab w:val="clear" w:pos="440"/>
          <w:tab w:val="clear" w:pos="720"/>
          <w:tab w:val="clear" w:pos="1440"/>
          <w:tab w:val="clear" w:pos="2160"/>
          <w:tab w:val="clear" w:pos="2880"/>
          <w:tab w:val="clear" w:pos="3600"/>
          <w:tab w:val="clear" w:pos="4320"/>
          <w:tab w:val="clear" w:pos="5040"/>
          <w:tab w:val="clear" w:pos="5760"/>
          <w:tab w:val="clear" w:pos="6480"/>
          <w:tab w:val="clear" w:pos="7200"/>
          <w:tab w:val="left" w:pos="709"/>
        </w:tabs>
        <w:spacing w:line="360" w:lineRule="auto"/>
        <w:rPr>
          <w:rFonts w:ascii="Verdana" w:hAnsi="Verdana"/>
          <w:sz w:val="20"/>
        </w:rPr>
      </w:pPr>
    </w:p>
    <w:p w:rsidR="006213B4" w:rsidRDefault="006213B4" w:rsidP="006213B4">
      <w:pPr>
        <w:pStyle w:val="BodyText2"/>
        <w:widowControl/>
        <w:tabs>
          <w:tab w:val="clear" w:pos="440"/>
          <w:tab w:val="clear" w:pos="720"/>
          <w:tab w:val="clear" w:pos="1440"/>
          <w:tab w:val="clear" w:pos="2160"/>
          <w:tab w:val="clear" w:pos="2880"/>
          <w:tab w:val="clear" w:pos="3600"/>
          <w:tab w:val="clear" w:pos="4320"/>
          <w:tab w:val="clear" w:pos="5040"/>
          <w:tab w:val="clear" w:pos="5760"/>
          <w:tab w:val="clear" w:pos="6480"/>
          <w:tab w:val="clear" w:pos="7200"/>
          <w:tab w:val="left" w:pos="709"/>
        </w:tabs>
        <w:spacing w:line="360" w:lineRule="auto"/>
        <w:rPr>
          <w:rFonts w:ascii="Verdana" w:hAnsi="Verdana"/>
          <w:sz w:val="20"/>
        </w:rPr>
      </w:pPr>
    </w:p>
    <w:p w:rsidR="006213B4" w:rsidRDefault="006213B4" w:rsidP="006213B4">
      <w:pPr>
        <w:pStyle w:val="BodyText2"/>
        <w:widowControl/>
        <w:tabs>
          <w:tab w:val="clear" w:pos="440"/>
          <w:tab w:val="clear" w:pos="720"/>
          <w:tab w:val="clear" w:pos="1440"/>
          <w:tab w:val="clear" w:pos="2160"/>
          <w:tab w:val="clear" w:pos="2880"/>
          <w:tab w:val="clear" w:pos="3600"/>
          <w:tab w:val="clear" w:pos="4320"/>
          <w:tab w:val="clear" w:pos="5040"/>
          <w:tab w:val="clear" w:pos="5760"/>
          <w:tab w:val="clear" w:pos="6480"/>
          <w:tab w:val="clear" w:pos="7200"/>
          <w:tab w:val="left" w:pos="709"/>
        </w:tabs>
        <w:spacing w:line="360" w:lineRule="auto"/>
        <w:rPr>
          <w:rFonts w:ascii="Verdana" w:hAnsi="Verdana"/>
          <w:sz w:val="20"/>
        </w:rPr>
      </w:pPr>
    </w:p>
    <w:sectPr w:rsidR="006213B4" w:rsidSect="006213B4">
      <w:headerReference w:type="default" r:id="rId8"/>
      <w:footerReference w:type="even" r:id="rId9"/>
      <w:footerReference w:type="default" r:id="rId10"/>
      <w:headerReference w:type="first" r:id="rId11"/>
      <w:footerReference w:type="first" r:id="rId12"/>
      <w:pgSz w:w="11907" w:h="16840" w:code="9"/>
      <w:pgMar w:top="1701" w:right="1701" w:bottom="1701" w:left="1701" w:header="0"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EC" w:rsidRDefault="00654FEC">
      <w:r>
        <w:separator/>
      </w:r>
    </w:p>
  </w:endnote>
  <w:endnote w:type="continuationSeparator" w:id="0">
    <w:p w:rsidR="00654FEC" w:rsidRDefault="0065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lantinInfantMTStd-Italic">
    <w:altName w:val="Genev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B4" w:rsidRDefault="006213B4" w:rsidP="006213B4">
    <w:pPr>
      <w:framePr w:wrap="around" w:vAnchor="text" w:hAnchor="margin" w:xAlign="right" w:y="1"/>
      <w:tabs>
        <w:tab w:val="left" w:pos="-432"/>
        <w:tab w:val="left" w:pos="706"/>
        <w:tab w:val="left" w:pos="1180"/>
        <w:tab w:val="left" w:pos="1654"/>
        <w:tab w:val="left" w:pos="2128"/>
        <w:tab w:val="left" w:pos="2602"/>
      </w:tabs>
      <w:spacing w:line="0" w:lineRule="atLeast"/>
      <w:jc w:val="center"/>
      <w:rPr>
        <w:vanish/>
      </w:rPr>
    </w:pPr>
    <w:r>
      <w:rPr>
        <w:vanish/>
      </w:rPr>
      <w:t>5-</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p w:rsidR="006213B4" w:rsidRDefault="006213B4" w:rsidP="006213B4">
    <w:pPr>
      <w:tabs>
        <w:tab w:val="left" w:pos="-432"/>
        <w:tab w:val="left" w:pos="706"/>
        <w:tab w:val="left" w:pos="1180"/>
        <w:tab w:val="left" w:pos="1654"/>
        <w:tab w:val="left" w:pos="2128"/>
        <w:tab w:val="left" w:pos="260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B4" w:rsidRDefault="006213B4" w:rsidP="006213B4">
    <w:pPr>
      <w:pStyle w:val="Footer"/>
      <w:framePr w:w="121" w:wrap="around" w:vAnchor="text" w:hAnchor="page" w:x="10061" w:y="-1"/>
      <w:rPr>
        <w:rStyle w:val="PageNumber"/>
      </w:rPr>
    </w:pPr>
    <w:r>
      <w:rPr>
        <w:rStyle w:val="PageNumber"/>
      </w:rPr>
      <w:fldChar w:fldCharType="begin"/>
    </w:r>
    <w:r>
      <w:rPr>
        <w:rStyle w:val="PageNumber"/>
      </w:rPr>
      <w:instrText xml:space="preserve">PAGE  </w:instrText>
    </w:r>
    <w:r>
      <w:rPr>
        <w:rStyle w:val="PageNumber"/>
      </w:rPr>
      <w:fldChar w:fldCharType="separate"/>
    </w:r>
    <w:r w:rsidR="00802AC6">
      <w:rPr>
        <w:rStyle w:val="PageNumber"/>
        <w:noProof/>
      </w:rPr>
      <w:t>2</w:t>
    </w:r>
    <w:r>
      <w:rPr>
        <w:rStyle w:val="PageNumber"/>
      </w:rPr>
      <w:fldChar w:fldCharType="end"/>
    </w:r>
  </w:p>
  <w:p w:rsidR="006213B4" w:rsidRPr="00081283" w:rsidRDefault="006213B4" w:rsidP="006213B4">
    <w:pPr>
      <w:tabs>
        <w:tab w:val="center" w:pos="4513"/>
        <w:tab w:val="right" w:pos="9026"/>
      </w:tabs>
      <w:jc w:val="center"/>
      <w:rPr>
        <w:rFonts w:ascii="Verdana" w:hAnsi="Verdana"/>
        <w:sz w:val="16"/>
        <w:lang w:eastAsia="en-GB"/>
      </w:rPr>
    </w:pPr>
    <w:r w:rsidRPr="00081283">
      <w:rPr>
        <w:rFonts w:ascii="Verdana" w:hAnsi="Verdana"/>
        <w:sz w:val="16"/>
      </w:rPr>
      <w:t xml:space="preserve">Copyright © 2017 Pearson Australia (a division of Pearson Australia Group Pty Ltd) 9781488609138, Arens, </w:t>
    </w:r>
    <w:r w:rsidRPr="00081283">
      <w:rPr>
        <w:rFonts w:ascii="Verdana" w:hAnsi="Verdana"/>
        <w:i/>
        <w:sz w:val="16"/>
      </w:rPr>
      <w:t>Auditing and Assurance Services in Australia 10e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B4" w:rsidRPr="0006381C" w:rsidRDefault="006213B4" w:rsidP="006213B4">
    <w:pPr>
      <w:tabs>
        <w:tab w:val="center" w:pos="4513"/>
        <w:tab w:val="right" w:pos="9026"/>
      </w:tabs>
      <w:jc w:val="center"/>
      <w:rPr>
        <w:rFonts w:ascii="Verdana" w:hAnsi="Verdana"/>
        <w:sz w:val="16"/>
        <w:lang w:eastAsia="en-GB"/>
      </w:rPr>
    </w:pPr>
    <w:r w:rsidRPr="0006381C">
      <w:rPr>
        <w:rFonts w:ascii="Verdana" w:hAnsi="Verdana"/>
        <w:sz w:val="16"/>
      </w:rPr>
      <w:t xml:space="preserve">Copyright © 2017 Pearson Australia (a division of Pearson Australia Group Pty Ltd) 9781488609138, Arens, </w:t>
    </w:r>
    <w:r w:rsidRPr="0006381C">
      <w:rPr>
        <w:rFonts w:ascii="Verdana" w:hAnsi="Verdana"/>
        <w:i/>
        <w:sz w:val="16"/>
      </w:rPr>
      <w:t>Auditing and Assurance Services in Australia 10e</w:t>
    </w:r>
  </w:p>
  <w:p w:rsidR="006213B4" w:rsidRDefault="00621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EC" w:rsidRDefault="00654FEC">
      <w:r>
        <w:separator/>
      </w:r>
    </w:p>
  </w:footnote>
  <w:footnote w:type="continuationSeparator" w:id="0">
    <w:p w:rsidR="00654FEC" w:rsidRDefault="0065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B4" w:rsidRDefault="006213B4" w:rsidP="006213B4">
    <w:pPr>
      <w:pStyle w:val="Header"/>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B4" w:rsidRDefault="00802AC6" w:rsidP="006213B4">
    <w:pPr>
      <w:ind w:left="-1701" w:right="-1701"/>
      <w:jc w:val="center"/>
    </w:pPr>
    <w:r>
      <w:rPr>
        <w:noProof/>
        <w:lang w:eastAsia="en-AU"/>
      </w:rPr>
      <w:drawing>
        <wp:inline distT="0" distB="0" distL="0" distR="0">
          <wp:extent cx="7562850" cy="342900"/>
          <wp:effectExtent l="0" t="0" r="0" b="0"/>
          <wp:docPr id="1" name="Picture 4" descr="Pearson_logobar_for word template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arson_logobar_for word template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342900"/>
                  </a:xfrm>
                  <a:prstGeom prst="rect">
                    <a:avLst/>
                  </a:prstGeom>
                  <a:noFill/>
                  <a:ln>
                    <a:noFill/>
                  </a:ln>
                </pic:spPr>
              </pic:pic>
            </a:graphicData>
          </a:graphic>
        </wp:inline>
      </w:drawing>
    </w:r>
  </w:p>
  <w:p w:rsidR="006213B4" w:rsidRDefault="00621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suff w:val="nothing"/>
      <w:lvlText w:val="%1."/>
      <w:lvlJc w:val="left"/>
    </w:lvl>
  </w:abstractNum>
  <w:abstractNum w:abstractNumId="1">
    <w:nsid w:val="00000002"/>
    <w:multiLevelType w:val="multilevel"/>
    <w:tmpl w:val="00000002"/>
    <w:lvl w:ilvl="0">
      <w:start w:val="2"/>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1E97362B"/>
    <w:multiLevelType w:val="singleLevel"/>
    <w:tmpl w:val="8078F71E"/>
    <w:lvl w:ilvl="0">
      <w:start w:val="1"/>
      <w:numFmt w:val="decimal"/>
      <w:lvlText w:val="%1."/>
      <w:lvlJc w:val="left"/>
      <w:pPr>
        <w:tabs>
          <w:tab w:val="num" w:pos="1650"/>
        </w:tabs>
        <w:ind w:left="1650" w:hanging="465"/>
      </w:pPr>
      <w:rPr>
        <w:rFonts w:hint="default"/>
      </w:rPr>
    </w:lvl>
  </w:abstractNum>
  <w:abstractNum w:abstractNumId="3">
    <w:nsid w:val="314C7472"/>
    <w:multiLevelType w:val="hybridMultilevel"/>
    <w:tmpl w:val="A08E04F4"/>
    <w:lvl w:ilvl="0" w:tplc="0AC474B4">
      <w:start w:val="1"/>
      <w:numFmt w:val="decimal"/>
      <w:lvlText w:val="%1."/>
      <w:lvlJc w:val="left"/>
      <w:pPr>
        <w:tabs>
          <w:tab w:val="num" w:pos="720"/>
        </w:tabs>
        <w:ind w:left="720" w:hanging="360"/>
      </w:pPr>
      <w:rPr>
        <w:rFonts w:hint="default"/>
      </w:rPr>
    </w:lvl>
    <w:lvl w:ilvl="1" w:tplc="788C36D2">
      <w:start w:val="1"/>
      <w:numFmt w:val="lowerLetter"/>
      <w:lvlText w:val="%2."/>
      <w:lvlJc w:val="left"/>
      <w:pPr>
        <w:tabs>
          <w:tab w:val="num" w:pos="1440"/>
        </w:tabs>
        <w:ind w:left="1440" w:hanging="360"/>
      </w:pPr>
    </w:lvl>
    <w:lvl w:ilvl="2" w:tplc="7C02BC82" w:tentative="1">
      <w:start w:val="1"/>
      <w:numFmt w:val="lowerRoman"/>
      <w:lvlText w:val="%3."/>
      <w:lvlJc w:val="right"/>
      <w:pPr>
        <w:tabs>
          <w:tab w:val="num" w:pos="2160"/>
        </w:tabs>
        <w:ind w:left="2160" w:hanging="180"/>
      </w:pPr>
    </w:lvl>
    <w:lvl w:ilvl="3" w:tplc="5EA8EB3A" w:tentative="1">
      <w:start w:val="1"/>
      <w:numFmt w:val="decimal"/>
      <w:lvlText w:val="%4."/>
      <w:lvlJc w:val="left"/>
      <w:pPr>
        <w:tabs>
          <w:tab w:val="num" w:pos="2880"/>
        </w:tabs>
        <w:ind w:left="2880" w:hanging="360"/>
      </w:pPr>
    </w:lvl>
    <w:lvl w:ilvl="4" w:tplc="AC500C98" w:tentative="1">
      <w:start w:val="1"/>
      <w:numFmt w:val="lowerLetter"/>
      <w:lvlText w:val="%5."/>
      <w:lvlJc w:val="left"/>
      <w:pPr>
        <w:tabs>
          <w:tab w:val="num" w:pos="3600"/>
        </w:tabs>
        <w:ind w:left="3600" w:hanging="360"/>
      </w:pPr>
    </w:lvl>
    <w:lvl w:ilvl="5" w:tplc="A40836DE" w:tentative="1">
      <w:start w:val="1"/>
      <w:numFmt w:val="lowerRoman"/>
      <w:lvlText w:val="%6."/>
      <w:lvlJc w:val="right"/>
      <w:pPr>
        <w:tabs>
          <w:tab w:val="num" w:pos="4320"/>
        </w:tabs>
        <w:ind w:left="4320" w:hanging="180"/>
      </w:pPr>
    </w:lvl>
    <w:lvl w:ilvl="6" w:tplc="2B662F30" w:tentative="1">
      <w:start w:val="1"/>
      <w:numFmt w:val="decimal"/>
      <w:lvlText w:val="%7."/>
      <w:lvlJc w:val="left"/>
      <w:pPr>
        <w:tabs>
          <w:tab w:val="num" w:pos="5040"/>
        </w:tabs>
        <w:ind w:left="5040" w:hanging="360"/>
      </w:pPr>
    </w:lvl>
    <w:lvl w:ilvl="7" w:tplc="ACB2C39E" w:tentative="1">
      <w:start w:val="1"/>
      <w:numFmt w:val="lowerLetter"/>
      <w:lvlText w:val="%8."/>
      <w:lvlJc w:val="left"/>
      <w:pPr>
        <w:tabs>
          <w:tab w:val="num" w:pos="5760"/>
        </w:tabs>
        <w:ind w:left="5760" w:hanging="360"/>
      </w:pPr>
    </w:lvl>
    <w:lvl w:ilvl="8" w:tplc="33A6B1A8" w:tentative="1">
      <w:start w:val="1"/>
      <w:numFmt w:val="lowerRoman"/>
      <w:lvlText w:val="%9."/>
      <w:lvlJc w:val="right"/>
      <w:pPr>
        <w:tabs>
          <w:tab w:val="num" w:pos="6480"/>
        </w:tabs>
        <w:ind w:left="6480" w:hanging="180"/>
      </w:pPr>
    </w:lvl>
  </w:abstractNum>
  <w:abstractNum w:abstractNumId="4">
    <w:nsid w:val="3CE551F9"/>
    <w:multiLevelType w:val="hybridMultilevel"/>
    <w:tmpl w:val="E464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B370FE"/>
    <w:multiLevelType w:val="singleLevel"/>
    <w:tmpl w:val="784C57C4"/>
    <w:lvl w:ilvl="0">
      <w:start w:val="1"/>
      <w:numFmt w:val="decimal"/>
      <w:lvlText w:val="%1."/>
      <w:lvlJc w:val="left"/>
      <w:pPr>
        <w:tabs>
          <w:tab w:val="num" w:pos="540"/>
        </w:tabs>
        <w:ind w:left="540" w:hanging="54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D6"/>
    <w:rsid w:val="006213B4"/>
    <w:rsid w:val="00654FEC"/>
    <w:rsid w:val="00802AC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
    <w:name w:va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440"/>
        <w:tab w:val="left" w:pos="720"/>
        <w:tab w:val="left" w:pos="1440"/>
        <w:tab w:val="left" w:pos="2160"/>
        <w:tab w:val="left" w:pos="2880"/>
        <w:tab w:val="left" w:pos="3600"/>
        <w:tab w:val="left" w:pos="4320"/>
        <w:tab w:val="left" w:pos="5040"/>
        <w:tab w:val="left" w:pos="5760"/>
        <w:tab w:val="left" w:pos="6480"/>
        <w:tab w:val="left" w:pos="7200"/>
      </w:tabs>
      <w:spacing w:before="60"/>
      <w:ind w:right="18"/>
      <w:jc w:val="both"/>
    </w:pPr>
  </w:style>
  <w:style w:type="paragraph" w:styleId="BodyText2">
    <w:name w:val="Body Text 2"/>
    <w:basedOn w:val="Normal"/>
    <w:pPr>
      <w:widowControl w:val="0"/>
      <w:tabs>
        <w:tab w:val="left" w:pos="440"/>
        <w:tab w:val="left" w:pos="720"/>
        <w:tab w:val="left" w:pos="1440"/>
        <w:tab w:val="left" w:pos="2160"/>
        <w:tab w:val="left" w:pos="2880"/>
        <w:tab w:val="left" w:pos="3600"/>
        <w:tab w:val="left" w:pos="4320"/>
        <w:tab w:val="left" w:pos="5040"/>
        <w:tab w:val="left" w:pos="5760"/>
        <w:tab w:val="left" w:pos="6480"/>
        <w:tab w:val="left" w:pos="7200"/>
      </w:tabs>
      <w:ind w:right="17"/>
      <w:jc w:val="both"/>
    </w:pPr>
  </w:style>
  <w:style w:type="paragraph" w:styleId="BodyText3">
    <w:name w:val="Body Text 3"/>
    <w:basedOn w:val="Normal"/>
    <w:pPr>
      <w:spacing w:before="120"/>
      <w:jc w:val="both"/>
    </w:pPr>
  </w:style>
  <w:style w:type="paragraph" w:styleId="BodyTextIndent">
    <w:name w:val="Body Text Indent"/>
    <w:basedOn w:val="Normal"/>
    <w:pPr>
      <w:tabs>
        <w:tab w:val="left" w:pos="540"/>
        <w:tab w:val="left" w:pos="1134"/>
        <w:tab w:val="left" w:pos="2160"/>
        <w:tab w:val="left" w:pos="2880"/>
        <w:tab w:val="left" w:pos="3600"/>
        <w:tab w:val="left" w:pos="4320"/>
        <w:tab w:val="left" w:pos="5040"/>
        <w:tab w:val="left" w:pos="5760"/>
        <w:tab w:val="left" w:pos="6480"/>
        <w:tab w:val="left" w:pos="7200"/>
      </w:tabs>
      <w:spacing w:before="120"/>
      <w:ind w:left="1134" w:hanging="1134"/>
      <w:jc w:val="both"/>
    </w:pPr>
  </w:style>
  <w:style w:type="paragraph" w:styleId="BlockText">
    <w:name w:val="Block Text"/>
    <w:basedOn w:val="Normal"/>
    <w:pPr>
      <w:tabs>
        <w:tab w:val="left" w:pos="709"/>
        <w:tab w:val="left" w:pos="2016"/>
        <w:tab w:val="left" w:pos="2736"/>
        <w:tab w:val="left" w:pos="3456"/>
        <w:tab w:val="left" w:pos="4176"/>
        <w:tab w:val="left" w:pos="4896"/>
        <w:tab w:val="left" w:pos="5616"/>
        <w:tab w:val="left" w:pos="6336"/>
        <w:tab w:val="left" w:pos="7056"/>
      </w:tabs>
      <w:ind w:left="709" w:right="18" w:hanging="360"/>
      <w:jc w:val="both"/>
    </w:pPr>
    <w:rPr>
      <w:rFonts w:ascii="Arial" w:hAnsi="Arial"/>
    </w:rPr>
  </w:style>
  <w:style w:type="paragraph" w:styleId="BodyTextIndent2">
    <w:name w:val="Body Text Indent 2"/>
    <w:basedOn w:val="Normal"/>
    <w:pPr>
      <w:widowControl w:val="0"/>
      <w:ind w:firstLine="720"/>
    </w:pPr>
  </w:style>
  <w:style w:type="paragraph" w:styleId="BodyTextIndent3">
    <w:name w:val="Body Text Indent 3"/>
    <w:basedOn w:val="Normal"/>
    <w:pPr>
      <w:widowControl w:val="0"/>
      <w:tabs>
        <w:tab w:val="left" w:pos="567"/>
        <w:tab w:val="left" w:pos="1134"/>
      </w:tabs>
      <w:spacing w:before="120"/>
      <w:ind w:left="1134" w:hanging="1134"/>
    </w:pPr>
  </w:style>
  <w:style w:type="paragraph" w:styleId="BalloonText">
    <w:name w:val="Balloon Text"/>
    <w:basedOn w:val="Normal"/>
    <w:semiHidden/>
    <w:rsid w:val="00F140B0"/>
    <w:rPr>
      <w:rFonts w:ascii="Tahoma" w:hAnsi="Tahoma" w:cs="Tahoma"/>
      <w:sz w:val="16"/>
      <w:szCs w:val="16"/>
    </w:rPr>
  </w:style>
  <w:style w:type="paragraph" w:styleId="Title">
    <w:name w:val="Title"/>
    <w:basedOn w:val="Normal"/>
    <w:next w:val="Normal"/>
    <w:link w:val="TitleChar"/>
    <w:qFormat/>
    <w:rsid w:val="00FB366D"/>
    <w:pPr>
      <w:spacing w:before="240" w:after="60"/>
      <w:outlineLvl w:val="0"/>
    </w:pPr>
    <w:rPr>
      <w:rFonts w:ascii="Verdana" w:hAnsi="Verdana"/>
      <w:b/>
      <w:bCs/>
      <w:color w:val="9D1348"/>
      <w:kern w:val="28"/>
      <w:sz w:val="72"/>
      <w:szCs w:val="32"/>
      <w:lang w:val="en-GB" w:eastAsia="en-GB"/>
    </w:rPr>
  </w:style>
  <w:style w:type="character" w:customStyle="1" w:styleId="TitleChar">
    <w:name w:val="Title Char"/>
    <w:link w:val="Title"/>
    <w:rsid w:val="00FB366D"/>
    <w:rPr>
      <w:rFonts w:ascii="Verdana" w:hAnsi="Verdana"/>
      <w:b/>
      <w:bCs/>
      <w:color w:val="9D1348"/>
      <w:kern w:val="28"/>
      <w:sz w:val="72"/>
      <w:szCs w:val="32"/>
      <w:lang w:val="en-GB" w:eastAsia="en-GB"/>
    </w:rPr>
  </w:style>
  <w:style w:type="character" w:styleId="CommentReference">
    <w:name w:val="annotation reference"/>
    <w:uiPriority w:val="99"/>
    <w:semiHidden/>
    <w:unhideWhenUsed/>
    <w:rsid w:val="00614576"/>
    <w:rPr>
      <w:sz w:val="16"/>
      <w:szCs w:val="16"/>
    </w:rPr>
  </w:style>
  <w:style w:type="paragraph" w:styleId="CommentText">
    <w:name w:val="annotation text"/>
    <w:basedOn w:val="Normal"/>
    <w:link w:val="CommentTextChar"/>
    <w:uiPriority w:val="99"/>
    <w:unhideWhenUsed/>
    <w:rsid w:val="00614576"/>
    <w:rPr>
      <w:sz w:val="20"/>
    </w:rPr>
  </w:style>
  <w:style w:type="character" w:customStyle="1" w:styleId="CommentTextChar">
    <w:name w:val="Comment Text Char"/>
    <w:basedOn w:val="DefaultParagraphFont"/>
    <w:link w:val="CommentText"/>
    <w:uiPriority w:val="99"/>
    <w:rsid w:val="00614576"/>
  </w:style>
  <w:style w:type="paragraph" w:styleId="CommentSubject">
    <w:name w:val="annotation subject"/>
    <w:basedOn w:val="CommentText"/>
    <w:next w:val="CommentText"/>
    <w:link w:val="CommentSubjectChar"/>
    <w:uiPriority w:val="99"/>
    <w:semiHidden/>
    <w:unhideWhenUsed/>
    <w:rsid w:val="00614576"/>
    <w:rPr>
      <w:b/>
      <w:bCs/>
      <w:lang w:val="x-none" w:eastAsia="x-none"/>
    </w:rPr>
  </w:style>
  <w:style w:type="character" w:customStyle="1" w:styleId="CommentSubjectChar">
    <w:name w:val="Comment Subject Char"/>
    <w:link w:val="CommentSubject"/>
    <w:uiPriority w:val="99"/>
    <w:semiHidden/>
    <w:rsid w:val="00614576"/>
    <w:rPr>
      <w:b/>
      <w:bCs/>
    </w:rPr>
  </w:style>
  <w:style w:type="character" w:styleId="Hyperlink">
    <w:name w:val="Hyperlink"/>
    <w:uiPriority w:val="99"/>
    <w:unhideWhenUsed/>
    <w:rsid w:val="00F16249"/>
    <w:rPr>
      <w:color w:val="0563C1"/>
      <w:u w:val="single"/>
    </w:rPr>
  </w:style>
  <w:style w:type="paragraph" w:styleId="NormalWeb">
    <w:name w:val="Normal (Web)"/>
    <w:basedOn w:val="Normal"/>
    <w:uiPriority w:val="99"/>
    <w:semiHidden/>
    <w:unhideWhenUsed/>
    <w:rsid w:val="003D4747"/>
    <w:pPr>
      <w:spacing w:before="100" w:beforeAutospacing="1" w:after="100" w:afterAutospacing="1"/>
    </w:pPr>
    <w:rPr>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
    <w:name w:va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440"/>
        <w:tab w:val="left" w:pos="720"/>
        <w:tab w:val="left" w:pos="1440"/>
        <w:tab w:val="left" w:pos="2160"/>
        <w:tab w:val="left" w:pos="2880"/>
        <w:tab w:val="left" w:pos="3600"/>
        <w:tab w:val="left" w:pos="4320"/>
        <w:tab w:val="left" w:pos="5040"/>
        <w:tab w:val="left" w:pos="5760"/>
        <w:tab w:val="left" w:pos="6480"/>
        <w:tab w:val="left" w:pos="7200"/>
      </w:tabs>
      <w:spacing w:before="60"/>
      <w:ind w:right="18"/>
      <w:jc w:val="both"/>
    </w:pPr>
  </w:style>
  <w:style w:type="paragraph" w:styleId="BodyText2">
    <w:name w:val="Body Text 2"/>
    <w:basedOn w:val="Normal"/>
    <w:pPr>
      <w:widowControl w:val="0"/>
      <w:tabs>
        <w:tab w:val="left" w:pos="440"/>
        <w:tab w:val="left" w:pos="720"/>
        <w:tab w:val="left" w:pos="1440"/>
        <w:tab w:val="left" w:pos="2160"/>
        <w:tab w:val="left" w:pos="2880"/>
        <w:tab w:val="left" w:pos="3600"/>
        <w:tab w:val="left" w:pos="4320"/>
        <w:tab w:val="left" w:pos="5040"/>
        <w:tab w:val="left" w:pos="5760"/>
        <w:tab w:val="left" w:pos="6480"/>
        <w:tab w:val="left" w:pos="7200"/>
      </w:tabs>
      <w:ind w:right="17"/>
      <w:jc w:val="both"/>
    </w:pPr>
  </w:style>
  <w:style w:type="paragraph" w:styleId="BodyText3">
    <w:name w:val="Body Text 3"/>
    <w:basedOn w:val="Normal"/>
    <w:pPr>
      <w:spacing w:before="120"/>
      <w:jc w:val="both"/>
    </w:pPr>
  </w:style>
  <w:style w:type="paragraph" w:styleId="BodyTextIndent">
    <w:name w:val="Body Text Indent"/>
    <w:basedOn w:val="Normal"/>
    <w:pPr>
      <w:tabs>
        <w:tab w:val="left" w:pos="540"/>
        <w:tab w:val="left" w:pos="1134"/>
        <w:tab w:val="left" w:pos="2160"/>
        <w:tab w:val="left" w:pos="2880"/>
        <w:tab w:val="left" w:pos="3600"/>
        <w:tab w:val="left" w:pos="4320"/>
        <w:tab w:val="left" w:pos="5040"/>
        <w:tab w:val="left" w:pos="5760"/>
        <w:tab w:val="left" w:pos="6480"/>
        <w:tab w:val="left" w:pos="7200"/>
      </w:tabs>
      <w:spacing w:before="120"/>
      <w:ind w:left="1134" w:hanging="1134"/>
      <w:jc w:val="both"/>
    </w:pPr>
  </w:style>
  <w:style w:type="paragraph" w:styleId="BlockText">
    <w:name w:val="Block Text"/>
    <w:basedOn w:val="Normal"/>
    <w:pPr>
      <w:tabs>
        <w:tab w:val="left" w:pos="709"/>
        <w:tab w:val="left" w:pos="2016"/>
        <w:tab w:val="left" w:pos="2736"/>
        <w:tab w:val="left" w:pos="3456"/>
        <w:tab w:val="left" w:pos="4176"/>
        <w:tab w:val="left" w:pos="4896"/>
        <w:tab w:val="left" w:pos="5616"/>
        <w:tab w:val="left" w:pos="6336"/>
        <w:tab w:val="left" w:pos="7056"/>
      </w:tabs>
      <w:ind w:left="709" w:right="18" w:hanging="360"/>
      <w:jc w:val="both"/>
    </w:pPr>
    <w:rPr>
      <w:rFonts w:ascii="Arial" w:hAnsi="Arial"/>
    </w:rPr>
  </w:style>
  <w:style w:type="paragraph" w:styleId="BodyTextIndent2">
    <w:name w:val="Body Text Indent 2"/>
    <w:basedOn w:val="Normal"/>
    <w:pPr>
      <w:widowControl w:val="0"/>
      <w:ind w:firstLine="720"/>
    </w:pPr>
  </w:style>
  <w:style w:type="paragraph" w:styleId="BodyTextIndent3">
    <w:name w:val="Body Text Indent 3"/>
    <w:basedOn w:val="Normal"/>
    <w:pPr>
      <w:widowControl w:val="0"/>
      <w:tabs>
        <w:tab w:val="left" w:pos="567"/>
        <w:tab w:val="left" w:pos="1134"/>
      </w:tabs>
      <w:spacing w:before="120"/>
      <w:ind w:left="1134" w:hanging="1134"/>
    </w:pPr>
  </w:style>
  <w:style w:type="paragraph" w:styleId="BalloonText">
    <w:name w:val="Balloon Text"/>
    <w:basedOn w:val="Normal"/>
    <w:semiHidden/>
    <w:rsid w:val="00F140B0"/>
    <w:rPr>
      <w:rFonts w:ascii="Tahoma" w:hAnsi="Tahoma" w:cs="Tahoma"/>
      <w:sz w:val="16"/>
      <w:szCs w:val="16"/>
    </w:rPr>
  </w:style>
  <w:style w:type="paragraph" w:styleId="Title">
    <w:name w:val="Title"/>
    <w:basedOn w:val="Normal"/>
    <w:next w:val="Normal"/>
    <w:link w:val="TitleChar"/>
    <w:qFormat/>
    <w:rsid w:val="00FB366D"/>
    <w:pPr>
      <w:spacing w:before="240" w:after="60"/>
      <w:outlineLvl w:val="0"/>
    </w:pPr>
    <w:rPr>
      <w:rFonts w:ascii="Verdana" w:hAnsi="Verdana"/>
      <w:b/>
      <w:bCs/>
      <w:color w:val="9D1348"/>
      <w:kern w:val="28"/>
      <w:sz w:val="72"/>
      <w:szCs w:val="32"/>
      <w:lang w:val="en-GB" w:eastAsia="en-GB"/>
    </w:rPr>
  </w:style>
  <w:style w:type="character" w:customStyle="1" w:styleId="TitleChar">
    <w:name w:val="Title Char"/>
    <w:link w:val="Title"/>
    <w:rsid w:val="00FB366D"/>
    <w:rPr>
      <w:rFonts w:ascii="Verdana" w:hAnsi="Verdana"/>
      <w:b/>
      <w:bCs/>
      <w:color w:val="9D1348"/>
      <w:kern w:val="28"/>
      <w:sz w:val="72"/>
      <w:szCs w:val="32"/>
      <w:lang w:val="en-GB" w:eastAsia="en-GB"/>
    </w:rPr>
  </w:style>
  <w:style w:type="character" w:styleId="CommentReference">
    <w:name w:val="annotation reference"/>
    <w:uiPriority w:val="99"/>
    <w:semiHidden/>
    <w:unhideWhenUsed/>
    <w:rsid w:val="00614576"/>
    <w:rPr>
      <w:sz w:val="16"/>
      <w:szCs w:val="16"/>
    </w:rPr>
  </w:style>
  <w:style w:type="paragraph" w:styleId="CommentText">
    <w:name w:val="annotation text"/>
    <w:basedOn w:val="Normal"/>
    <w:link w:val="CommentTextChar"/>
    <w:uiPriority w:val="99"/>
    <w:unhideWhenUsed/>
    <w:rsid w:val="00614576"/>
    <w:rPr>
      <w:sz w:val="20"/>
    </w:rPr>
  </w:style>
  <w:style w:type="character" w:customStyle="1" w:styleId="CommentTextChar">
    <w:name w:val="Comment Text Char"/>
    <w:basedOn w:val="DefaultParagraphFont"/>
    <w:link w:val="CommentText"/>
    <w:uiPriority w:val="99"/>
    <w:rsid w:val="00614576"/>
  </w:style>
  <w:style w:type="paragraph" w:styleId="CommentSubject">
    <w:name w:val="annotation subject"/>
    <w:basedOn w:val="CommentText"/>
    <w:next w:val="CommentText"/>
    <w:link w:val="CommentSubjectChar"/>
    <w:uiPriority w:val="99"/>
    <w:semiHidden/>
    <w:unhideWhenUsed/>
    <w:rsid w:val="00614576"/>
    <w:rPr>
      <w:b/>
      <w:bCs/>
      <w:lang w:val="x-none" w:eastAsia="x-none"/>
    </w:rPr>
  </w:style>
  <w:style w:type="character" w:customStyle="1" w:styleId="CommentSubjectChar">
    <w:name w:val="Comment Subject Char"/>
    <w:link w:val="CommentSubject"/>
    <w:uiPriority w:val="99"/>
    <w:semiHidden/>
    <w:rsid w:val="00614576"/>
    <w:rPr>
      <w:b/>
      <w:bCs/>
    </w:rPr>
  </w:style>
  <w:style w:type="character" w:styleId="Hyperlink">
    <w:name w:val="Hyperlink"/>
    <w:uiPriority w:val="99"/>
    <w:unhideWhenUsed/>
    <w:rsid w:val="00F16249"/>
    <w:rPr>
      <w:color w:val="0563C1"/>
      <w:u w:val="single"/>
    </w:rPr>
  </w:style>
  <w:style w:type="paragraph" w:styleId="NormalWeb">
    <w:name w:val="Normal (Web)"/>
    <w:basedOn w:val="Normal"/>
    <w:uiPriority w:val="99"/>
    <w:semiHidden/>
    <w:unhideWhenUsed/>
    <w:rsid w:val="003D4747"/>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7796">
      <w:bodyDiv w:val="1"/>
      <w:marLeft w:val="0"/>
      <w:marRight w:val="0"/>
      <w:marTop w:val="0"/>
      <w:marBottom w:val="0"/>
      <w:divBdr>
        <w:top w:val="none" w:sz="0" w:space="0" w:color="auto"/>
        <w:left w:val="none" w:sz="0" w:space="0" w:color="auto"/>
        <w:bottom w:val="none" w:sz="0" w:space="0" w:color="auto"/>
        <w:right w:val="none" w:sz="0" w:space="0" w:color="auto"/>
      </w:divBdr>
    </w:div>
    <w:div w:id="334891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Nelson's Computer Services</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Dwain &amp; Mary Nelson</dc:creator>
  <cp:lastModifiedBy>Bernadette Chang</cp:lastModifiedBy>
  <cp:revision>2</cp:revision>
  <cp:lastPrinted>2009-07-22T17:10:00Z</cp:lastPrinted>
  <dcterms:created xsi:type="dcterms:W3CDTF">2016-12-22T22:50:00Z</dcterms:created>
  <dcterms:modified xsi:type="dcterms:W3CDTF">2016-12-22T22:50:00Z</dcterms:modified>
</cp:coreProperties>
</file>