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F23A1" w14:textId="7ABEA99A" w:rsidR="00277498" w:rsidRPr="00566C64" w:rsidRDefault="00277498" w:rsidP="00277498">
      <w:pPr>
        <w:ind w:firstLine="0"/>
        <w:rPr>
          <w:rFonts w:ascii="Verdana" w:hAnsi="Verdana"/>
          <w:b/>
          <w:sz w:val="32"/>
          <w:szCs w:val="32"/>
        </w:rPr>
      </w:pPr>
      <w:r w:rsidRPr="00566C64">
        <w:rPr>
          <w:rFonts w:ascii="Verdana" w:hAnsi="Verdana"/>
          <w:b/>
          <w:sz w:val="32"/>
          <w:szCs w:val="32"/>
        </w:rPr>
        <w:t xml:space="preserve">Solutions </w:t>
      </w:r>
      <w:r w:rsidR="00775D6E">
        <w:rPr>
          <w:rFonts w:ascii="Verdana" w:hAnsi="Verdana"/>
          <w:b/>
          <w:sz w:val="32"/>
          <w:szCs w:val="32"/>
        </w:rPr>
        <w:t>m</w:t>
      </w:r>
      <w:r w:rsidRPr="00566C64">
        <w:rPr>
          <w:rFonts w:ascii="Verdana" w:hAnsi="Verdana"/>
          <w:b/>
          <w:sz w:val="32"/>
          <w:szCs w:val="32"/>
        </w:rPr>
        <w:t>anual</w:t>
      </w:r>
    </w:p>
    <w:p w14:paraId="0A669DD9" w14:textId="77777777" w:rsidR="00566C64" w:rsidRDefault="00566C64" w:rsidP="00277498">
      <w:pPr>
        <w:ind w:firstLine="0"/>
        <w:rPr>
          <w:rFonts w:ascii="Verdana" w:hAnsi="Verdana"/>
          <w:b/>
          <w:sz w:val="20"/>
        </w:rPr>
      </w:pPr>
    </w:p>
    <w:p w14:paraId="1DC256D1" w14:textId="77777777" w:rsidR="00140621" w:rsidRDefault="00566C64" w:rsidP="00277498">
      <w:pPr>
        <w:ind w:firstLine="0"/>
        <w:rPr>
          <w:rFonts w:ascii="Verdana" w:hAnsi="Verdana"/>
          <w:b/>
          <w:sz w:val="24"/>
          <w:szCs w:val="24"/>
        </w:rPr>
      </w:pPr>
      <w:r w:rsidRPr="00566C64">
        <w:rPr>
          <w:rFonts w:ascii="Verdana" w:hAnsi="Verdana"/>
          <w:b/>
          <w:sz w:val="24"/>
          <w:szCs w:val="24"/>
        </w:rPr>
        <w:t>C</w:t>
      </w:r>
      <w:r w:rsidR="00140621" w:rsidRPr="00566C64">
        <w:rPr>
          <w:rFonts w:ascii="Verdana" w:hAnsi="Verdana"/>
          <w:b/>
          <w:sz w:val="24"/>
          <w:szCs w:val="24"/>
        </w:rPr>
        <w:t xml:space="preserve">hapter 2 </w:t>
      </w:r>
    </w:p>
    <w:p w14:paraId="43894041" w14:textId="77777777" w:rsidR="0023488A" w:rsidRPr="00566C64" w:rsidRDefault="00140621" w:rsidP="00277498">
      <w:pPr>
        <w:ind w:firstLine="0"/>
        <w:rPr>
          <w:rFonts w:ascii="Verdana" w:hAnsi="Verdana"/>
          <w:b/>
          <w:sz w:val="24"/>
          <w:szCs w:val="24"/>
        </w:rPr>
      </w:pPr>
      <w:r>
        <w:rPr>
          <w:rFonts w:ascii="Verdana" w:hAnsi="Verdana"/>
          <w:b/>
          <w:sz w:val="24"/>
          <w:szCs w:val="24"/>
        </w:rPr>
        <w:t>P</w:t>
      </w:r>
      <w:r w:rsidRPr="00566C64">
        <w:rPr>
          <w:rFonts w:ascii="Verdana" w:hAnsi="Verdana"/>
          <w:b/>
          <w:sz w:val="24"/>
          <w:szCs w:val="24"/>
        </w:rPr>
        <w:t>rinciples of consolidation</w:t>
      </w:r>
    </w:p>
    <w:p w14:paraId="0372DD87" w14:textId="296F64F1" w:rsidR="0023488A" w:rsidRPr="00566C64" w:rsidRDefault="005E27D6">
      <w:pPr>
        <w:ind w:firstLine="0"/>
        <w:rPr>
          <w:rFonts w:ascii="Verdana" w:hAnsi="Verdana"/>
          <w:sz w:val="20"/>
        </w:rPr>
      </w:pPr>
      <w:r w:rsidRPr="00124642">
        <w:rPr>
          <w:rFonts w:ascii="Verdana" w:hAnsi="Verdana"/>
          <w:b/>
          <w:sz w:val="20"/>
        </w:rPr>
        <w:t xml:space="preserve">(Pages </w:t>
      </w:r>
      <w:r>
        <w:rPr>
          <w:rFonts w:ascii="Verdana" w:hAnsi="Verdana"/>
          <w:b/>
          <w:sz w:val="20"/>
        </w:rPr>
        <w:t>104–16</w:t>
      </w:r>
      <w:r w:rsidRPr="00124642">
        <w:rPr>
          <w:rFonts w:ascii="Verdana" w:hAnsi="Verdana"/>
          <w:b/>
          <w:sz w:val="20"/>
        </w:rPr>
        <w:t>)</w:t>
      </w:r>
    </w:p>
    <w:p w14:paraId="68A92456" w14:textId="77777777" w:rsidR="0023488A" w:rsidRPr="00566C64" w:rsidRDefault="0023488A">
      <w:pPr>
        <w:ind w:firstLine="0"/>
        <w:rPr>
          <w:rFonts w:ascii="Verdana" w:hAnsi="Verdana"/>
          <w:sz w:val="20"/>
        </w:rPr>
      </w:pPr>
    </w:p>
    <w:p w14:paraId="3BE3DC19" w14:textId="281BC5A9" w:rsidR="00E22522" w:rsidRPr="005E27D6" w:rsidRDefault="00E22522" w:rsidP="0022267C">
      <w:pPr>
        <w:ind w:firstLine="0"/>
        <w:jc w:val="left"/>
        <w:rPr>
          <w:rFonts w:ascii="Verdana" w:hAnsi="Verdana"/>
          <w:b/>
          <w:i/>
          <w:sz w:val="20"/>
        </w:rPr>
      </w:pPr>
      <w:r w:rsidRPr="0022267C">
        <w:rPr>
          <w:rFonts w:ascii="Verdana" w:hAnsi="Verdana"/>
          <w:b/>
          <w:i/>
          <w:sz w:val="20"/>
        </w:rPr>
        <w:t>Q2.1</w:t>
      </w:r>
      <w:r w:rsidRPr="005E27D6">
        <w:rPr>
          <w:rFonts w:ascii="Verdana" w:hAnsi="Verdana"/>
          <w:b/>
          <w:i/>
          <w:sz w:val="20"/>
        </w:rPr>
        <w:t xml:space="preserve"> </w:t>
      </w:r>
      <w:r w:rsidR="0023488A" w:rsidRPr="0022267C">
        <w:rPr>
          <w:rFonts w:ascii="Verdana" w:hAnsi="Verdana"/>
          <w:b/>
          <w:i/>
          <w:sz w:val="20"/>
        </w:rPr>
        <w:t>Objectives of consolidated financial statements</w:t>
      </w:r>
      <w:r w:rsidR="00053534" w:rsidRPr="005E27D6">
        <w:rPr>
          <w:rFonts w:ascii="Verdana" w:hAnsi="Verdana"/>
          <w:b/>
          <w:i/>
          <w:sz w:val="20"/>
        </w:rPr>
        <w:t xml:space="preserve"> </w:t>
      </w:r>
      <w:r w:rsidR="00CC6DB5" w:rsidRPr="005E27D6">
        <w:rPr>
          <w:rFonts w:ascii="Verdana" w:hAnsi="Verdana"/>
          <w:b/>
          <w:i/>
          <w:sz w:val="20"/>
        </w:rPr>
        <w:t>(Sections 2.1 and 2.2)</w:t>
      </w:r>
      <w:r w:rsidR="00053534" w:rsidRPr="005E27D6">
        <w:rPr>
          <w:rFonts w:ascii="Verdana" w:hAnsi="Verdana"/>
          <w:b/>
          <w:i/>
          <w:sz w:val="20"/>
        </w:rPr>
        <w:t xml:space="preserve"> </w:t>
      </w:r>
    </w:p>
    <w:p w14:paraId="2F7F714B" w14:textId="77777777" w:rsidR="00E22522" w:rsidRPr="00566C64" w:rsidRDefault="00E22522" w:rsidP="0022267C">
      <w:pPr>
        <w:ind w:firstLine="0"/>
        <w:jc w:val="left"/>
        <w:rPr>
          <w:rFonts w:ascii="Verdana" w:hAnsi="Verdana"/>
          <w:sz w:val="20"/>
        </w:rPr>
      </w:pPr>
    </w:p>
    <w:p w14:paraId="472A054A" w14:textId="77777777" w:rsidR="00DA5251" w:rsidRPr="00566C64" w:rsidRDefault="00DA5251" w:rsidP="0022267C">
      <w:pPr>
        <w:ind w:firstLine="0"/>
        <w:jc w:val="left"/>
        <w:rPr>
          <w:rFonts w:ascii="Verdana" w:hAnsi="Verdana"/>
          <w:sz w:val="20"/>
        </w:rPr>
      </w:pPr>
      <w:r w:rsidRPr="00566C64">
        <w:rPr>
          <w:rFonts w:ascii="Verdana" w:hAnsi="Verdana"/>
          <w:sz w:val="20"/>
        </w:rPr>
        <w:t>The objective of consolidated financial statements is to show the operating results and financial position of a group of business entities under common control as if they are operating as a single entity controlled by the same management, the parent entity.</w:t>
      </w:r>
    </w:p>
    <w:p w14:paraId="3219C6D1" w14:textId="77777777" w:rsidR="00DA5251" w:rsidRPr="00566C64" w:rsidRDefault="00DA5251" w:rsidP="0022267C">
      <w:pPr>
        <w:ind w:firstLine="0"/>
        <w:jc w:val="left"/>
        <w:rPr>
          <w:rFonts w:ascii="Verdana" w:hAnsi="Verdana"/>
          <w:sz w:val="20"/>
        </w:rPr>
      </w:pPr>
    </w:p>
    <w:p w14:paraId="21ED1F16" w14:textId="6EC9B07E" w:rsidR="00B11C58" w:rsidRPr="00566C64" w:rsidRDefault="00057F68" w:rsidP="0022267C">
      <w:pPr>
        <w:ind w:firstLine="0"/>
        <w:jc w:val="left"/>
        <w:rPr>
          <w:rFonts w:ascii="Verdana" w:hAnsi="Verdana"/>
          <w:sz w:val="20"/>
        </w:rPr>
      </w:pPr>
      <w:r w:rsidRPr="00566C64">
        <w:rPr>
          <w:rFonts w:ascii="Verdana" w:hAnsi="Verdana"/>
          <w:sz w:val="20"/>
        </w:rPr>
        <w:t>Consolidated financial statements comprise one set of financial statements covering the entire group: one consolidated statement of comprehensive income</w:t>
      </w:r>
      <w:r w:rsidR="006944D6">
        <w:rPr>
          <w:rFonts w:ascii="Verdana" w:hAnsi="Verdana"/>
          <w:sz w:val="20"/>
        </w:rPr>
        <w:t>;</w:t>
      </w:r>
      <w:r w:rsidRPr="00566C64">
        <w:rPr>
          <w:rFonts w:ascii="Verdana" w:hAnsi="Verdana"/>
          <w:sz w:val="20"/>
        </w:rPr>
        <w:t xml:space="preserve"> one consolidated statement of changes in equity</w:t>
      </w:r>
      <w:r w:rsidR="006944D6">
        <w:rPr>
          <w:rFonts w:ascii="Verdana" w:hAnsi="Verdana"/>
          <w:sz w:val="20"/>
        </w:rPr>
        <w:t>;</w:t>
      </w:r>
      <w:r w:rsidRPr="00566C64">
        <w:rPr>
          <w:rFonts w:ascii="Verdana" w:hAnsi="Verdana"/>
          <w:sz w:val="20"/>
        </w:rPr>
        <w:t xml:space="preserve"> one consolidated statement of financial position</w:t>
      </w:r>
      <w:r w:rsidR="006944D6">
        <w:rPr>
          <w:rFonts w:ascii="Verdana" w:hAnsi="Verdana"/>
          <w:sz w:val="20"/>
        </w:rPr>
        <w:t>;</w:t>
      </w:r>
      <w:r w:rsidRPr="00566C64">
        <w:rPr>
          <w:rFonts w:ascii="Verdana" w:hAnsi="Verdana"/>
          <w:sz w:val="20"/>
        </w:rPr>
        <w:t xml:space="preserve"> </w:t>
      </w:r>
      <w:r w:rsidR="00B11C58" w:rsidRPr="00566C64">
        <w:rPr>
          <w:rFonts w:ascii="Verdana" w:hAnsi="Verdana"/>
          <w:sz w:val="20"/>
        </w:rPr>
        <w:t xml:space="preserve">and </w:t>
      </w:r>
      <w:r w:rsidRPr="00566C64">
        <w:rPr>
          <w:rFonts w:ascii="Verdana" w:hAnsi="Verdana"/>
          <w:sz w:val="20"/>
        </w:rPr>
        <w:t>one consolidated statement of cash flows for the entire group.</w:t>
      </w:r>
    </w:p>
    <w:p w14:paraId="20CE5CB2" w14:textId="77777777" w:rsidR="00B11C58" w:rsidRPr="00566C64" w:rsidRDefault="00B11C58" w:rsidP="0022267C">
      <w:pPr>
        <w:ind w:firstLine="0"/>
        <w:jc w:val="left"/>
        <w:rPr>
          <w:rFonts w:ascii="Verdana" w:hAnsi="Verdana"/>
          <w:sz w:val="20"/>
        </w:rPr>
      </w:pPr>
    </w:p>
    <w:p w14:paraId="27C6DA01" w14:textId="24682D8E" w:rsidR="00CC6DB5" w:rsidRPr="00566C64" w:rsidRDefault="00057F68" w:rsidP="0022267C">
      <w:pPr>
        <w:ind w:firstLine="0"/>
        <w:jc w:val="left"/>
        <w:rPr>
          <w:rFonts w:ascii="Verdana" w:hAnsi="Verdana"/>
          <w:sz w:val="20"/>
        </w:rPr>
      </w:pPr>
      <w:r w:rsidRPr="00566C64">
        <w:rPr>
          <w:rFonts w:ascii="Verdana" w:hAnsi="Verdana"/>
          <w:sz w:val="20"/>
        </w:rPr>
        <w:t>The group consists of the parent entity and its subsidiaries, which are controlled by the parent.</w:t>
      </w:r>
      <w:r w:rsidR="0072710E" w:rsidRPr="00566C64">
        <w:rPr>
          <w:rFonts w:ascii="Verdana" w:hAnsi="Verdana"/>
          <w:sz w:val="20"/>
        </w:rPr>
        <w:t xml:space="preserve"> </w:t>
      </w:r>
      <w:r w:rsidR="00B11C58" w:rsidRPr="00566C64">
        <w:rPr>
          <w:rFonts w:ascii="Verdana" w:hAnsi="Verdana"/>
          <w:sz w:val="20"/>
        </w:rPr>
        <w:t xml:space="preserve">The parent </w:t>
      </w:r>
      <w:r w:rsidR="000C63DD" w:rsidRPr="00566C64">
        <w:rPr>
          <w:rFonts w:ascii="Verdana" w:hAnsi="Verdana"/>
          <w:sz w:val="20"/>
        </w:rPr>
        <w:t xml:space="preserve">entity </w:t>
      </w:r>
      <w:r w:rsidR="00B11C58" w:rsidRPr="00566C64">
        <w:rPr>
          <w:rFonts w:ascii="Verdana" w:hAnsi="Verdana"/>
          <w:sz w:val="20"/>
        </w:rPr>
        <w:t xml:space="preserve">has </w:t>
      </w:r>
      <w:r w:rsidR="002B7942" w:rsidRPr="00566C64">
        <w:rPr>
          <w:rFonts w:ascii="Verdana" w:hAnsi="Verdana"/>
          <w:sz w:val="20"/>
        </w:rPr>
        <w:t xml:space="preserve">exposure or rights to variable returns from its involvement with its subsidiaries, and the parent has the ability to use its power over its subsidiaries to affect the amount of the variable returns </w:t>
      </w:r>
      <w:r w:rsidR="000C63DD" w:rsidRPr="00566C64">
        <w:rPr>
          <w:rFonts w:ascii="Verdana" w:hAnsi="Verdana"/>
          <w:sz w:val="20"/>
        </w:rPr>
        <w:t>it</w:t>
      </w:r>
      <w:r w:rsidR="002B7942" w:rsidRPr="00566C64">
        <w:rPr>
          <w:rFonts w:ascii="Verdana" w:hAnsi="Verdana"/>
          <w:sz w:val="20"/>
        </w:rPr>
        <w:t xml:space="preserve"> receives from </w:t>
      </w:r>
      <w:r w:rsidR="00B11C58" w:rsidRPr="00566C64">
        <w:rPr>
          <w:rFonts w:ascii="Verdana" w:hAnsi="Verdana"/>
          <w:sz w:val="20"/>
        </w:rPr>
        <w:t>subsidiaries</w:t>
      </w:r>
      <w:r w:rsidR="006F256C" w:rsidRPr="00566C64">
        <w:rPr>
          <w:rFonts w:ascii="Verdana" w:hAnsi="Verdana"/>
          <w:sz w:val="20"/>
        </w:rPr>
        <w:t xml:space="preserve"> (AASB</w:t>
      </w:r>
      <w:r w:rsidR="007964F4">
        <w:rPr>
          <w:rFonts w:ascii="Verdana" w:hAnsi="Verdana"/>
          <w:sz w:val="20"/>
        </w:rPr>
        <w:t xml:space="preserve"> </w:t>
      </w:r>
      <w:r w:rsidR="006F256C" w:rsidRPr="00566C64">
        <w:rPr>
          <w:rFonts w:ascii="Verdana" w:hAnsi="Verdana"/>
          <w:sz w:val="20"/>
        </w:rPr>
        <w:t>10</w:t>
      </w:r>
      <w:r w:rsidR="007964F4">
        <w:rPr>
          <w:rFonts w:ascii="Verdana" w:hAnsi="Verdana"/>
          <w:sz w:val="20"/>
        </w:rPr>
        <w:t xml:space="preserve"> </w:t>
      </w:r>
      <w:r w:rsidR="006F256C" w:rsidRPr="00566C64">
        <w:rPr>
          <w:rFonts w:ascii="Verdana" w:hAnsi="Verdana"/>
          <w:sz w:val="20"/>
        </w:rPr>
        <w:t>Appendix A)</w:t>
      </w:r>
      <w:r w:rsidR="00B11C58" w:rsidRPr="00566C64">
        <w:rPr>
          <w:rFonts w:ascii="Verdana" w:hAnsi="Verdana"/>
          <w:sz w:val="20"/>
        </w:rPr>
        <w:t>.</w:t>
      </w:r>
      <w:r w:rsidR="0072710E" w:rsidRPr="00566C64">
        <w:rPr>
          <w:rFonts w:ascii="Verdana" w:hAnsi="Verdana"/>
          <w:sz w:val="20"/>
        </w:rPr>
        <w:t xml:space="preserve"> </w:t>
      </w:r>
      <w:r w:rsidR="000C63DD" w:rsidRPr="00566C64">
        <w:rPr>
          <w:rFonts w:ascii="Verdana" w:hAnsi="Verdana"/>
          <w:sz w:val="20"/>
        </w:rPr>
        <w:t>A parent entity has power over a subsidiary when the parent has existing rights that give it the current ability to direct activities of the subsidiary that significantly affect the subsidiary’s returns (AASB</w:t>
      </w:r>
      <w:r w:rsidR="00AC471B">
        <w:rPr>
          <w:rFonts w:ascii="Verdana" w:hAnsi="Verdana"/>
          <w:sz w:val="20"/>
        </w:rPr>
        <w:t xml:space="preserve"> </w:t>
      </w:r>
      <w:r w:rsidR="000C63DD" w:rsidRPr="00566C64">
        <w:rPr>
          <w:rFonts w:ascii="Verdana" w:hAnsi="Verdana"/>
          <w:sz w:val="20"/>
        </w:rPr>
        <w:t>10.10).</w:t>
      </w:r>
      <w:r w:rsidR="00EA7160" w:rsidRPr="00566C64">
        <w:rPr>
          <w:rFonts w:ascii="Verdana" w:hAnsi="Verdana"/>
          <w:sz w:val="20"/>
        </w:rPr>
        <w:t xml:space="preserve"> </w:t>
      </w:r>
      <w:r w:rsidR="00B11C58" w:rsidRPr="00566C64">
        <w:rPr>
          <w:rFonts w:ascii="Verdana" w:hAnsi="Verdana"/>
          <w:sz w:val="20"/>
        </w:rPr>
        <w:t xml:space="preserve">The </w:t>
      </w:r>
      <w:r w:rsidR="005D30DD" w:rsidRPr="00566C64">
        <w:rPr>
          <w:rFonts w:ascii="Verdana" w:hAnsi="Verdana"/>
          <w:sz w:val="20"/>
        </w:rPr>
        <w:t xml:space="preserve">management of the </w:t>
      </w:r>
      <w:r w:rsidR="00B11C58" w:rsidRPr="00566C64">
        <w:rPr>
          <w:rFonts w:ascii="Verdana" w:hAnsi="Verdana"/>
          <w:sz w:val="20"/>
        </w:rPr>
        <w:t xml:space="preserve">parent entity makes decisions relating to the finances and operations of its subsidiaries, </w:t>
      </w:r>
      <w:r w:rsidR="00EA7160" w:rsidRPr="00566C64">
        <w:rPr>
          <w:rFonts w:ascii="Verdana" w:hAnsi="Verdana"/>
          <w:sz w:val="20"/>
        </w:rPr>
        <w:t xml:space="preserve">which significantly affect the amount of returns the parent receives from its subsidiaries, </w:t>
      </w:r>
      <w:r w:rsidR="00B11C58" w:rsidRPr="00566C64">
        <w:rPr>
          <w:rFonts w:ascii="Verdana" w:hAnsi="Verdana"/>
          <w:sz w:val="20"/>
        </w:rPr>
        <w:t xml:space="preserve">and </w:t>
      </w:r>
      <w:r w:rsidR="00EA7160" w:rsidRPr="00566C64">
        <w:rPr>
          <w:rFonts w:ascii="Verdana" w:hAnsi="Verdana"/>
          <w:sz w:val="20"/>
        </w:rPr>
        <w:t xml:space="preserve">has the power to </w:t>
      </w:r>
      <w:r w:rsidR="00B11C58" w:rsidRPr="00566C64">
        <w:rPr>
          <w:rFonts w:ascii="Verdana" w:hAnsi="Verdana"/>
          <w:sz w:val="20"/>
        </w:rPr>
        <w:t xml:space="preserve">impose these decisions upon </w:t>
      </w:r>
      <w:r w:rsidR="00DA5251" w:rsidRPr="00566C64">
        <w:rPr>
          <w:rFonts w:ascii="Verdana" w:hAnsi="Verdana"/>
          <w:sz w:val="20"/>
        </w:rPr>
        <w:t>its</w:t>
      </w:r>
      <w:r w:rsidR="00B11C58" w:rsidRPr="00566C64">
        <w:rPr>
          <w:rFonts w:ascii="Verdana" w:hAnsi="Verdana"/>
          <w:sz w:val="20"/>
        </w:rPr>
        <w:t xml:space="preserve"> subsidiaries</w:t>
      </w:r>
      <w:r w:rsidR="0050013E" w:rsidRPr="00566C64">
        <w:rPr>
          <w:rFonts w:ascii="Verdana" w:hAnsi="Verdana"/>
          <w:sz w:val="20"/>
        </w:rPr>
        <w:t xml:space="preserve"> (AASB</w:t>
      </w:r>
      <w:r w:rsidR="00AC471B">
        <w:rPr>
          <w:rFonts w:ascii="Verdana" w:hAnsi="Verdana"/>
          <w:sz w:val="20"/>
        </w:rPr>
        <w:t xml:space="preserve"> </w:t>
      </w:r>
      <w:r w:rsidR="0050013E" w:rsidRPr="00566C64">
        <w:rPr>
          <w:rFonts w:ascii="Verdana" w:hAnsi="Verdana"/>
          <w:sz w:val="20"/>
        </w:rPr>
        <w:t xml:space="preserve">10.10 </w:t>
      </w:r>
      <w:r w:rsidR="00AC471B">
        <w:rPr>
          <w:rFonts w:ascii="Verdana" w:hAnsi="Verdana"/>
          <w:sz w:val="20"/>
        </w:rPr>
        <w:t>and</w:t>
      </w:r>
      <w:r w:rsidR="00AC471B" w:rsidRPr="00566C64">
        <w:rPr>
          <w:rFonts w:ascii="Verdana" w:hAnsi="Verdana"/>
          <w:sz w:val="20"/>
        </w:rPr>
        <w:t xml:space="preserve"> </w:t>
      </w:r>
      <w:r w:rsidR="0050013E" w:rsidRPr="00566C64">
        <w:rPr>
          <w:rFonts w:ascii="Verdana" w:hAnsi="Verdana"/>
          <w:sz w:val="20"/>
        </w:rPr>
        <w:t>B5</w:t>
      </w:r>
      <w:r w:rsidR="00AC471B">
        <w:rPr>
          <w:rFonts w:ascii="Verdana" w:hAnsi="Verdana"/>
          <w:sz w:val="20"/>
        </w:rPr>
        <w:t>–</w:t>
      </w:r>
      <w:r w:rsidR="0050013E" w:rsidRPr="00566C64">
        <w:rPr>
          <w:rFonts w:ascii="Verdana" w:hAnsi="Verdana"/>
          <w:sz w:val="20"/>
        </w:rPr>
        <w:t>B6).</w:t>
      </w:r>
      <w:r w:rsidR="0072710E" w:rsidRPr="00566C64">
        <w:rPr>
          <w:rFonts w:ascii="Verdana" w:hAnsi="Verdana"/>
          <w:sz w:val="20"/>
        </w:rPr>
        <w:t xml:space="preserve"> </w:t>
      </w:r>
      <w:r w:rsidR="00B11C58" w:rsidRPr="00566C64">
        <w:rPr>
          <w:rFonts w:ascii="Verdana" w:hAnsi="Verdana"/>
          <w:sz w:val="20"/>
        </w:rPr>
        <w:t>Therefore</w:t>
      </w:r>
      <w:r w:rsidR="007964F4">
        <w:rPr>
          <w:rFonts w:ascii="Verdana" w:hAnsi="Verdana"/>
          <w:sz w:val="20"/>
        </w:rPr>
        <w:t>,</w:t>
      </w:r>
      <w:r w:rsidR="00B11C58" w:rsidRPr="00566C64">
        <w:rPr>
          <w:rFonts w:ascii="Verdana" w:hAnsi="Verdana"/>
          <w:sz w:val="20"/>
        </w:rPr>
        <w:t xml:space="preserve"> a group effectively operates as one economic entity.</w:t>
      </w:r>
    </w:p>
    <w:p w14:paraId="12A61AD4" w14:textId="77777777" w:rsidR="00CC6DB5" w:rsidRPr="00566C64" w:rsidRDefault="00CC6DB5" w:rsidP="0022267C">
      <w:pPr>
        <w:ind w:firstLine="0"/>
        <w:jc w:val="left"/>
        <w:rPr>
          <w:rFonts w:ascii="Verdana" w:hAnsi="Verdana"/>
          <w:sz w:val="20"/>
        </w:rPr>
      </w:pPr>
    </w:p>
    <w:p w14:paraId="095FEEEA" w14:textId="4BA878A0" w:rsidR="00057F68" w:rsidRPr="00566C64" w:rsidRDefault="005D30DD" w:rsidP="0022267C">
      <w:pPr>
        <w:ind w:firstLine="0"/>
        <w:jc w:val="left"/>
        <w:rPr>
          <w:rFonts w:ascii="Verdana" w:hAnsi="Verdana"/>
          <w:sz w:val="20"/>
        </w:rPr>
      </w:pPr>
      <w:r w:rsidRPr="00566C64">
        <w:rPr>
          <w:rFonts w:ascii="Verdana" w:hAnsi="Verdana"/>
          <w:sz w:val="20"/>
        </w:rPr>
        <w:t xml:space="preserve">The consolidated financial statements portray the group as if </w:t>
      </w:r>
      <w:r w:rsidR="00CE7718">
        <w:rPr>
          <w:rFonts w:ascii="Verdana" w:hAnsi="Verdana"/>
          <w:sz w:val="20"/>
        </w:rPr>
        <w:t>it</w:t>
      </w:r>
      <w:r w:rsidRPr="00566C64">
        <w:rPr>
          <w:rFonts w:ascii="Verdana" w:hAnsi="Verdana"/>
          <w:sz w:val="20"/>
        </w:rPr>
        <w:t xml:space="preserve"> is a single economic entity.</w:t>
      </w:r>
      <w:r w:rsidR="0072710E" w:rsidRPr="00566C64">
        <w:rPr>
          <w:rFonts w:ascii="Verdana" w:hAnsi="Verdana"/>
          <w:sz w:val="20"/>
        </w:rPr>
        <w:t xml:space="preserve"> </w:t>
      </w:r>
      <w:r w:rsidRPr="00566C64">
        <w:rPr>
          <w:rFonts w:ascii="Verdana" w:hAnsi="Verdana"/>
          <w:sz w:val="20"/>
        </w:rPr>
        <w:t>The consolidated statement of financial position shows all the assets under the control of parent entity management, and how those assets are financed</w:t>
      </w:r>
      <w:r w:rsidR="00DA5251" w:rsidRPr="00566C64">
        <w:rPr>
          <w:rFonts w:ascii="Verdana" w:hAnsi="Verdana"/>
          <w:sz w:val="20"/>
        </w:rPr>
        <w:t xml:space="preserve"> by liabilities and equity of the group</w:t>
      </w:r>
      <w:r w:rsidRPr="00566C64">
        <w:rPr>
          <w:rFonts w:ascii="Verdana" w:hAnsi="Verdana"/>
          <w:sz w:val="20"/>
        </w:rPr>
        <w:t>.</w:t>
      </w:r>
      <w:r w:rsidR="0072710E" w:rsidRPr="00566C64">
        <w:rPr>
          <w:rFonts w:ascii="Verdana" w:hAnsi="Verdana"/>
          <w:sz w:val="20"/>
        </w:rPr>
        <w:t xml:space="preserve"> </w:t>
      </w:r>
      <w:r w:rsidRPr="00566C64">
        <w:rPr>
          <w:rFonts w:ascii="Verdana" w:hAnsi="Verdana"/>
          <w:sz w:val="20"/>
        </w:rPr>
        <w:t>The consolidated statement of comprehensive income shows how well the parent entity management uses the assets of the group to generate profits for the group.</w:t>
      </w:r>
      <w:r w:rsidR="0072710E" w:rsidRPr="00566C64">
        <w:rPr>
          <w:rFonts w:ascii="Verdana" w:hAnsi="Verdana"/>
          <w:sz w:val="20"/>
        </w:rPr>
        <w:t xml:space="preserve"> </w:t>
      </w:r>
      <w:r w:rsidRPr="00566C64">
        <w:rPr>
          <w:rFonts w:ascii="Verdana" w:hAnsi="Verdana"/>
          <w:sz w:val="20"/>
        </w:rPr>
        <w:t>Similarly, the consolidated statement of cash flows shows how well the parent entity management used the assets of the group to generate cash flows from operating activities.</w:t>
      </w:r>
    </w:p>
    <w:p w14:paraId="405D4DD1" w14:textId="77777777" w:rsidR="005D30DD" w:rsidRPr="00566C64" w:rsidRDefault="005D30DD" w:rsidP="0022267C">
      <w:pPr>
        <w:ind w:firstLine="0"/>
        <w:jc w:val="left"/>
        <w:rPr>
          <w:rFonts w:ascii="Verdana" w:hAnsi="Verdana"/>
          <w:sz w:val="20"/>
        </w:rPr>
      </w:pPr>
    </w:p>
    <w:p w14:paraId="567F175A" w14:textId="24CC42DD" w:rsidR="005D30DD" w:rsidRPr="00566C64" w:rsidRDefault="005D30DD" w:rsidP="0022267C">
      <w:pPr>
        <w:ind w:firstLine="0"/>
        <w:jc w:val="left"/>
        <w:rPr>
          <w:rFonts w:ascii="Verdana" w:hAnsi="Verdana"/>
          <w:sz w:val="20"/>
        </w:rPr>
      </w:pPr>
      <w:r w:rsidRPr="00566C64">
        <w:rPr>
          <w:rFonts w:ascii="Verdana" w:hAnsi="Verdana"/>
          <w:sz w:val="20"/>
        </w:rPr>
        <w:t>The consolidated financial statements show only the effect of transactions between the group, and parties external to the group, and the effect of external events (e.g.</w:t>
      </w:r>
      <w:r w:rsidR="000A119E">
        <w:rPr>
          <w:rFonts w:ascii="Verdana" w:hAnsi="Verdana"/>
          <w:sz w:val="20"/>
        </w:rPr>
        <w:t>,</w:t>
      </w:r>
      <w:r w:rsidRPr="00566C64">
        <w:rPr>
          <w:rFonts w:ascii="Verdana" w:hAnsi="Verdana"/>
          <w:sz w:val="20"/>
        </w:rPr>
        <w:t xml:space="preserve"> changes in fair values of assets).</w:t>
      </w:r>
      <w:r w:rsidR="0072710E" w:rsidRPr="00566C64">
        <w:rPr>
          <w:rFonts w:ascii="Verdana" w:hAnsi="Verdana"/>
          <w:sz w:val="20"/>
        </w:rPr>
        <w:t xml:space="preserve"> </w:t>
      </w:r>
      <w:r w:rsidR="000C6204" w:rsidRPr="00566C64">
        <w:rPr>
          <w:rFonts w:ascii="Verdana" w:hAnsi="Verdana"/>
          <w:sz w:val="20"/>
        </w:rPr>
        <w:t xml:space="preserve">The effects of </w:t>
      </w:r>
      <w:r w:rsidR="000A0583" w:rsidRPr="00566C64">
        <w:rPr>
          <w:rFonts w:ascii="Verdana" w:hAnsi="Verdana"/>
          <w:sz w:val="20"/>
        </w:rPr>
        <w:t xml:space="preserve">all intragroup </w:t>
      </w:r>
      <w:r w:rsidR="000C6204" w:rsidRPr="00566C64">
        <w:rPr>
          <w:rFonts w:ascii="Verdana" w:hAnsi="Verdana"/>
          <w:sz w:val="20"/>
        </w:rPr>
        <w:t>transactions between entities within the group are eliminated upon consolidation.</w:t>
      </w:r>
      <w:r w:rsidR="0072710E" w:rsidRPr="00566C64">
        <w:rPr>
          <w:rFonts w:ascii="Verdana" w:hAnsi="Verdana"/>
          <w:sz w:val="20"/>
        </w:rPr>
        <w:t xml:space="preserve"> </w:t>
      </w:r>
      <w:r w:rsidR="0070013D" w:rsidRPr="00566C64">
        <w:rPr>
          <w:rFonts w:ascii="Verdana" w:hAnsi="Verdana"/>
          <w:sz w:val="20"/>
        </w:rPr>
        <w:t>Intragroup investments, intragroup transactions, intragroup unrealised profits and intragroup balances have no impact on the consolidated financial statements because they do not involve parties external to the group.</w:t>
      </w:r>
    </w:p>
    <w:p w14:paraId="64AFBC06" w14:textId="77777777" w:rsidR="000C6204" w:rsidRPr="00566C64" w:rsidRDefault="000C6204" w:rsidP="0022267C">
      <w:pPr>
        <w:ind w:firstLine="0"/>
        <w:jc w:val="left"/>
        <w:rPr>
          <w:rFonts w:ascii="Verdana" w:hAnsi="Verdana"/>
          <w:sz w:val="20"/>
        </w:rPr>
      </w:pPr>
    </w:p>
    <w:p w14:paraId="44CD1456" w14:textId="4B2DEBD4" w:rsidR="000C6204" w:rsidRPr="00566C64" w:rsidRDefault="00B025D0" w:rsidP="0022267C">
      <w:pPr>
        <w:ind w:firstLine="0"/>
        <w:jc w:val="left"/>
        <w:rPr>
          <w:rFonts w:ascii="Verdana" w:hAnsi="Verdana"/>
          <w:sz w:val="20"/>
        </w:rPr>
      </w:pPr>
      <w:r w:rsidRPr="00566C64">
        <w:rPr>
          <w:rFonts w:ascii="Verdana" w:hAnsi="Verdana"/>
          <w:sz w:val="20"/>
        </w:rPr>
        <w:t>Investors in the parent entity</w:t>
      </w:r>
      <w:r w:rsidR="00D57D5F" w:rsidRPr="00566C64">
        <w:rPr>
          <w:rFonts w:ascii="Verdana" w:hAnsi="Verdana"/>
          <w:sz w:val="20"/>
        </w:rPr>
        <w:t>, and creditors of the parent,</w:t>
      </w:r>
      <w:r w:rsidRPr="00566C64">
        <w:rPr>
          <w:rFonts w:ascii="Verdana" w:hAnsi="Verdana"/>
          <w:sz w:val="20"/>
        </w:rPr>
        <w:t xml:space="preserve"> have effectively invested in the group.</w:t>
      </w:r>
      <w:r w:rsidR="0072710E" w:rsidRPr="00566C64">
        <w:rPr>
          <w:rFonts w:ascii="Verdana" w:hAnsi="Verdana"/>
          <w:sz w:val="20"/>
        </w:rPr>
        <w:t xml:space="preserve"> </w:t>
      </w:r>
      <w:r w:rsidRPr="00566C64">
        <w:rPr>
          <w:rFonts w:ascii="Verdana" w:hAnsi="Verdana"/>
          <w:sz w:val="20"/>
        </w:rPr>
        <w:t>Th</w:t>
      </w:r>
      <w:r w:rsidR="0072710E" w:rsidRPr="00566C64">
        <w:rPr>
          <w:rFonts w:ascii="Verdana" w:hAnsi="Verdana"/>
          <w:sz w:val="20"/>
        </w:rPr>
        <w:t xml:space="preserve">e </w:t>
      </w:r>
      <w:r w:rsidRPr="00566C64">
        <w:rPr>
          <w:rFonts w:ascii="Verdana" w:hAnsi="Verdana"/>
          <w:sz w:val="20"/>
        </w:rPr>
        <w:t>parent entity has reinvested funds received from investors and creditors into the subsidiaries it controls</w:t>
      </w:r>
      <w:r w:rsidR="00D57D5F" w:rsidRPr="00566C64">
        <w:rPr>
          <w:rFonts w:ascii="Verdana" w:hAnsi="Verdana"/>
          <w:sz w:val="20"/>
        </w:rPr>
        <w:t>, via equity investments and loans</w:t>
      </w:r>
      <w:r w:rsidR="00550DAD" w:rsidRPr="00566C64">
        <w:rPr>
          <w:rFonts w:ascii="Verdana" w:hAnsi="Verdana"/>
          <w:sz w:val="20"/>
        </w:rPr>
        <w:t>.</w:t>
      </w:r>
      <w:r w:rsidR="0072710E" w:rsidRPr="0022267C">
        <w:rPr>
          <w:rFonts w:ascii="Verdana" w:hAnsi="Verdana"/>
          <w:sz w:val="6"/>
        </w:rPr>
        <w:t xml:space="preserve"> </w:t>
      </w:r>
      <w:r w:rsidR="00550DAD" w:rsidRPr="00566C64">
        <w:rPr>
          <w:rFonts w:ascii="Verdana" w:hAnsi="Verdana"/>
          <w:sz w:val="20"/>
        </w:rPr>
        <w:t>Often</w:t>
      </w:r>
      <w:r w:rsidR="00550DAD" w:rsidRPr="0022267C">
        <w:rPr>
          <w:rFonts w:ascii="Verdana" w:hAnsi="Verdana"/>
          <w:sz w:val="10"/>
        </w:rPr>
        <w:t xml:space="preserve"> </w:t>
      </w:r>
      <w:r w:rsidR="00550DAD" w:rsidRPr="00566C64">
        <w:rPr>
          <w:rFonts w:ascii="Verdana" w:hAnsi="Verdana"/>
          <w:sz w:val="20"/>
        </w:rPr>
        <w:t>a large proportion of the parent’s assets are invested into subsidiaries</w:t>
      </w:r>
      <w:r w:rsidRPr="00566C64">
        <w:rPr>
          <w:rFonts w:ascii="Verdana" w:hAnsi="Verdana"/>
          <w:sz w:val="20"/>
        </w:rPr>
        <w:t>.</w:t>
      </w:r>
      <w:r w:rsidR="0072710E" w:rsidRPr="00566C64">
        <w:rPr>
          <w:rFonts w:ascii="Verdana" w:hAnsi="Verdana"/>
          <w:sz w:val="20"/>
        </w:rPr>
        <w:t xml:space="preserve"> </w:t>
      </w:r>
      <w:r w:rsidR="001F646B" w:rsidRPr="00566C64">
        <w:rPr>
          <w:rFonts w:ascii="Verdana" w:hAnsi="Verdana"/>
          <w:sz w:val="20"/>
        </w:rPr>
        <w:t xml:space="preserve">The </w:t>
      </w:r>
      <w:r w:rsidR="009F0E62" w:rsidRPr="00566C64">
        <w:rPr>
          <w:rFonts w:ascii="Verdana" w:hAnsi="Verdana"/>
          <w:sz w:val="20"/>
        </w:rPr>
        <w:t>profit</w:t>
      </w:r>
      <w:r w:rsidR="001F646B" w:rsidRPr="00566C64">
        <w:rPr>
          <w:rFonts w:ascii="Verdana" w:hAnsi="Verdana"/>
          <w:sz w:val="20"/>
        </w:rPr>
        <w:t xml:space="preserve"> of the parent entity, and the cash flows from operating activities of the parent</w:t>
      </w:r>
      <w:r w:rsidR="00550DAD" w:rsidRPr="00566C64">
        <w:rPr>
          <w:rFonts w:ascii="Verdana" w:hAnsi="Verdana"/>
          <w:sz w:val="20"/>
        </w:rPr>
        <w:t>,</w:t>
      </w:r>
      <w:r w:rsidR="001F646B" w:rsidRPr="00566C64">
        <w:rPr>
          <w:rFonts w:ascii="Verdana" w:hAnsi="Verdana"/>
          <w:sz w:val="20"/>
        </w:rPr>
        <w:t xml:space="preserve"> are often largely dependent upon dividends/profit </w:t>
      </w:r>
      <w:r w:rsidR="001F646B" w:rsidRPr="00566C64">
        <w:rPr>
          <w:rFonts w:ascii="Verdana" w:hAnsi="Verdana"/>
          <w:sz w:val="20"/>
        </w:rPr>
        <w:lastRenderedPageBreak/>
        <w:t>distributions, and interest received from its subsidiaries.</w:t>
      </w:r>
      <w:r w:rsidR="0072710E" w:rsidRPr="00566C64">
        <w:rPr>
          <w:rFonts w:ascii="Verdana" w:hAnsi="Verdana"/>
          <w:sz w:val="20"/>
        </w:rPr>
        <w:t xml:space="preserve"> </w:t>
      </w:r>
      <w:r w:rsidR="00550DAD" w:rsidRPr="00566C64">
        <w:rPr>
          <w:rFonts w:ascii="Verdana" w:hAnsi="Verdana"/>
          <w:sz w:val="20"/>
        </w:rPr>
        <w:t>Therefore</w:t>
      </w:r>
      <w:r w:rsidR="00E67A15">
        <w:rPr>
          <w:rFonts w:ascii="Verdana" w:hAnsi="Verdana"/>
          <w:sz w:val="20"/>
        </w:rPr>
        <w:t>,</w:t>
      </w:r>
      <w:r w:rsidR="00550DAD" w:rsidRPr="00566C64">
        <w:rPr>
          <w:rFonts w:ascii="Verdana" w:hAnsi="Verdana"/>
          <w:sz w:val="20"/>
        </w:rPr>
        <w:t xml:space="preserve"> investors in the parent, and creditors of the parent, require information about the group. </w:t>
      </w:r>
      <w:r w:rsidRPr="00566C64">
        <w:rPr>
          <w:rFonts w:ascii="Verdana" w:hAnsi="Verdana"/>
          <w:sz w:val="20"/>
        </w:rPr>
        <w:t>Consolidated financial statements provide information about the group as a whole.</w:t>
      </w:r>
    </w:p>
    <w:p w14:paraId="0A91FF23" w14:textId="77777777" w:rsidR="00057F68" w:rsidRPr="00566C64" w:rsidRDefault="00057F68" w:rsidP="0022267C">
      <w:pPr>
        <w:ind w:firstLine="0"/>
        <w:jc w:val="center"/>
        <w:rPr>
          <w:rFonts w:ascii="Verdana" w:hAnsi="Verdana"/>
          <w:sz w:val="20"/>
        </w:rPr>
      </w:pPr>
    </w:p>
    <w:p w14:paraId="1DF597AA" w14:textId="482B8335" w:rsidR="008A030B" w:rsidRDefault="009602FB" w:rsidP="0022267C">
      <w:pPr>
        <w:ind w:firstLine="0"/>
        <w:jc w:val="left"/>
        <w:rPr>
          <w:rFonts w:ascii="Verdana" w:hAnsi="Verdana"/>
          <w:sz w:val="20"/>
        </w:rPr>
      </w:pPr>
      <w:r w:rsidRPr="00566C64">
        <w:rPr>
          <w:rFonts w:ascii="Verdana" w:hAnsi="Verdana"/>
          <w:sz w:val="20"/>
        </w:rPr>
        <w:t>The s</w:t>
      </w:r>
      <w:r w:rsidR="00550DAD" w:rsidRPr="00566C64">
        <w:rPr>
          <w:rFonts w:ascii="Verdana" w:hAnsi="Verdana"/>
          <w:sz w:val="20"/>
        </w:rPr>
        <w:t xml:space="preserve">eparate </w:t>
      </w:r>
      <w:r w:rsidRPr="00566C64">
        <w:rPr>
          <w:rFonts w:ascii="Verdana" w:hAnsi="Verdana"/>
          <w:sz w:val="20"/>
        </w:rPr>
        <w:t xml:space="preserve">financial statements </w:t>
      </w:r>
      <w:r w:rsidR="00550DAD" w:rsidRPr="00566C64">
        <w:rPr>
          <w:rFonts w:ascii="Verdana" w:hAnsi="Verdana"/>
          <w:sz w:val="20"/>
        </w:rPr>
        <w:t xml:space="preserve">of </w:t>
      </w:r>
      <w:r w:rsidRPr="00566C64">
        <w:rPr>
          <w:rFonts w:ascii="Verdana" w:hAnsi="Verdana"/>
          <w:sz w:val="20"/>
        </w:rPr>
        <w:t xml:space="preserve">the </w:t>
      </w:r>
      <w:r w:rsidR="00550DAD" w:rsidRPr="00566C64">
        <w:rPr>
          <w:rFonts w:ascii="Verdana" w:hAnsi="Verdana"/>
          <w:sz w:val="20"/>
        </w:rPr>
        <w:t xml:space="preserve">parent </w:t>
      </w:r>
      <w:r w:rsidRPr="00566C64">
        <w:rPr>
          <w:rFonts w:ascii="Verdana" w:hAnsi="Verdana"/>
          <w:sz w:val="20"/>
        </w:rPr>
        <w:t xml:space="preserve">entity </w:t>
      </w:r>
      <w:r w:rsidR="00550DAD" w:rsidRPr="00566C64">
        <w:rPr>
          <w:rFonts w:ascii="Verdana" w:hAnsi="Verdana"/>
          <w:sz w:val="20"/>
        </w:rPr>
        <w:t xml:space="preserve">have limited usefulness </w:t>
      </w:r>
      <w:r w:rsidRPr="00566C64">
        <w:rPr>
          <w:rFonts w:ascii="Verdana" w:hAnsi="Verdana"/>
          <w:sz w:val="20"/>
        </w:rPr>
        <w:t>for investors and creditors of the parent.</w:t>
      </w:r>
      <w:r w:rsidR="0072710E" w:rsidRPr="00566C64">
        <w:rPr>
          <w:rFonts w:ascii="Verdana" w:hAnsi="Verdana"/>
          <w:sz w:val="20"/>
        </w:rPr>
        <w:t xml:space="preserve"> </w:t>
      </w:r>
      <w:r w:rsidRPr="00566C64">
        <w:rPr>
          <w:rFonts w:ascii="Verdana" w:hAnsi="Verdana"/>
          <w:sz w:val="20"/>
        </w:rPr>
        <w:t>Where the parent has invested a major proportion of its assets in subsidiaries, it is difficult for investors and creditors to analyse the performance and financial position of the parent using the financial statements of the parent.</w:t>
      </w:r>
      <w:r w:rsidR="0072710E" w:rsidRPr="00566C64">
        <w:rPr>
          <w:rFonts w:ascii="Verdana" w:hAnsi="Verdana"/>
          <w:sz w:val="20"/>
        </w:rPr>
        <w:t xml:space="preserve"> </w:t>
      </w:r>
      <w:r w:rsidRPr="00566C64">
        <w:rPr>
          <w:rFonts w:ascii="Verdana" w:hAnsi="Verdana"/>
          <w:sz w:val="20"/>
        </w:rPr>
        <w:t>In these circumstances</w:t>
      </w:r>
      <w:r w:rsidR="008A030B" w:rsidRPr="00566C64">
        <w:rPr>
          <w:rFonts w:ascii="Verdana" w:hAnsi="Verdana"/>
          <w:sz w:val="20"/>
        </w:rPr>
        <w:t>:</w:t>
      </w:r>
    </w:p>
    <w:p w14:paraId="485573DA" w14:textId="77777777" w:rsidR="007827EF" w:rsidRPr="00566C64" w:rsidRDefault="007827EF" w:rsidP="0022267C">
      <w:pPr>
        <w:ind w:firstLine="0"/>
        <w:jc w:val="left"/>
        <w:rPr>
          <w:rFonts w:ascii="Verdana" w:hAnsi="Verdana"/>
          <w:sz w:val="20"/>
        </w:rPr>
      </w:pPr>
    </w:p>
    <w:p w14:paraId="266E83BE" w14:textId="3BBD1229" w:rsidR="008A030B" w:rsidRPr="00566C64" w:rsidRDefault="006A262E" w:rsidP="0022267C">
      <w:pPr>
        <w:numPr>
          <w:ilvl w:val="0"/>
          <w:numId w:val="34"/>
        </w:numPr>
        <w:jc w:val="left"/>
        <w:rPr>
          <w:rFonts w:ascii="Verdana" w:hAnsi="Verdana"/>
          <w:sz w:val="20"/>
        </w:rPr>
      </w:pPr>
      <w:r>
        <w:rPr>
          <w:rFonts w:ascii="Verdana" w:hAnsi="Verdana"/>
          <w:sz w:val="20"/>
        </w:rPr>
        <w:t>T</w:t>
      </w:r>
      <w:r w:rsidRPr="00566C64">
        <w:rPr>
          <w:rFonts w:ascii="Verdana" w:hAnsi="Verdana"/>
          <w:sz w:val="20"/>
        </w:rPr>
        <w:t xml:space="preserve">he </w:t>
      </w:r>
      <w:r w:rsidR="009602FB" w:rsidRPr="00566C64">
        <w:rPr>
          <w:rFonts w:ascii="Verdana" w:hAnsi="Verdana"/>
          <w:sz w:val="20"/>
        </w:rPr>
        <w:t>profit and operating cash flows of the parent entity is heavily dependent upon dividends/profit distributions, and interest revenue from its subsidiaries.</w:t>
      </w:r>
      <w:r w:rsidR="0072710E" w:rsidRPr="00566C64">
        <w:rPr>
          <w:rFonts w:ascii="Verdana" w:hAnsi="Verdana"/>
          <w:sz w:val="20"/>
        </w:rPr>
        <w:t xml:space="preserve"> </w:t>
      </w:r>
      <w:r w:rsidR="004D1B3B" w:rsidRPr="00566C64">
        <w:rPr>
          <w:rFonts w:ascii="Verdana" w:hAnsi="Verdana"/>
          <w:sz w:val="20"/>
        </w:rPr>
        <w:t xml:space="preserve">The profit and cash flows reported by the parent could also be affected </w:t>
      </w:r>
      <w:r>
        <w:rPr>
          <w:rFonts w:ascii="Verdana" w:hAnsi="Verdana"/>
          <w:sz w:val="20"/>
        </w:rPr>
        <w:t xml:space="preserve">by </w:t>
      </w:r>
      <w:r w:rsidR="004D1B3B" w:rsidRPr="00566C64">
        <w:rPr>
          <w:rFonts w:ascii="Verdana" w:hAnsi="Verdana"/>
          <w:sz w:val="20"/>
        </w:rPr>
        <w:t xml:space="preserve">unrealised profits resulting from intragroup transactions. </w:t>
      </w:r>
      <w:r w:rsidR="00D72D87" w:rsidRPr="00566C64">
        <w:rPr>
          <w:rFonts w:ascii="Verdana" w:hAnsi="Verdana"/>
          <w:sz w:val="20"/>
        </w:rPr>
        <w:t xml:space="preserve">The profit </w:t>
      </w:r>
      <w:r w:rsidR="00BA5BD9" w:rsidRPr="00566C64">
        <w:rPr>
          <w:rFonts w:ascii="Verdana" w:hAnsi="Verdana"/>
          <w:sz w:val="20"/>
        </w:rPr>
        <w:t xml:space="preserve">and the cash flows </w:t>
      </w:r>
      <w:r w:rsidR="00D72D87" w:rsidRPr="00566C64">
        <w:rPr>
          <w:rFonts w:ascii="Verdana" w:hAnsi="Verdana"/>
          <w:sz w:val="20"/>
        </w:rPr>
        <w:t>reported by the parent can easily be manipulated by the parent instructing subsidiaries to increase or decrease dividends, changing interest rates on intragroup loans, and unrealised intragroup profits.</w:t>
      </w:r>
      <w:r w:rsidR="0072710E" w:rsidRPr="00566C64">
        <w:rPr>
          <w:rFonts w:ascii="Verdana" w:hAnsi="Verdana"/>
          <w:sz w:val="20"/>
        </w:rPr>
        <w:t xml:space="preserve"> </w:t>
      </w:r>
      <w:r w:rsidR="00D72D87" w:rsidRPr="00566C64">
        <w:rPr>
          <w:rFonts w:ascii="Verdana" w:hAnsi="Verdana"/>
          <w:sz w:val="20"/>
        </w:rPr>
        <w:t>In contrast, the effects of all intragroup transactions are eliminated from the consolidated statement</w:t>
      </w:r>
      <w:r w:rsidR="00BA5BD9" w:rsidRPr="00566C64">
        <w:rPr>
          <w:rFonts w:ascii="Verdana" w:hAnsi="Verdana"/>
          <w:sz w:val="20"/>
        </w:rPr>
        <w:t xml:space="preserve"> of comprehensive income, and the consolidated statement of cash flows</w:t>
      </w:r>
      <w:r w:rsidR="00D72D87" w:rsidRPr="00566C64">
        <w:rPr>
          <w:rFonts w:ascii="Verdana" w:hAnsi="Verdana"/>
          <w:sz w:val="20"/>
        </w:rPr>
        <w:t>.</w:t>
      </w:r>
    </w:p>
    <w:p w14:paraId="6A5A3B24" w14:textId="77777777" w:rsidR="006F5149" w:rsidRDefault="006F5149" w:rsidP="006F5149">
      <w:pPr>
        <w:ind w:left="360" w:firstLine="0"/>
        <w:jc w:val="left"/>
        <w:rPr>
          <w:rFonts w:ascii="Verdana" w:hAnsi="Verdana"/>
          <w:sz w:val="20"/>
        </w:rPr>
      </w:pPr>
    </w:p>
    <w:p w14:paraId="78C0C465" w14:textId="0469CFEC" w:rsidR="005B0167" w:rsidRPr="00566C64" w:rsidRDefault="006A262E" w:rsidP="0022267C">
      <w:pPr>
        <w:numPr>
          <w:ilvl w:val="0"/>
          <w:numId w:val="34"/>
        </w:numPr>
        <w:jc w:val="left"/>
        <w:rPr>
          <w:rFonts w:ascii="Verdana" w:hAnsi="Verdana"/>
          <w:sz w:val="20"/>
        </w:rPr>
      </w:pPr>
      <w:r>
        <w:rPr>
          <w:rFonts w:ascii="Verdana" w:hAnsi="Verdana"/>
          <w:sz w:val="20"/>
        </w:rPr>
        <w:t>T</w:t>
      </w:r>
      <w:r w:rsidR="00D72D87" w:rsidRPr="00566C64">
        <w:rPr>
          <w:rFonts w:ascii="Verdana" w:hAnsi="Verdana"/>
          <w:sz w:val="20"/>
        </w:rPr>
        <w:t>he assets in the parent</w:t>
      </w:r>
      <w:r w:rsidR="004D1B3B" w:rsidRPr="00566C64">
        <w:rPr>
          <w:rFonts w:ascii="Verdana" w:hAnsi="Verdana"/>
          <w:sz w:val="20"/>
        </w:rPr>
        <w:t xml:space="preserve"> entity</w:t>
      </w:r>
      <w:r w:rsidR="00D72D87" w:rsidRPr="00566C64">
        <w:rPr>
          <w:rFonts w:ascii="Verdana" w:hAnsi="Verdana"/>
          <w:sz w:val="20"/>
        </w:rPr>
        <w:t>’s statement of financial position will consist largely of investments in subsidiaries, and loans to subsidiaries.</w:t>
      </w:r>
      <w:r w:rsidR="0072710E" w:rsidRPr="00566C64">
        <w:rPr>
          <w:rFonts w:ascii="Verdana" w:hAnsi="Verdana"/>
          <w:sz w:val="20"/>
        </w:rPr>
        <w:t xml:space="preserve"> </w:t>
      </w:r>
      <w:r w:rsidR="008A030B" w:rsidRPr="00566C64">
        <w:rPr>
          <w:rFonts w:ascii="Verdana" w:hAnsi="Verdana"/>
          <w:sz w:val="20"/>
        </w:rPr>
        <w:t>The parent may have guaranteed some or all debts of subsidiaries.</w:t>
      </w:r>
      <w:r w:rsidR="0072710E" w:rsidRPr="00566C64">
        <w:rPr>
          <w:rFonts w:ascii="Verdana" w:hAnsi="Verdana"/>
          <w:sz w:val="20"/>
        </w:rPr>
        <w:t xml:space="preserve"> </w:t>
      </w:r>
      <w:r w:rsidR="008A030B" w:rsidRPr="00566C64">
        <w:rPr>
          <w:rFonts w:ascii="Verdana" w:hAnsi="Verdana"/>
          <w:sz w:val="20"/>
        </w:rPr>
        <w:t>Where the parent entity has not guaranteed the debts of its subsidiaries, the parent is usually equitably obliged to assist a subsidiary in financial difficulty, in order to avoid damage to the reputation/ borrowing capacity of the group.</w:t>
      </w:r>
      <w:r w:rsidR="0072710E" w:rsidRPr="00566C64">
        <w:rPr>
          <w:rFonts w:ascii="Verdana" w:hAnsi="Verdana"/>
          <w:sz w:val="20"/>
        </w:rPr>
        <w:t xml:space="preserve"> </w:t>
      </w:r>
      <w:r w:rsidR="008A030B" w:rsidRPr="00566C64">
        <w:rPr>
          <w:rFonts w:ascii="Verdana" w:hAnsi="Verdana"/>
          <w:sz w:val="20"/>
        </w:rPr>
        <w:t>In contrast, the consolidated statement of financial position shows all the underlying assets of the parent and its subsidiaries (the underlying assets the parent has invested in) and all the liabilities of the group.</w:t>
      </w:r>
    </w:p>
    <w:p w14:paraId="163B559F" w14:textId="77777777" w:rsidR="008A030B" w:rsidRPr="00566C64" w:rsidRDefault="008A030B" w:rsidP="0022267C">
      <w:pPr>
        <w:ind w:firstLine="0"/>
        <w:jc w:val="left"/>
        <w:rPr>
          <w:rFonts w:ascii="Verdana" w:hAnsi="Verdana"/>
          <w:sz w:val="20"/>
        </w:rPr>
      </w:pPr>
    </w:p>
    <w:p w14:paraId="7D508335" w14:textId="24E6A87E" w:rsidR="008A030B" w:rsidRPr="00566C64" w:rsidRDefault="00BF108C" w:rsidP="0022267C">
      <w:pPr>
        <w:ind w:firstLine="0"/>
        <w:jc w:val="left"/>
        <w:rPr>
          <w:rFonts w:ascii="Verdana" w:hAnsi="Verdana"/>
          <w:sz w:val="20"/>
        </w:rPr>
      </w:pPr>
      <w:r w:rsidRPr="00566C64">
        <w:rPr>
          <w:rFonts w:ascii="Verdana" w:hAnsi="Verdana"/>
          <w:sz w:val="20"/>
        </w:rPr>
        <w:t>Providing consolidated financial statements to investors and creditors of the parent entity is a more understandable means of providing information about the group, compared to providing separate financial statements of each entity in the group, especially where the parent has a large number of subsidiaries.</w:t>
      </w:r>
      <w:r w:rsidR="0072710E" w:rsidRPr="00566C64">
        <w:rPr>
          <w:rFonts w:ascii="Verdana" w:hAnsi="Verdana"/>
          <w:sz w:val="20"/>
        </w:rPr>
        <w:t xml:space="preserve"> </w:t>
      </w:r>
      <w:r w:rsidRPr="00566C64">
        <w:rPr>
          <w:rFonts w:ascii="Verdana" w:hAnsi="Verdana"/>
          <w:sz w:val="20"/>
        </w:rPr>
        <w:t>If the parent entity provided investors and creditors with separate financial statements of each entity in the group, it would be very difficult for investors and creditors to obtain an understanding of the performance and financial position of the group.</w:t>
      </w:r>
    </w:p>
    <w:p w14:paraId="14C68F47" w14:textId="77777777" w:rsidR="00BF108C" w:rsidRPr="00566C64" w:rsidRDefault="00BF108C" w:rsidP="0022267C">
      <w:pPr>
        <w:ind w:firstLine="0"/>
        <w:jc w:val="left"/>
        <w:rPr>
          <w:rFonts w:ascii="Verdana" w:hAnsi="Verdana"/>
          <w:sz w:val="20"/>
        </w:rPr>
      </w:pPr>
    </w:p>
    <w:p w14:paraId="2073568F" w14:textId="77777777" w:rsidR="00BF108C" w:rsidRPr="00566C64" w:rsidRDefault="00BF108C" w:rsidP="0022267C">
      <w:pPr>
        <w:ind w:firstLine="0"/>
        <w:jc w:val="left"/>
        <w:rPr>
          <w:rFonts w:ascii="Verdana" w:hAnsi="Verdana"/>
          <w:sz w:val="20"/>
          <w:highlight w:val="green"/>
        </w:rPr>
      </w:pPr>
    </w:p>
    <w:p w14:paraId="03CC7588" w14:textId="6073F665" w:rsidR="005B0167" w:rsidRPr="005E27D6" w:rsidRDefault="00472A09" w:rsidP="0022267C">
      <w:pPr>
        <w:ind w:firstLine="0"/>
        <w:jc w:val="left"/>
        <w:rPr>
          <w:rFonts w:ascii="Verdana" w:hAnsi="Verdana"/>
          <w:b/>
          <w:i/>
          <w:sz w:val="20"/>
        </w:rPr>
      </w:pPr>
      <w:r w:rsidRPr="0022267C">
        <w:rPr>
          <w:rFonts w:ascii="Verdana" w:hAnsi="Verdana"/>
          <w:b/>
          <w:i/>
          <w:sz w:val="20"/>
        </w:rPr>
        <w:t>Q2.2</w:t>
      </w:r>
      <w:r w:rsidR="0072710E" w:rsidRPr="005E27D6">
        <w:rPr>
          <w:rFonts w:ascii="Verdana" w:hAnsi="Verdana"/>
          <w:b/>
          <w:i/>
          <w:sz w:val="20"/>
        </w:rPr>
        <w:t xml:space="preserve"> </w:t>
      </w:r>
      <w:r w:rsidRPr="0022267C">
        <w:rPr>
          <w:rFonts w:ascii="Verdana" w:hAnsi="Verdana"/>
          <w:b/>
          <w:i/>
          <w:sz w:val="20"/>
        </w:rPr>
        <w:t>Separate and consolidated financial statements</w:t>
      </w:r>
      <w:r w:rsidR="00C9098C" w:rsidRPr="005E27D6">
        <w:rPr>
          <w:rFonts w:ascii="Verdana" w:hAnsi="Verdana"/>
          <w:b/>
          <w:i/>
          <w:sz w:val="20"/>
        </w:rPr>
        <w:t xml:space="preserve"> (Section 2.2)</w:t>
      </w:r>
    </w:p>
    <w:p w14:paraId="55C5A41E" w14:textId="77777777" w:rsidR="005B0167" w:rsidRPr="00566C64" w:rsidRDefault="005B0167" w:rsidP="0022267C">
      <w:pPr>
        <w:ind w:firstLine="0"/>
        <w:jc w:val="left"/>
        <w:rPr>
          <w:rFonts w:ascii="Verdana" w:hAnsi="Verdana"/>
          <w:sz w:val="20"/>
        </w:rPr>
      </w:pPr>
    </w:p>
    <w:p w14:paraId="1A35F834" w14:textId="3FDAA066" w:rsidR="00C9098C" w:rsidRPr="00566C64" w:rsidRDefault="00DE43F5" w:rsidP="0022267C">
      <w:pPr>
        <w:ind w:firstLine="0"/>
        <w:jc w:val="left"/>
        <w:rPr>
          <w:rFonts w:ascii="Verdana" w:hAnsi="Verdana"/>
          <w:b/>
          <w:sz w:val="20"/>
        </w:rPr>
      </w:pPr>
      <w:r w:rsidRPr="00566C64">
        <w:rPr>
          <w:rFonts w:ascii="Verdana" w:hAnsi="Verdana"/>
          <w:b/>
          <w:sz w:val="20"/>
        </w:rPr>
        <w:t>Separate statement of financial position of the parent entity</w:t>
      </w:r>
    </w:p>
    <w:p w14:paraId="237FAC8C" w14:textId="3DF8326D" w:rsidR="00C9098C" w:rsidRPr="00566C64" w:rsidRDefault="005F09EE" w:rsidP="0022267C">
      <w:pPr>
        <w:ind w:firstLine="0"/>
        <w:jc w:val="left"/>
        <w:rPr>
          <w:rFonts w:ascii="Verdana" w:hAnsi="Verdana"/>
          <w:sz w:val="20"/>
        </w:rPr>
      </w:pPr>
      <w:r>
        <w:rPr>
          <w:rFonts w:ascii="Verdana" w:hAnsi="Verdana"/>
          <w:sz w:val="20"/>
        </w:rPr>
        <w:t>A s</w:t>
      </w:r>
      <w:r w:rsidR="003C5C9C" w:rsidRPr="00566C64">
        <w:rPr>
          <w:rFonts w:ascii="Verdana" w:hAnsi="Verdana"/>
          <w:sz w:val="20"/>
        </w:rPr>
        <w:t>eparate financial report (including a separate statement of financial position) is</w:t>
      </w:r>
      <w:r w:rsidR="00CF0138" w:rsidRPr="00566C64">
        <w:rPr>
          <w:rFonts w:ascii="Verdana" w:hAnsi="Verdana"/>
          <w:sz w:val="20"/>
        </w:rPr>
        <w:t xml:space="preserve"> </w:t>
      </w:r>
      <w:r w:rsidR="003C5C9C" w:rsidRPr="00566C64">
        <w:rPr>
          <w:rFonts w:ascii="Verdana" w:hAnsi="Verdana"/>
          <w:sz w:val="20"/>
        </w:rPr>
        <w:t>prepared for each entity in the group (the parent entity and each of its subsidiaries) at reporting date, which is derived from the separate accounting records maintained by each entity in the group</w:t>
      </w:r>
      <w:r w:rsidR="00CF0138">
        <w:rPr>
          <w:rFonts w:ascii="Verdana" w:hAnsi="Verdana"/>
          <w:sz w:val="20"/>
        </w:rPr>
        <w:t>.</w:t>
      </w:r>
      <w:r w:rsidR="003C5C9C" w:rsidRPr="00566C64">
        <w:rPr>
          <w:rFonts w:ascii="Verdana" w:hAnsi="Verdana"/>
          <w:sz w:val="20"/>
        </w:rPr>
        <w:t xml:space="preserve"> </w:t>
      </w:r>
    </w:p>
    <w:p w14:paraId="740B3F89" w14:textId="77777777" w:rsidR="00DE43F5" w:rsidRPr="00566C64" w:rsidRDefault="00DE43F5" w:rsidP="0022267C">
      <w:pPr>
        <w:ind w:firstLine="0"/>
        <w:jc w:val="left"/>
        <w:rPr>
          <w:rFonts w:ascii="Verdana" w:hAnsi="Verdana"/>
          <w:sz w:val="20"/>
        </w:rPr>
      </w:pPr>
    </w:p>
    <w:p w14:paraId="6E917250" w14:textId="75B35D54" w:rsidR="00CC7B8C" w:rsidRPr="00566C64" w:rsidRDefault="00CC7B8C" w:rsidP="0022267C">
      <w:pPr>
        <w:ind w:firstLine="0"/>
        <w:jc w:val="left"/>
        <w:rPr>
          <w:rFonts w:ascii="Verdana" w:hAnsi="Verdana"/>
          <w:sz w:val="20"/>
        </w:rPr>
      </w:pPr>
      <w:r w:rsidRPr="00566C64">
        <w:rPr>
          <w:rFonts w:ascii="Verdana" w:hAnsi="Verdana"/>
          <w:sz w:val="20"/>
        </w:rPr>
        <w:t xml:space="preserve">The parent entity’s separate statement of financial position shows all the assets and liabilities of the parent. Often, </w:t>
      </w:r>
      <w:r w:rsidR="0069215D" w:rsidRPr="00566C64">
        <w:rPr>
          <w:rFonts w:ascii="Verdana" w:hAnsi="Verdana"/>
          <w:sz w:val="20"/>
        </w:rPr>
        <w:t>a large proportion of the parent’s assets consist of investments in subsidiaries and loans to subsidiaries.</w:t>
      </w:r>
    </w:p>
    <w:p w14:paraId="5CDB5787" w14:textId="77777777" w:rsidR="00CC7B8C" w:rsidRPr="00566C64" w:rsidRDefault="00CC7B8C" w:rsidP="0022267C">
      <w:pPr>
        <w:ind w:firstLine="0"/>
        <w:jc w:val="left"/>
        <w:rPr>
          <w:rFonts w:ascii="Verdana" w:hAnsi="Verdana"/>
          <w:sz w:val="20"/>
        </w:rPr>
      </w:pPr>
    </w:p>
    <w:p w14:paraId="65B9C89B" w14:textId="77777777" w:rsidR="00DE43F5" w:rsidRPr="00566C64" w:rsidRDefault="00DE43F5" w:rsidP="0022267C">
      <w:pPr>
        <w:ind w:firstLine="0"/>
        <w:jc w:val="left"/>
        <w:rPr>
          <w:rFonts w:ascii="Verdana" w:hAnsi="Verdana"/>
          <w:b/>
          <w:sz w:val="20"/>
        </w:rPr>
      </w:pPr>
      <w:r w:rsidRPr="00566C64">
        <w:rPr>
          <w:rFonts w:ascii="Verdana" w:hAnsi="Verdana"/>
          <w:b/>
          <w:sz w:val="20"/>
        </w:rPr>
        <w:t>Consolidated statement of financial position for the group</w:t>
      </w:r>
    </w:p>
    <w:p w14:paraId="2351D819" w14:textId="193D3533" w:rsidR="00DE43F5" w:rsidRPr="00566C64" w:rsidRDefault="005F09EE" w:rsidP="0022267C">
      <w:pPr>
        <w:ind w:firstLine="0"/>
        <w:jc w:val="left"/>
        <w:rPr>
          <w:rFonts w:ascii="Verdana" w:hAnsi="Verdana"/>
          <w:sz w:val="20"/>
        </w:rPr>
      </w:pPr>
      <w:r>
        <w:rPr>
          <w:rFonts w:ascii="Verdana" w:hAnsi="Verdana"/>
          <w:sz w:val="20"/>
        </w:rPr>
        <w:t>A c</w:t>
      </w:r>
      <w:r w:rsidR="00FD640D" w:rsidRPr="00566C64">
        <w:rPr>
          <w:rFonts w:ascii="Verdana" w:hAnsi="Verdana"/>
          <w:sz w:val="20"/>
        </w:rPr>
        <w:t xml:space="preserve">onsolidated financial report (including a consolidated statement of financial position) is prepared for the group (comprising of the parent entity and </w:t>
      </w:r>
      <w:r w:rsidR="009C7F27" w:rsidRPr="00566C64">
        <w:rPr>
          <w:rFonts w:ascii="Verdana" w:hAnsi="Verdana"/>
          <w:sz w:val="20"/>
        </w:rPr>
        <w:t xml:space="preserve">all </w:t>
      </w:r>
      <w:r w:rsidR="00FD640D" w:rsidRPr="00566C64">
        <w:rPr>
          <w:rFonts w:ascii="Verdana" w:hAnsi="Verdana"/>
          <w:sz w:val="20"/>
        </w:rPr>
        <w:t>its subsidiaries) at reporting/consolidation date,</w:t>
      </w:r>
      <w:r w:rsidR="009C7F27" w:rsidRPr="00566C64">
        <w:rPr>
          <w:rFonts w:ascii="Verdana" w:hAnsi="Verdana"/>
          <w:sz w:val="20"/>
        </w:rPr>
        <w:t xml:space="preserve"> as if the group is a single entity.</w:t>
      </w:r>
      <w:r w:rsidR="0072710E" w:rsidRPr="00566C64">
        <w:rPr>
          <w:rFonts w:ascii="Verdana" w:hAnsi="Verdana"/>
          <w:sz w:val="20"/>
        </w:rPr>
        <w:t xml:space="preserve"> </w:t>
      </w:r>
      <w:r w:rsidR="009C7F27" w:rsidRPr="00566C64">
        <w:rPr>
          <w:rFonts w:ascii="Verdana" w:hAnsi="Verdana"/>
          <w:sz w:val="20"/>
        </w:rPr>
        <w:t xml:space="preserve">The </w:t>
      </w:r>
      <w:r w:rsidR="009C7F27" w:rsidRPr="00566C64">
        <w:rPr>
          <w:rFonts w:ascii="Verdana" w:hAnsi="Verdana"/>
          <w:sz w:val="20"/>
        </w:rPr>
        <w:lastRenderedPageBreak/>
        <w:t xml:space="preserve">consolidated financial report is derived from the consolidation worksheet </w:t>
      </w:r>
      <w:r w:rsidR="009E31C8" w:rsidRPr="00566C64">
        <w:rPr>
          <w:rFonts w:ascii="Verdana" w:hAnsi="Verdana"/>
          <w:sz w:val="20"/>
        </w:rPr>
        <w:t>at reporting/consolidation date, which consolidates the separate financial statements of each entity in the group, via consolidation worksheet adjusting entries.</w:t>
      </w:r>
    </w:p>
    <w:p w14:paraId="15DBFF3E" w14:textId="7E1AB35D" w:rsidR="00DE43F5" w:rsidRPr="00566C64" w:rsidRDefault="00DE43F5" w:rsidP="0022267C">
      <w:pPr>
        <w:ind w:firstLine="0"/>
        <w:jc w:val="left"/>
        <w:rPr>
          <w:rFonts w:ascii="Verdana" w:hAnsi="Verdana"/>
          <w:sz w:val="20"/>
        </w:rPr>
      </w:pPr>
    </w:p>
    <w:p w14:paraId="33DB9DEE" w14:textId="00A97081" w:rsidR="00CC2456" w:rsidRPr="00566C64" w:rsidRDefault="00EA6612" w:rsidP="0022267C">
      <w:pPr>
        <w:ind w:firstLine="0"/>
        <w:jc w:val="left"/>
        <w:rPr>
          <w:rFonts w:ascii="Verdana" w:hAnsi="Verdana"/>
          <w:sz w:val="20"/>
        </w:rPr>
      </w:pPr>
      <w:r w:rsidRPr="00566C64">
        <w:rPr>
          <w:rFonts w:ascii="Verdana" w:hAnsi="Verdana"/>
          <w:sz w:val="20"/>
        </w:rPr>
        <w:t>The consolidated statement of financial position shows all the underlying assets of the parent and its subsidiaries (the underlying assets the parent has invested in) and all the liabilities of the group.  The consolidated statement of financial position shows all the assets under the control of parent entity management, and how those assets are financed by liabilities and equity of the group.</w:t>
      </w:r>
    </w:p>
    <w:p w14:paraId="0B4673FA" w14:textId="77777777" w:rsidR="00566C64" w:rsidRDefault="00566C64" w:rsidP="0022267C">
      <w:pPr>
        <w:ind w:firstLine="0"/>
        <w:jc w:val="left"/>
        <w:rPr>
          <w:rFonts w:ascii="Verdana" w:hAnsi="Verdana"/>
          <w:b/>
          <w:sz w:val="20"/>
        </w:rPr>
      </w:pPr>
    </w:p>
    <w:p w14:paraId="28DC005C" w14:textId="77777777" w:rsidR="00566C64" w:rsidRDefault="00566C64" w:rsidP="0022267C">
      <w:pPr>
        <w:ind w:firstLine="0"/>
        <w:jc w:val="left"/>
        <w:rPr>
          <w:rFonts w:ascii="Verdana" w:hAnsi="Verdana"/>
          <w:b/>
          <w:sz w:val="20"/>
        </w:rPr>
      </w:pPr>
    </w:p>
    <w:p w14:paraId="1B06884A" w14:textId="0DE26767" w:rsidR="00E22522" w:rsidRPr="005E27D6" w:rsidRDefault="00E22522" w:rsidP="0022267C">
      <w:pPr>
        <w:ind w:firstLine="0"/>
        <w:jc w:val="left"/>
        <w:rPr>
          <w:rFonts w:ascii="Verdana" w:hAnsi="Verdana"/>
          <w:b/>
          <w:i/>
          <w:sz w:val="20"/>
        </w:rPr>
      </w:pPr>
      <w:r w:rsidRPr="0022267C">
        <w:rPr>
          <w:rFonts w:ascii="Verdana" w:hAnsi="Verdana"/>
          <w:b/>
          <w:i/>
          <w:sz w:val="20"/>
        </w:rPr>
        <w:t>Q2.3</w:t>
      </w:r>
      <w:r w:rsidR="003949E8" w:rsidRPr="005E27D6">
        <w:rPr>
          <w:rFonts w:ascii="Verdana" w:hAnsi="Verdana"/>
          <w:b/>
          <w:i/>
          <w:sz w:val="20"/>
        </w:rPr>
        <w:t xml:space="preserve"> </w:t>
      </w:r>
      <w:r w:rsidRPr="0022267C">
        <w:rPr>
          <w:rFonts w:ascii="Verdana" w:hAnsi="Verdana"/>
          <w:b/>
          <w:i/>
          <w:sz w:val="20"/>
        </w:rPr>
        <w:t>Inputs, processes and outp</w:t>
      </w:r>
      <w:r w:rsidR="003949E8" w:rsidRPr="0022267C">
        <w:rPr>
          <w:rFonts w:ascii="Verdana" w:hAnsi="Verdana"/>
          <w:b/>
          <w:i/>
          <w:sz w:val="20"/>
        </w:rPr>
        <w:t>uts of consolidation accounting</w:t>
      </w:r>
      <w:r w:rsidR="00185630" w:rsidRPr="005E27D6">
        <w:rPr>
          <w:rFonts w:ascii="Verdana" w:hAnsi="Verdana"/>
          <w:b/>
          <w:i/>
          <w:sz w:val="20"/>
        </w:rPr>
        <w:t xml:space="preserve"> (Section 2.2)</w:t>
      </w:r>
    </w:p>
    <w:p w14:paraId="64A74191" w14:textId="77777777" w:rsidR="00E22522" w:rsidRPr="00566C64" w:rsidRDefault="00E22522" w:rsidP="0022267C">
      <w:pPr>
        <w:ind w:firstLine="0"/>
        <w:jc w:val="left"/>
        <w:rPr>
          <w:rFonts w:ascii="Verdana" w:hAnsi="Verdana"/>
          <w:sz w:val="20"/>
        </w:rPr>
      </w:pPr>
    </w:p>
    <w:p w14:paraId="7F8B4AD6" w14:textId="16BA704A" w:rsidR="00185630" w:rsidRPr="00566C64" w:rsidRDefault="00185630" w:rsidP="0022267C">
      <w:pPr>
        <w:ind w:firstLine="0"/>
        <w:jc w:val="left"/>
        <w:rPr>
          <w:rFonts w:ascii="Verdana" w:hAnsi="Verdana"/>
          <w:b/>
          <w:sz w:val="20"/>
        </w:rPr>
      </w:pPr>
      <w:r w:rsidRPr="00566C64">
        <w:rPr>
          <w:rFonts w:ascii="Verdana" w:hAnsi="Verdana"/>
          <w:b/>
          <w:sz w:val="20"/>
        </w:rPr>
        <w:t>Inputs, processes and outputs of consolidation accounting</w:t>
      </w:r>
    </w:p>
    <w:p w14:paraId="1DC2FAEA" w14:textId="08AA1D2B" w:rsidR="00CB773D" w:rsidRDefault="00185630" w:rsidP="0022267C">
      <w:pPr>
        <w:ind w:firstLine="0"/>
        <w:jc w:val="left"/>
        <w:rPr>
          <w:rFonts w:ascii="Verdana" w:hAnsi="Verdana"/>
          <w:sz w:val="20"/>
        </w:rPr>
      </w:pPr>
      <w:r w:rsidRPr="00566C64">
        <w:rPr>
          <w:rFonts w:ascii="Verdana" w:hAnsi="Verdana"/>
          <w:b/>
          <w:sz w:val="20"/>
        </w:rPr>
        <w:t>Inputs</w:t>
      </w:r>
      <w:r w:rsidR="00C9098C" w:rsidRPr="00566C64">
        <w:rPr>
          <w:rFonts w:ascii="Verdana" w:hAnsi="Verdana"/>
          <w:b/>
          <w:sz w:val="20"/>
        </w:rPr>
        <w:t xml:space="preserve"> </w:t>
      </w:r>
      <w:r w:rsidR="00C9098C" w:rsidRPr="00566C64">
        <w:rPr>
          <w:rFonts w:ascii="Verdana" w:hAnsi="Verdana"/>
          <w:sz w:val="20"/>
        </w:rPr>
        <w:t>of consolidation accounting comprise of</w:t>
      </w:r>
      <w:r w:rsidRPr="00566C64">
        <w:rPr>
          <w:rFonts w:ascii="Verdana" w:hAnsi="Verdana"/>
          <w:sz w:val="20"/>
        </w:rPr>
        <w:t>:</w:t>
      </w:r>
    </w:p>
    <w:p w14:paraId="012DC09C" w14:textId="77777777" w:rsidR="007827EF" w:rsidRPr="00566C64" w:rsidRDefault="007827EF" w:rsidP="0022267C">
      <w:pPr>
        <w:ind w:firstLine="0"/>
        <w:jc w:val="left"/>
        <w:rPr>
          <w:rFonts w:ascii="Verdana" w:hAnsi="Verdana"/>
          <w:sz w:val="20"/>
        </w:rPr>
      </w:pPr>
    </w:p>
    <w:p w14:paraId="5C20B08F" w14:textId="56471B2C" w:rsidR="00185630" w:rsidRDefault="00E1294C" w:rsidP="0022267C">
      <w:pPr>
        <w:numPr>
          <w:ilvl w:val="0"/>
          <w:numId w:val="17"/>
        </w:numPr>
        <w:jc w:val="left"/>
        <w:rPr>
          <w:rFonts w:ascii="Verdana" w:hAnsi="Verdana"/>
          <w:sz w:val="20"/>
        </w:rPr>
      </w:pPr>
      <w:r>
        <w:rPr>
          <w:rFonts w:ascii="Verdana" w:hAnsi="Verdana"/>
          <w:sz w:val="20"/>
        </w:rPr>
        <w:t>T</w:t>
      </w:r>
      <w:r w:rsidR="00CB773D" w:rsidRPr="00566C64">
        <w:rPr>
          <w:rFonts w:ascii="Verdana" w:hAnsi="Verdana"/>
          <w:sz w:val="20"/>
        </w:rPr>
        <w:t xml:space="preserve">he </w:t>
      </w:r>
      <w:r w:rsidR="00C9098C" w:rsidRPr="00566C64">
        <w:rPr>
          <w:rFonts w:ascii="Verdana" w:hAnsi="Verdana"/>
          <w:sz w:val="20"/>
        </w:rPr>
        <w:t xml:space="preserve">separate </w:t>
      </w:r>
      <w:r w:rsidR="00CB773D" w:rsidRPr="00566C64">
        <w:rPr>
          <w:rFonts w:ascii="Verdana" w:hAnsi="Verdana"/>
          <w:sz w:val="20"/>
        </w:rPr>
        <w:t xml:space="preserve">financial statements of </w:t>
      </w:r>
      <w:r w:rsidR="00C9098C" w:rsidRPr="00566C64">
        <w:rPr>
          <w:rFonts w:ascii="Verdana" w:hAnsi="Verdana"/>
          <w:sz w:val="20"/>
        </w:rPr>
        <w:t>each entity in the group (t</w:t>
      </w:r>
      <w:r w:rsidR="00CB773D" w:rsidRPr="00566C64">
        <w:rPr>
          <w:rFonts w:ascii="Verdana" w:hAnsi="Verdana"/>
          <w:sz w:val="20"/>
        </w:rPr>
        <w:t>he parent entity and each of its subsidiaries</w:t>
      </w:r>
      <w:r w:rsidR="00C9098C" w:rsidRPr="00566C64">
        <w:rPr>
          <w:rFonts w:ascii="Verdana" w:hAnsi="Verdana"/>
          <w:sz w:val="20"/>
        </w:rPr>
        <w:t>)</w:t>
      </w:r>
      <w:r w:rsidR="00CB773D" w:rsidRPr="00566C64">
        <w:rPr>
          <w:rFonts w:ascii="Verdana" w:hAnsi="Verdana"/>
          <w:sz w:val="20"/>
        </w:rPr>
        <w:t xml:space="preserve"> at </w:t>
      </w:r>
      <w:r w:rsidR="003C5C9C" w:rsidRPr="00566C64">
        <w:rPr>
          <w:rFonts w:ascii="Verdana" w:hAnsi="Verdana"/>
          <w:sz w:val="20"/>
        </w:rPr>
        <w:t>reporting/</w:t>
      </w:r>
      <w:r w:rsidR="00CB773D" w:rsidRPr="00566C64">
        <w:rPr>
          <w:rFonts w:ascii="Verdana" w:hAnsi="Verdana"/>
          <w:sz w:val="20"/>
        </w:rPr>
        <w:t>consolidation date</w:t>
      </w:r>
      <w:r w:rsidR="00C9098C" w:rsidRPr="00566C64">
        <w:rPr>
          <w:rFonts w:ascii="Verdana" w:hAnsi="Verdana"/>
          <w:sz w:val="20"/>
        </w:rPr>
        <w:t>, which is derived from the separate accounting records maintained by each entity in the group</w:t>
      </w:r>
      <w:r w:rsidR="00EF5617" w:rsidRPr="00566C64">
        <w:rPr>
          <w:rFonts w:ascii="Verdana" w:hAnsi="Verdana"/>
          <w:sz w:val="20"/>
        </w:rPr>
        <w:t>; and</w:t>
      </w:r>
    </w:p>
    <w:p w14:paraId="00EA433A" w14:textId="77777777" w:rsidR="00E1294C" w:rsidRPr="00566C64" w:rsidRDefault="00E1294C" w:rsidP="00E1294C">
      <w:pPr>
        <w:ind w:left="360" w:firstLine="0"/>
        <w:jc w:val="left"/>
        <w:rPr>
          <w:rFonts w:ascii="Verdana" w:hAnsi="Verdana"/>
          <w:sz w:val="20"/>
        </w:rPr>
      </w:pPr>
    </w:p>
    <w:p w14:paraId="6D2237B6" w14:textId="524C49CE" w:rsidR="00185630" w:rsidRPr="00566C64" w:rsidRDefault="00E1294C" w:rsidP="0022267C">
      <w:pPr>
        <w:numPr>
          <w:ilvl w:val="0"/>
          <w:numId w:val="17"/>
        </w:numPr>
        <w:jc w:val="left"/>
        <w:rPr>
          <w:rFonts w:ascii="Verdana" w:hAnsi="Verdana"/>
          <w:sz w:val="20"/>
        </w:rPr>
      </w:pPr>
      <w:r>
        <w:rPr>
          <w:rFonts w:ascii="Verdana" w:hAnsi="Verdana"/>
          <w:sz w:val="20"/>
        </w:rPr>
        <w:t>D</w:t>
      </w:r>
      <w:r w:rsidR="00CB773D" w:rsidRPr="00566C64">
        <w:rPr>
          <w:rFonts w:ascii="Verdana" w:hAnsi="Verdana"/>
          <w:sz w:val="20"/>
        </w:rPr>
        <w:t>etails of</w:t>
      </w:r>
      <w:r w:rsidR="00EF5617" w:rsidRPr="00566C64">
        <w:rPr>
          <w:rFonts w:ascii="Verdana" w:hAnsi="Verdana"/>
          <w:sz w:val="20"/>
        </w:rPr>
        <w:t xml:space="preserve"> pre-acquisition equity of subsidiaries, including fair value</w:t>
      </w:r>
      <w:r w:rsidR="00457244" w:rsidRPr="00566C64">
        <w:rPr>
          <w:rFonts w:ascii="Verdana" w:hAnsi="Verdana"/>
          <w:sz w:val="20"/>
        </w:rPr>
        <w:t>s</w:t>
      </w:r>
      <w:r w:rsidR="00EF5617" w:rsidRPr="00566C64">
        <w:rPr>
          <w:rFonts w:ascii="Verdana" w:hAnsi="Verdana"/>
          <w:sz w:val="20"/>
        </w:rPr>
        <w:t xml:space="preserve"> </w:t>
      </w:r>
      <w:r w:rsidR="00457244" w:rsidRPr="00566C64">
        <w:rPr>
          <w:rFonts w:ascii="Verdana" w:hAnsi="Verdana"/>
          <w:sz w:val="20"/>
        </w:rPr>
        <w:t>and</w:t>
      </w:r>
      <w:r w:rsidR="00EF5617" w:rsidRPr="00566C64">
        <w:rPr>
          <w:rFonts w:ascii="Verdana" w:hAnsi="Verdana"/>
          <w:sz w:val="20"/>
        </w:rPr>
        <w:t xml:space="preserve"> the carrying amount</w:t>
      </w:r>
      <w:r w:rsidR="00457244" w:rsidRPr="00566C64">
        <w:rPr>
          <w:rFonts w:ascii="Verdana" w:hAnsi="Verdana"/>
          <w:sz w:val="20"/>
        </w:rPr>
        <w:t>s</w:t>
      </w:r>
      <w:r w:rsidR="00EF5617" w:rsidRPr="00566C64">
        <w:rPr>
          <w:rFonts w:ascii="Verdana" w:hAnsi="Verdana"/>
          <w:sz w:val="20"/>
        </w:rPr>
        <w:t xml:space="preserve"> of subsidiaries’ identifiable net assets</w:t>
      </w:r>
      <w:r w:rsidR="00457244" w:rsidRPr="00566C64">
        <w:rPr>
          <w:rFonts w:ascii="Verdana" w:hAnsi="Verdana"/>
          <w:sz w:val="20"/>
        </w:rPr>
        <w:t xml:space="preserve"> at acquisition date</w:t>
      </w:r>
      <w:r w:rsidR="00EF5617" w:rsidRPr="00566C64">
        <w:rPr>
          <w:rFonts w:ascii="Verdana" w:hAnsi="Verdana"/>
          <w:sz w:val="20"/>
        </w:rPr>
        <w:t>, and details of</w:t>
      </w:r>
      <w:r w:rsidR="00CB773D" w:rsidRPr="00566C64">
        <w:rPr>
          <w:rFonts w:ascii="Verdana" w:hAnsi="Verdana"/>
          <w:sz w:val="20"/>
        </w:rPr>
        <w:t xml:space="preserve"> intragroup transactions and balances</w:t>
      </w:r>
      <w:r w:rsidR="00BC7965" w:rsidRPr="00566C64">
        <w:rPr>
          <w:rFonts w:ascii="Verdana" w:hAnsi="Verdana"/>
          <w:sz w:val="20"/>
        </w:rPr>
        <w:t>.</w:t>
      </w:r>
    </w:p>
    <w:p w14:paraId="54C0322F" w14:textId="77777777" w:rsidR="00185630" w:rsidRPr="00566C64" w:rsidRDefault="00185630" w:rsidP="0022267C">
      <w:pPr>
        <w:ind w:firstLine="0"/>
        <w:jc w:val="left"/>
        <w:rPr>
          <w:rFonts w:ascii="Verdana" w:hAnsi="Verdana"/>
          <w:sz w:val="20"/>
        </w:rPr>
      </w:pPr>
    </w:p>
    <w:p w14:paraId="6C5212A8" w14:textId="16BA537D" w:rsidR="008F324B" w:rsidRDefault="008F324B" w:rsidP="0022267C">
      <w:pPr>
        <w:ind w:firstLine="0"/>
        <w:jc w:val="left"/>
        <w:rPr>
          <w:rFonts w:ascii="Verdana" w:hAnsi="Verdana"/>
          <w:sz w:val="20"/>
        </w:rPr>
      </w:pPr>
      <w:r w:rsidRPr="00566C64">
        <w:rPr>
          <w:rFonts w:ascii="Verdana" w:hAnsi="Verdana"/>
          <w:b/>
          <w:sz w:val="20"/>
        </w:rPr>
        <w:t>Processes</w:t>
      </w:r>
      <w:r w:rsidR="00EF5617" w:rsidRPr="00566C64">
        <w:rPr>
          <w:rFonts w:ascii="Verdana" w:hAnsi="Verdana"/>
          <w:b/>
          <w:sz w:val="20"/>
        </w:rPr>
        <w:t xml:space="preserve"> </w:t>
      </w:r>
      <w:r w:rsidR="00EF5617" w:rsidRPr="00566C64">
        <w:rPr>
          <w:rFonts w:ascii="Verdana" w:hAnsi="Verdana"/>
          <w:sz w:val="20"/>
        </w:rPr>
        <w:t>of consolidation accounting</w:t>
      </w:r>
      <w:r w:rsidR="0095533C" w:rsidRPr="00566C64">
        <w:rPr>
          <w:rFonts w:ascii="Verdana" w:hAnsi="Verdana"/>
          <w:sz w:val="20"/>
        </w:rPr>
        <w:t xml:space="preserve">, </w:t>
      </w:r>
      <w:r w:rsidR="0095533C" w:rsidRPr="00566C64">
        <w:rPr>
          <w:rFonts w:ascii="Verdana" w:hAnsi="Verdana"/>
          <w:b/>
          <w:sz w:val="20"/>
        </w:rPr>
        <w:t>using a consolidation worksheet</w:t>
      </w:r>
      <w:r w:rsidR="0095533C" w:rsidRPr="00566C64">
        <w:rPr>
          <w:rFonts w:ascii="Verdana" w:hAnsi="Verdana"/>
          <w:sz w:val="20"/>
        </w:rPr>
        <w:t xml:space="preserve">, </w:t>
      </w:r>
      <w:r w:rsidR="00EF5617" w:rsidRPr="00566C64">
        <w:rPr>
          <w:rFonts w:ascii="Verdana" w:hAnsi="Verdana"/>
          <w:sz w:val="20"/>
        </w:rPr>
        <w:t>comprise of:</w:t>
      </w:r>
    </w:p>
    <w:p w14:paraId="05219D15" w14:textId="77777777" w:rsidR="007827EF" w:rsidRPr="00566C64" w:rsidRDefault="007827EF" w:rsidP="0022267C">
      <w:pPr>
        <w:ind w:firstLine="0"/>
        <w:jc w:val="left"/>
        <w:rPr>
          <w:rFonts w:ascii="Verdana" w:hAnsi="Verdana"/>
          <w:b/>
          <w:sz w:val="20"/>
        </w:rPr>
      </w:pPr>
    </w:p>
    <w:p w14:paraId="23A2B237" w14:textId="3C68A1EE" w:rsidR="004B5669" w:rsidRPr="00566C64" w:rsidRDefault="00E1294C" w:rsidP="0022267C">
      <w:pPr>
        <w:numPr>
          <w:ilvl w:val="0"/>
          <w:numId w:val="28"/>
        </w:numPr>
        <w:jc w:val="left"/>
        <w:rPr>
          <w:rFonts w:ascii="Verdana" w:hAnsi="Verdana"/>
          <w:sz w:val="20"/>
        </w:rPr>
      </w:pPr>
      <w:r>
        <w:rPr>
          <w:rFonts w:ascii="Verdana" w:hAnsi="Verdana"/>
          <w:sz w:val="20"/>
        </w:rPr>
        <w:t>R</w:t>
      </w:r>
      <w:r w:rsidR="004B5669" w:rsidRPr="00566C64">
        <w:rPr>
          <w:rFonts w:ascii="Verdana" w:hAnsi="Verdana"/>
          <w:sz w:val="20"/>
        </w:rPr>
        <w:t>ecording the financial data in the separate financial statements of each entity in the group into a consolidation worksheet</w:t>
      </w:r>
      <w:r w:rsidR="005363C3">
        <w:rPr>
          <w:rFonts w:ascii="Verdana" w:hAnsi="Verdana"/>
          <w:sz w:val="20"/>
        </w:rPr>
        <w:t>;</w:t>
      </w:r>
    </w:p>
    <w:p w14:paraId="1987C0F7" w14:textId="77777777" w:rsidR="00E1294C" w:rsidRDefault="00E1294C" w:rsidP="00E1294C">
      <w:pPr>
        <w:ind w:left="360" w:firstLine="0"/>
        <w:jc w:val="left"/>
        <w:rPr>
          <w:rFonts w:ascii="Verdana" w:hAnsi="Verdana"/>
          <w:sz w:val="20"/>
        </w:rPr>
      </w:pPr>
    </w:p>
    <w:p w14:paraId="339BB322" w14:textId="52C2E2E8" w:rsidR="00457244" w:rsidRPr="00566C64" w:rsidRDefault="00E1294C" w:rsidP="0022267C">
      <w:pPr>
        <w:numPr>
          <w:ilvl w:val="0"/>
          <w:numId w:val="28"/>
        </w:numPr>
        <w:jc w:val="left"/>
        <w:rPr>
          <w:rFonts w:ascii="Verdana" w:hAnsi="Verdana"/>
          <w:sz w:val="20"/>
        </w:rPr>
      </w:pPr>
      <w:r>
        <w:rPr>
          <w:rFonts w:ascii="Verdana" w:hAnsi="Verdana"/>
          <w:sz w:val="20"/>
        </w:rPr>
        <w:t>P</w:t>
      </w:r>
      <w:r w:rsidR="00457244" w:rsidRPr="00566C64">
        <w:rPr>
          <w:rFonts w:ascii="Verdana" w:hAnsi="Verdana"/>
          <w:sz w:val="20"/>
        </w:rPr>
        <w:t xml:space="preserve">reparing </w:t>
      </w:r>
      <w:r w:rsidR="00457244" w:rsidRPr="00566C64">
        <w:rPr>
          <w:rFonts w:ascii="Verdana" w:hAnsi="Verdana"/>
          <w:b/>
          <w:sz w:val="20"/>
        </w:rPr>
        <w:t>consolidation worksheet adjusting entries</w:t>
      </w:r>
      <w:r w:rsidR="00457244" w:rsidRPr="00566C64">
        <w:rPr>
          <w:rFonts w:ascii="Verdana" w:hAnsi="Verdana"/>
          <w:sz w:val="20"/>
        </w:rPr>
        <w:t>, including:</w:t>
      </w:r>
    </w:p>
    <w:p w14:paraId="7734004E" w14:textId="77777777" w:rsidR="00457244" w:rsidRPr="00566C64" w:rsidRDefault="00457244" w:rsidP="006F5149">
      <w:pPr>
        <w:numPr>
          <w:ilvl w:val="0"/>
          <w:numId w:val="19"/>
        </w:numPr>
        <w:ind w:left="714" w:hanging="357"/>
        <w:jc w:val="left"/>
        <w:rPr>
          <w:rFonts w:ascii="Verdana" w:hAnsi="Verdana"/>
          <w:sz w:val="20"/>
        </w:rPr>
      </w:pPr>
      <w:r w:rsidRPr="00566C64">
        <w:rPr>
          <w:rFonts w:ascii="Verdana" w:hAnsi="Verdana"/>
          <w:sz w:val="20"/>
        </w:rPr>
        <w:t>consolidation adjusting entries adjusting subsidiaries’ identifiable net assets to fair value</w:t>
      </w:r>
      <w:r w:rsidR="0075632E" w:rsidRPr="00566C64">
        <w:rPr>
          <w:rFonts w:ascii="Verdana" w:hAnsi="Verdana"/>
          <w:sz w:val="20"/>
        </w:rPr>
        <w:t>, based upon information about the fair values and the carrying amounts of subsidiaries’ identifiable net assets at acquisition date;</w:t>
      </w:r>
    </w:p>
    <w:p w14:paraId="20FCB230" w14:textId="77777777" w:rsidR="004B5669" w:rsidRPr="00566C64" w:rsidRDefault="00457244" w:rsidP="006F5149">
      <w:pPr>
        <w:numPr>
          <w:ilvl w:val="0"/>
          <w:numId w:val="19"/>
        </w:numPr>
        <w:ind w:left="714" w:hanging="357"/>
        <w:jc w:val="left"/>
        <w:rPr>
          <w:rFonts w:ascii="Verdana" w:hAnsi="Verdana"/>
          <w:sz w:val="20"/>
        </w:rPr>
      </w:pPr>
      <w:r w:rsidRPr="00566C64">
        <w:rPr>
          <w:rFonts w:ascii="Verdana" w:hAnsi="Verdana"/>
          <w:sz w:val="20"/>
        </w:rPr>
        <w:t>the investment elimination entry for each subsidiary, based upon information about pre-acquisition equity of each subsidiary;</w:t>
      </w:r>
      <w:r w:rsidR="0075632E" w:rsidRPr="00566C64">
        <w:rPr>
          <w:rFonts w:ascii="Verdana" w:hAnsi="Verdana"/>
          <w:sz w:val="20"/>
        </w:rPr>
        <w:t xml:space="preserve"> and</w:t>
      </w:r>
    </w:p>
    <w:p w14:paraId="194CAD09" w14:textId="6E883106" w:rsidR="00520B42" w:rsidRPr="00566C64" w:rsidRDefault="00457244" w:rsidP="006F5149">
      <w:pPr>
        <w:numPr>
          <w:ilvl w:val="0"/>
          <w:numId w:val="19"/>
        </w:numPr>
        <w:ind w:left="714" w:hanging="357"/>
        <w:jc w:val="left"/>
        <w:rPr>
          <w:rFonts w:ascii="Verdana" w:hAnsi="Verdana"/>
          <w:sz w:val="20"/>
        </w:rPr>
      </w:pPr>
      <w:r w:rsidRPr="00566C64">
        <w:rPr>
          <w:rFonts w:ascii="Verdana" w:hAnsi="Verdana"/>
          <w:sz w:val="20"/>
        </w:rPr>
        <w:t>consolidation adjusting entries eliminating intragroup transactions</w:t>
      </w:r>
      <w:r w:rsidR="0075632E" w:rsidRPr="00566C64">
        <w:rPr>
          <w:rFonts w:ascii="Verdana" w:hAnsi="Verdana"/>
          <w:sz w:val="20"/>
        </w:rPr>
        <w:t>, intragroup unrealised profits and losses,</w:t>
      </w:r>
      <w:r w:rsidRPr="00566C64">
        <w:rPr>
          <w:rFonts w:ascii="Verdana" w:hAnsi="Verdana"/>
          <w:sz w:val="20"/>
        </w:rPr>
        <w:t xml:space="preserve"> and </w:t>
      </w:r>
      <w:r w:rsidR="0075632E" w:rsidRPr="00566C64">
        <w:rPr>
          <w:rFonts w:ascii="Verdana" w:hAnsi="Verdana"/>
          <w:sz w:val="20"/>
        </w:rPr>
        <w:t>intragroup balances (based upon information about intragroup transactions, and intragroup balances)</w:t>
      </w:r>
    </w:p>
    <w:p w14:paraId="2D9704B1" w14:textId="77777777" w:rsidR="00457244" w:rsidRPr="00566C64" w:rsidRDefault="0075632E" w:rsidP="0022267C">
      <w:pPr>
        <w:tabs>
          <w:tab w:val="left" w:pos="851"/>
        </w:tabs>
        <w:ind w:left="426" w:firstLine="0"/>
        <w:jc w:val="left"/>
        <w:rPr>
          <w:rFonts w:ascii="Verdana" w:hAnsi="Verdana"/>
          <w:sz w:val="20"/>
        </w:rPr>
      </w:pPr>
      <w:r w:rsidRPr="00566C64">
        <w:rPr>
          <w:rFonts w:ascii="Verdana" w:hAnsi="Verdana"/>
          <w:sz w:val="20"/>
        </w:rPr>
        <w:t>and posting these consolidation worksheet adjusting entries into the consolidation worksheet; and</w:t>
      </w:r>
    </w:p>
    <w:p w14:paraId="60BF5022" w14:textId="77777777" w:rsidR="00E1294C" w:rsidRDefault="00E1294C" w:rsidP="00E1294C">
      <w:pPr>
        <w:ind w:left="360" w:firstLine="0"/>
        <w:jc w:val="left"/>
        <w:rPr>
          <w:rFonts w:ascii="Verdana" w:hAnsi="Verdana"/>
          <w:sz w:val="20"/>
        </w:rPr>
      </w:pPr>
    </w:p>
    <w:p w14:paraId="159BCCA6" w14:textId="21CD6C45" w:rsidR="00457244" w:rsidRPr="00566C64" w:rsidRDefault="00E1294C" w:rsidP="0022267C">
      <w:pPr>
        <w:numPr>
          <w:ilvl w:val="0"/>
          <w:numId w:val="28"/>
        </w:numPr>
        <w:jc w:val="left"/>
        <w:rPr>
          <w:rFonts w:ascii="Verdana" w:hAnsi="Verdana"/>
          <w:sz w:val="20"/>
        </w:rPr>
      </w:pPr>
      <w:r>
        <w:rPr>
          <w:rFonts w:ascii="Verdana" w:hAnsi="Verdana"/>
          <w:sz w:val="20"/>
        </w:rPr>
        <w:t>Calculating</w:t>
      </w:r>
      <w:r w:rsidR="00065DED" w:rsidRPr="00566C64">
        <w:rPr>
          <w:rFonts w:ascii="Verdana" w:hAnsi="Verdana"/>
          <w:sz w:val="20"/>
        </w:rPr>
        <w:t xml:space="preserve"> the consolidated figures for the group by:</w:t>
      </w:r>
    </w:p>
    <w:p w14:paraId="1506C7AF" w14:textId="37ED47B6" w:rsidR="00065DED" w:rsidRPr="00566C64" w:rsidRDefault="00065DED" w:rsidP="006F5149">
      <w:pPr>
        <w:numPr>
          <w:ilvl w:val="0"/>
          <w:numId w:val="23"/>
        </w:numPr>
        <w:ind w:left="714" w:hanging="357"/>
        <w:jc w:val="left"/>
        <w:rPr>
          <w:rFonts w:ascii="Verdana" w:hAnsi="Verdana"/>
          <w:sz w:val="20"/>
        </w:rPr>
      </w:pPr>
      <w:r w:rsidRPr="00566C64">
        <w:rPr>
          <w:rFonts w:ascii="Verdana" w:hAnsi="Verdana"/>
          <w:sz w:val="20"/>
        </w:rPr>
        <w:t>adding across rows for each financial statement line item (</w:t>
      </w:r>
      <w:r w:rsidR="00520B42" w:rsidRPr="00566C64">
        <w:rPr>
          <w:rFonts w:ascii="Verdana" w:hAnsi="Verdana"/>
          <w:sz w:val="20"/>
        </w:rPr>
        <w:t>income</w:t>
      </w:r>
      <w:r w:rsidRPr="00566C64">
        <w:rPr>
          <w:rFonts w:ascii="Verdana" w:hAnsi="Verdana"/>
          <w:sz w:val="20"/>
        </w:rPr>
        <w:t>, expenses, profit appropriations, assets, liabilities and equity items) in the consolidation worksheet, applying the usual rules of debit and credit used in accounting</w:t>
      </w:r>
      <w:r w:rsidR="00C23758">
        <w:rPr>
          <w:rFonts w:ascii="Verdana" w:hAnsi="Verdana"/>
          <w:sz w:val="20"/>
        </w:rPr>
        <w:t>—a</w:t>
      </w:r>
      <w:r w:rsidRPr="00566C64">
        <w:rPr>
          <w:rFonts w:ascii="Verdana" w:hAnsi="Verdana"/>
          <w:sz w:val="20"/>
        </w:rPr>
        <w:t>dding across rows for financial statement line items adjusts the balances recorded by individual group entities to obtain the consolidated figure for the group, so that the rows on the consolidation worksheet function as a ledger accounts for the group as a whole;</w:t>
      </w:r>
    </w:p>
    <w:p w14:paraId="40275413" w14:textId="7A6D4953" w:rsidR="00065DED" w:rsidRPr="00566C64" w:rsidRDefault="00065DED" w:rsidP="006F5149">
      <w:pPr>
        <w:numPr>
          <w:ilvl w:val="0"/>
          <w:numId w:val="23"/>
        </w:numPr>
        <w:ind w:left="714" w:hanging="357"/>
        <w:jc w:val="left"/>
        <w:rPr>
          <w:rFonts w:ascii="Verdana" w:hAnsi="Verdana"/>
          <w:sz w:val="20"/>
        </w:rPr>
      </w:pPr>
      <w:r w:rsidRPr="00566C64">
        <w:rPr>
          <w:rFonts w:ascii="Verdana" w:hAnsi="Verdana"/>
          <w:sz w:val="20"/>
        </w:rPr>
        <w:t xml:space="preserve">adding and/or subtracting consolidated figures for the group </w:t>
      </w:r>
      <w:r w:rsidR="0074652B" w:rsidRPr="00566C64">
        <w:rPr>
          <w:rFonts w:ascii="Verdana" w:hAnsi="Verdana"/>
          <w:sz w:val="20"/>
        </w:rPr>
        <w:t xml:space="preserve">in the consolidation worksheet, </w:t>
      </w:r>
      <w:r w:rsidRPr="00566C64">
        <w:rPr>
          <w:rFonts w:ascii="Verdana" w:hAnsi="Verdana"/>
          <w:sz w:val="20"/>
        </w:rPr>
        <w:t>in the normal manner, to calculate consolidated subtotals and totals for the group (</w:t>
      </w:r>
      <w:r w:rsidR="0074652B" w:rsidRPr="00566C64">
        <w:rPr>
          <w:rFonts w:ascii="Verdana" w:hAnsi="Verdana"/>
          <w:sz w:val="20"/>
        </w:rPr>
        <w:t xml:space="preserve">consolidated </w:t>
      </w:r>
      <w:r w:rsidRPr="00566C64">
        <w:rPr>
          <w:rFonts w:ascii="Verdana" w:hAnsi="Verdana"/>
          <w:sz w:val="20"/>
        </w:rPr>
        <w:t xml:space="preserve">gross profit, </w:t>
      </w:r>
      <w:r w:rsidR="0074652B" w:rsidRPr="00566C64">
        <w:rPr>
          <w:rFonts w:ascii="Verdana" w:hAnsi="Verdana"/>
          <w:sz w:val="20"/>
        </w:rPr>
        <w:t xml:space="preserve">consolidated </w:t>
      </w:r>
      <w:r w:rsidRPr="00566C64">
        <w:rPr>
          <w:rFonts w:ascii="Verdana" w:hAnsi="Verdana"/>
          <w:sz w:val="20"/>
        </w:rPr>
        <w:t xml:space="preserve">profit for the period, </w:t>
      </w:r>
      <w:r w:rsidR="0074652B" w:rsidRPr="00566C64">
        <w:rPr>
          <w:rFonts w:ascii="Verdana" w:hAnsi="Verdana"/>
          <w:sz w:val="20"/>
        </w:rPr>
        <w:t xml:space="preserve">consolidated </w:t>
      </w:r>
      <w:r w:rsidRPr="00566C64">
        <w:rPr>
          <w:rFonts w:ascii="Verdana" w:hAnsi="Verdana"/>
          <w:sz w:val="20"/>
        </w:rPr>
        <w:t xml:space="preserve">closing retained earnings, </w:t>
      </w:r>
      <w:r w:rsidR="0074652B" w:rsidRPr="00566C64">
        <w:rPr>
          <w:rFonts w:ascii="Verdana" w:hAnsi="Verdana"/>
          <w:sz w:val="20"/>
        </w:rPr>
        <w:t xml:space="preserve">consolidated </w:t>
      </w:r>
      <w:r w:rsidRPr="00566C64">
        <w:rPr>
          <w:rFonts w:ascii="Verdana" w:hAnsi="Verdana"/>
          <w:sz w:val="20"/>
        </w:rPr>
        <w:lastRenderedPageBreak/>
        <w:t xml:space="preserve">total equity, </w:t>
      </w:r>
      <w:r w:rsidR="0074652B" w:rsidRPr="00566C64">
        <w:rPr>
          <w:rFonts w:ascii="Verdana" w:hAnsi="Verdana"/>
          <w:sz w:val="20"/>
        </w:rPr>
        <w:t xml:space="preserve">consolidated total liabilities and equity, and consolidated </w:t>
      </w:r>
      <w:r w:rsidRPr="00566C64">
        <w:rPr>
          <w:rFonts w:ascii="Verdana" w:hAnsi="Verdana"/>
          <w:sz w:val="20"/>
        </w:rPr>
        <w:t>total assets</w:t>
      </w:r>
      <w:r w:rsidR="0074652B" w:rsidRPr="00566C64">
        <w:rPr>
          <w:rFonts w:ascii="Verdana" w:hAnsi="Verdana"/>
          <w:sz w:val="20"/>
        </w:rPr>
        <w:t>)</w:t>
      </w:r>
      <w:r w:rsidR="00BC7965" w:rsidRPr="00566C64">
        <w:rPr>
          <w:rFonts w:ascii="Verdana" w:hAnsi="Verdana"/>
          <w:sz w:val="20"/>
        </w:rPr>
        <w:t>.</w:t>
      </w:r>
    </w:p>
    <w:p w14:paraId="3FD12C07" w14:textId="77777777" w:rsidR="00457244" w:rsidRPr="00566C64" w:rsidRDefault="00457244" w:rsidP="0022267C">
      <w:pPr>
        <w:ind w:firstLine="0"/>
        <w:jc w:val="left"/>
        <w:rPr>
          <w:rFonts w:ascii="Verdana" w:hAnsi="Verdana"/>
          <w:sz w:val="20"/>
        </w:rPr>
      </w:pPr>
    </w:p>
    <w:p w14:paraId="5692DB30" w14:textId="3F866AFA" w:rsidR="006C0EF9" w:rsidRPr="00566C64" w:rsidRDefault="00BC7965" w:rsidP="0022267C">
      <w:pPr>
        <w:ind w:firstLine="0"/>
        <w:jc w:val="left"/>
        <w:rPr>
          <w:rFonts w:ascii="Verdana" w:hAnsi="Verdana"/>
          <w:b/>
          <w:sz w:val="20"/>
        </w:rPr>
      </w:pPr>
      <w:r w:rsidRPr="00566C64">
        <w:rPr>
          <w:rFonts w:ascii="Verdana" w:hAnsi="Verdana"/>
          <w:b/>
          <w:sz w:val="20"/>
        </w:rPr>
        <w:t>Output</w:t>
      </w:r>
    </w:p>
    <w:p w14:paraId="5AEFA7B0" w14:textId="77777777" w:rsidR="0074652B" w:rsidRPr="00566C64" w:rsidRDefault="0074652B" w:rsidP="0022267C">
      <w:pPr>
        <w:ind w:firstLine="0"/>
        <w:jc w:val="left"/>
        <w:rPr>
          <w:rFonts w:ascii="Verdana" w:hAnsi="Verdana"/>
          <w:sz w:val="20"/>
        </w:rPr>
      </w:pPr>
      <w:r w:rsidRPr="00566C64">
        <w:rPr>
          <w:rFonts w:ascii="Verdana" w:hAnsi="Verdana"/>
          <w:sz w:val="20"/>
        </w:rPr>
        <w:t xml:space="preserve">The consolidated figures for the group, calculated in the consolidation worksheet </w:t>
      </w:r>
      <w:r w:rsidR="00877C69" w:rsidRPr="00566C64">
        <w:rPr>
          <w:rFonts w:ascii="Verdana" w:hAnsi="Verdana"/>
          <w:sz w:val="20"/>
        </w:rPr>
        <w:t>are</w:t>
      </w:r>
      <w:r w:rsidRPr="00566C64">
        <w:rPr>
          <w:rFonts w:ascii="Verdana" w:hAnsi="Verdana"/>
          <w:sz w:val="20"/>
        </w:rPr>
        <w:t xml:space="preserve"> used to prepare the consolidated financial report, comprising of a consolidated statement of comprehensive income, consolidated statement of changes in equity, consolidated statement of financial position, consolidated statement of cash flows, and notes to the consolidated financial statements.</w:t>
      </w:r>
    </w:p>
    <w:p w14:paraId="3700F051" w14:textId="77777777" w:rsidR="0074652B" w:rsidRPr="00566C64" w:rsidRDefault="0074652B" w:rsidP="0022267C">
      <w:pPr>
        <w:ind w:firstLine="0"/>
        <w:jc w:val="left"/>
        <w:rPr>
          <w:rFonts w:ascii="Verdana" w:hAnsi="Verdana"/>
          <w:sz w:val="20"/>
        </w:rPr>
      </w:pPr>
    </w:p>
    <w:p w14:paraId="3A10240D" w14:textId="77777777" w:rsidR="00BC7965" w:rsidRPr="00566C64" w:rsidRDefault="00BC7965" w:rsidP="0022267C">
      <w:pPr>
        <w:ind w:firstLine="0"/>
        <w:jc w:val="left"/>
        <w:rPr>
          <w:rFonts w:ascii="Verdana" w:hAnsi="Verdana"/>
          <w:sz w:val="20"/>
        </w:rPr>
      </w:pPr>
    </w:p>
    <w:p w14:paraId="7BD0CAC6" w14:textId="5861C665" w:rsidR="00E22522" w:rsidRPr="005E27D6" w:rsidRDefault="00C6575A" w:rsidP="0022267C">
      <w:pPr>
        <w:ind w:firstLine="0"/>
        <w:jc w:val="left"/>
        <w:rPr>
          <w:rFonts w:ascii="Verdana" w:hAnsi="Verdana"/>
          <w:b/>
          <w:i/>
          <w:sz w:val="20"/>
        </w:rPr>
      </w:pPr>
      <w:r w:rsidRPr="0022267C">
        <w:rPr>
          <w:rFonts w:ascii="Verdana" w:hAnsi="Verdana"/>
          <w:b/>
          <w:i/>
          <w:sz w:val="20"/>
        </w:rPr>
        <w:t>Q2.4</w:t>
      </w:r>
      <w:r w:rsidRPr="005E27D6">
        <w:rPr>
          <w:rFonts w:ascii="Verdana" w:hAnsi="Verdana"/>
          <w:b/>
          <w:i/>
          <w:sz w:val="20"/>
        </w:rPr>
        <w:t xml:space="preserve"> </w:t>
      </w:r>
      <w:r w:rsidRPr="0022267C">
        <w:rPr>
          <w:rFonts w:ascii="Verdana" w:hAnsi="Verdana"/>
          <w:b/>
          <w:i/>
          <w:sz w:val="20"/>
        </w:rPr>
        <w:t>Nature of consolidation adjustments</w:t>
      </w:r>
      <w:r w:rsidR="001F5C90" w:rsidRPr="005E27D6">
        <w:rPr>
          <w:rFonts w:ascii="Verdana" w:hAnsi="Verdana"/>
          <w:b/>
          <w:i/>
          <w:sz w:val="20"/>
        </w:rPr>
        <w:t xml:space="preserve"> (Section 2.3)</w:t>
      </w:r>
    </w:p>
    <w:p w14:paraId="14001AA6" w14:textId="77777777" w:rsidR="00E22522" w:rsidRPr="00566C64" w:rsidRDefault="00E22522" w:rsidP="0022267C">
      <w:pPr>
        <w:ind w:firstLine="0"/>
        <w:jc w:val="left"/>
        <w:rPr>
          <w:rFonts w:ascii="Verdana" w:hAnsi="Verdana"/>
          <w:sz w:val="20"/>
        </w:rPr>
      </w:pPr>
    </w:p>
    <w:p w14:paraId="630B0A93" w14:textId="77777777" w:rsidR="001F5C90" w:rsidRPr="00566C64" w:rsidRDefault="001F5C90" w:rsidP="0022267C">
      <w:pPr>
        <w:ind w:firstLine="0"/>
        <w:jc w:val="left"/>
        <w:rPr>
          <w:rFonts w:ascii="Verdana" w:hAnsi="Verdana"/>
          <w:b/>
          <w:sz w:val="20"/>
        </w:rPr>
      </w:pPr>
      <w:r w:rsidRPr="00566C64">
        <w:rPr>
          <w:rFonts w:ascii="Verdana" w:hAnsi="Verdana"/>
          <w:b/>
          <w:sz w:val="20"/>
        </w:rPr>
        <w:t>Repeating investment elimination entry when consolidating in every reporting period</w:t>
      </w:r>
    </w:p>
    <w:p w14:paraId="39A1930D" w14:textId="1BC2CB84" w:rsidR="001F5C90" w:rsidRPr="00566C64" w:rsidRDefault="001F5C90" w:rsidP="0022267C">
      <w:pPr>
        <w:ind w:firstLine="0"/>
        <w:jc w:val="left"/>
        <w:rPr>
          <w:rFonts w:ascii="Verdana" w:hAnsi="Verdana"/>
          <w:sz w:val="20"/>
        </w:rPr>
      </w:pPr>
      <w:r w:rsidRPr="00566C64">
        <w:rPr>
          <w:rFonts w:ascii="Verdana" w:hAnsi="Verdana"/>
          <w:sz w:val="20"/>
        </w:rPr>
        <w:t>The investment elimination entry is repeated in consolidation worksheets in each successive reporting period because consolidation worksheet adjusting entries do not carry forward from one reporting period to the next, as they are not posted to the accounts of either the parent entity or its subsidiaries.</w:t>
      </w:r>
      <w:r w:rsidR="0072710E" w:rsidRPr="00566C64">
        <w:rPr>
          <w:rFonts w:ascii="Verdana" w:hAnsi="Verdana"/>
          <w:sz w:val="20"/>
        </w:rPr>
        <w:t xml:space="preserve"> </w:t>
      </w:r>
      <w:r w:rsidRPr="00566C64">
        <w:rPr>
          <w:rFonts w:ascii="Verdana" w:hAnsi="Verdana"/>
          <w:sz w:val="20"/>
        </w:rPr>
        <w:t xml:space="preserve">At each </w:t>
      </w:r>
      <w:r w:rsidR="003C5C9C" w:rsidRPr="00566C64">
        <w:rPr>
          <w:rFonts w:ascii="Verdana" w:hAnsi="Verdana"/>
          <w:sz w:val="20"/>
        </w:rPr>
        <w:t>reporting/</w:t>
      </w:r>
      <w:r w:rsidRPr="00566C64">
        <w:rPr>
          <w:rFonts w:ascii="Verdana" w:hAnsi="Verdana"/>
          <w:sz w:val="20"/>
        </w:rPr>
        <w:t>consolidation date, the consolidation commences with the accounts of the parent entity, and its subsidiaries at that date (which do not include the consolidation adjusting entries of previous reporting periods).</w:t>
      </w:r>
      <w:r w:rsidR="0072710E" w:rsidRPr="00566C64">
        <w:rPr>
          <w:rFonts w:ascii="Verdana" w:hAnsi="Verdana"/>
          <w:sz w:val="20"/>
        </w:rPr>
        <w:t xml:space="preserve"> </w:t>
      </w:r>
      <w:r w:rsidRPr="00566C64">
        <w:rPr>
          <w:rFonts w:ascii="Verdana" w:hAnsi="Verdana"/>
          <w:sz w:val="20"/>
        </w:rPr>
        <w:t>Where consolidation worksheet adjusting entries from the previous reporting period are still relevant in the current reporting period, such as the investment elimination entry, they are repeated in the current period consolidation.</w:t>
      </w:r>
    </w:p>
    <w:p w14:paraId="069337E9" w14:textId="77777777" w:rsidR="001F5C90" w:rsidRPr="00566C64" w:rsidRDefault="001F5C90" w:rsidP="0022267C">
      <w:pPr>
        <w:ind w:firstLine="0"/>
        <w:jc w:val="left"/>
        <w:rPr>
          <w:rFonts w:ascii="Verdana" w:hAnsi="Verdana"/>
          <w:sz w:val="20"/>
        </w:rPr>
      </w:pPr>
    </w:p>
    <w:p w14:paraId="58D4A57B" w14:textId="1B0639D5" w:rsidR="001F5C90" w:rsidRPr="00566C64" w:rsidRDefault="00816917" w:rsidP="0022267C">
      <w:pPr>
        <w:ind w:firstLine="0"/>
        <w:jc w:val="left"/>
        <w:rPr>
          <w:rFonts w:ascii="Verdana" w:hAnsi="Verdana"/>
          <w:sz w:val="20"/>
        </w:rPr>
      </w:pPr>
      <w:r w:rsidRPr="00566C64">
        <w:rPr>
          <w:rFonts w:ascii="Verdana" w:hAnsi="Verdana"/>
          <w:sz w:val="20"/>
        </w:rPr>
        <w:t>During an accounting period between reporting dates, each entity in the group maintains its own separate accounting records by recording all transactions it engages in, including any transactions with other entities in the group.</w:t>
      </w:r>
      <w:r w:rsidR="0072710E" w:rsidRPr="00566C64">
        <w:rPr>
          <w:rFonts w:ascii="Verdana" w:hAnsi="Verdana"/>
          <w:sz w:val="20"/>
        </w:rPr>
        <w:t xml:space="preserve"> </w:t>
      </w:r>
      <w:r w:rsidRPr="00566C64">
        <w:rPr>
          <w:rFonts w:ascii="Verdana" w:hAnsi="Verdana"/>
          <w:sz w:val="20"/>
        </w:rPr>
        <w:t>At the end of the reporting period, each entity in the group prepares it</w:t>
      </w:r>
      <w:r w:rsidR="009C7F27" w:rsidRPr="00566C64">
        <w:rPr>
          <w:rFonts w:ascii="Verdana" w:hAnsi="Verdana"/>
          <w:sz w:val="20"/>
        </w:rPr>
        <w:t>s</w:t>
      </w:r>
      <w:r w:rsidRPr="00566C64">
        <w:rPr>
          <w:rFonts w:ascii="Verdana" w:hAnsi="Verdana"/>
          <w:sz w:val="20"/>
        </w:rPr>
        <w:t xml:space="preserve"> own financial statements.</w:t>
      </w:r>
      <w:r w:rsidR="0072710E" w:rsidRPr="00566C64">
        <w:rPr>
          <w:rFonts w:ascii="Verdana" w:hAnsi="Verdana"/>
          <w:sz w:val="20"/>
        </w:rPr>
        <w:t xml:space="preserve"> </w:t>
      </w:r>
      <w:r w:rsidRPr="00566C64">
        <w:rPr>
          <w:rFonts w:ascii="Verdana" w:hAnsi="Verdana"/>
          <w:sz w:val="20"/>
        </w:rPr>
        <w:t>The completed financial statements of each entity in the group is the starting point for the preparation of consolidated financial statements.</w:t>
      </w:r>
    </w:p>
    <w:p w14:paraId="70DD5698" w14:textId="77777777" w:rsidR="001F5C90" w:rsidRPr="00566C64" w:rsidRDefault="001F5C90" w:rsidP="0022267C">
      <w:pPr>
        <w:ind w:firstLine="0"/>
        <w:jc w:val="left"/>
        <w:rPr>
          <w:rFonts w:ascii="Verdana" w:hAnsi="Verdana"/>
          <w:sz w:val="20"/>
        </w:rPr>
      </w:pPr>
    </w:p>
    <w:p w14:paraId="764FE92C" w14:textId="77777777" w:rsidR="00816917" w:rsidRPr="00566C64" w:rsidRDefault="00816917" w:rsidP="0022267C">
      <w:pPr>
        <w:ind w:firstLine="0"/>
        <w:jc w:val="left"/>
        <w:rPr>
          <w:rFonts w:ascii="Verdana" w:hAnsi="Verdana"/>
          <w:sz w:val="20"/>
        </w:rPr>
      </w:pPr>
      <w:r w:rsidRPr="00566C64">
        <w:rPr>
          <w:rFonts w:ascii="Verdana" w:hAnsi="Verdana"/>
          <w:sz w:val="20"/>
        </w:rPr>
        <w:t>The group as a whole has no separate accounting records, and in particular has no ledger.</w:t>
      </w:r>
      <w:r w:rsidR="0072710E" w:rsidRPr="00566C64">
        <w:rPr>
          <w:rFonts w:ascii="Verdana" w:hAnsi="Verdana"/>
          <w:sz w:val="20"/>
        </w:rPr>
        <w:t xml:space="preserve"> </w:t>
      </w:r>
      <w:r w:rsidRPr="00566C64">
        <w:rPr>
          <w:rFonts w:ascii="Verdana" w:hAnsi="Verdana"/>
          <w:sz w:val="20"/>
        </w:rPr>
        <w:t>Consolidation worksheet adjusting entries are prepared at the end of each reporting period, and posted to the consolidation worksheet, which is used to prepare consolidated financial statements.</w:t>
      </w:r>
      <w:r w:rsidR="0072710E" w:rsidRPr="00566C64">
        <w:rPr>
          <w:rFonts w:ascii="Verdana" w:hAnsi="Verdana"/>
          <w:sz w:val="20"/>
        </w:rPr>
        <w:t xml:space="preserve"> </w:t>
      </w:r>
    </w:p>
    <w:p w14:paraId="72B122CF" w14:textId="77777777" w:rsidR="00C6575A" w:rsidRPr="00566C64" w:rsidRDefault="00C6575A" w:rsidP="0022267C">
      <w:pPr>
        <w:ind w:firstLine="0"/>
        <w:jc w:val="left"/>
        <w:rPr>
          <w:rFonts w:ascii="Verdana" w:hAnsi="Verdana"/>
          <w:sz w:val="20"/>
          <w:highlight w:val="green"/>
        </w:rPr>
      </w:pPr>
    </w:p>
    <w:p w14:paraId="109159B6" w14:textId="77777777" w:rsidR="00BC7965" w:rsidRPr="00566C64" w:rsidRDefault="00BC7965" w:rsidP="0022267C">
      <w:pPr>
        <w:ind w:firstLine="0"/>
        <w:jc w:val="left"/>
        <w:rPr>
          <w:rFonts w:ascii="Verdana" w:hAnsi="Verdana"/>
          <w:sz w:val="20"/>
        </w:rPr>
      </w:pPr>
    </w:p>
    <w:p w14:paraId="332B4DFF" w14:textId="6DB5BA64" w:rsidR="00E22522" w:rsidRPr="005E27D6" w:rsidRDefault="00E22522" w:rsidP="0022267C">
      <w:pPr>
        <w:ind w:firstLine="0"/>
        <w:jc w:val="left"/>
        <w:rPr>
          <w:rFonts w:ascii="Verdana" w:hAnsi="Verdana"/>
          <w:b/>
          <w:i/>
          <w:sz w:val="20"/>
        </w:rPr>
      </w:pPr>
      <w:r w:rsidRPr="0022267C">
        <w:rPr>
          <w:rFonts w:ascii="Verdana" w:hAnsi="Verdana"/>
          <w:b/>
          <w:i/>
          <w:sz w:val="20"/>
        </w:rPr>
        <w:t>Q2.5</w:t>
      </w:r>
      <w:r w:rsidR="001052F5" w:rsidRPr="005E27D6">
        <w:rPr>
          <w:rFonts w:ascii="Verdana" w:hAnsi="Verdana"/>
          <w:b/>
          <w:i/>
          <w:sz w:val="20"/>
        </w:rPr>
        <w:t xml:space="preserve"> </w:t>
      </w:r>
      <w:r w:rsidRPr="0022267C">
        <w:rPr>
          <w:rFonts w:ascii="Verdana" w:hAnsi="Verdana"/>
          <w:b/>
          <w:i/>
          <w:sz w:val="20"/>
        </w:rPr>
        <w:t>Pre-acquisition versus post-acquisition equities</w:t>
      </w:r>
      <w:r w:rsidR="00ED7423" w:rsidRPr="005E27D6">
        <w:rPr>
          <w:rFonts w:ascii="Verdana" w:hAnsi="Verdana"/>
          <w:b/>
          <w:i/>
          <w:sz w:val="20"/>
        </w:rPr>
        <w:t xml:space="preserve"> (Section 2.3)</w:t>
      </w:r>
    </w:p>
    <w:p w14:paraId="1F5BEFED" w14:textId="77777777" w:rsidR="00E22522" w:rsidRPr="00566C64" w:rsidRDefault="00E22522" w:rsidP="0022267C">
      <w:pPr>
        <w:ind w:firstLine="0"/>
        <w:jc w:val="left"/>
        <w:rPr>
          <w:rFonts w:ascii="Verdana" w:hAnsi="Verdana"/>
          <w:sz w:val="20"/>
        </w:rPr>
      </w:pPr>
    </w:p>
    <w:p w14:paraId="25102B18" w14:textId="77777777" w:rsidR="00ED7423" w:rsidRPr="00566C64" w:rsidRDefault="00E77327" w:rsidP="0022267C">
      <w:pPr>
        <w:ind w:firstLine="0"/>
        <w:jc w:val="left"/>
        <w:rPr>
          <w:rFonts w:ascii="Verdana" w:hAnsi="Verdana"/>
          <w:b/>
          <w:sz w:val="20"/>
        </w:rPr>
      </w:pPr>
      <w:r w:rsidRPr="00566C64">
        <w:rPr>
          <w:rFonts w:ascii="Verdana" w:hAnsi="Verdana"/>
          <w:b/>
          <w:sz w:val="20"/>
        </w:rPr>
        <w:t>Pre-acquisition equity of a subsidiary</w:t>
      </w:r>
    </w:p>
    <w:p w14:paraId="785202F2" w14:textId="58E560AB" w:rsidR="00854341" w:rsidRPr="00566C64" w:rsidRDefault="00A95A78" w:rsidP="0022267C">
      <w:pPr>
        <w:ind w:firstLine="0"/>
        <w:jc w:val="left"/>
        <w:rPr>
          <w:rFonts w:ascii="Verdana" w:hAnsi="Verdana"/>
          <w:sz w:val="20"/>
        </w:rPr>
      </w:pPr>
      <w:r w:rsidRPr="00566C64">
        <w:rPr>
          <w:rFonts w:ascii="Verdana" w:hAnsi="Verdana"/>
          <w:sz w:val="20"/>
        </w:rPr>
        <w:t>Pre-acquisition equity of a subsidiary is the issued capital, reserves and retained earnings (or accumulated losses) of the subsidiary at acquisition date.</w:t>
      </w:r>
      <w:r w:rsidR="0072710E" w:rsidRPr="00566C64">
        <w:rPr>
          <w:rFonts w:ascii="Verdana" w:hAnsi="Verdana"/>
          <w:sz w:val="20"/>
        </w:rPr>
        <w:t xml:space="preserve"> </w:t>
      </w:r>
      <w:r w:rsidR="00854341" w:rsidRPr="00566C64">
        <w:rPr>
          <w:rFonts w:ascii="Verdana" w:hAnsi="Verdana"/>
          <w:sz w:val="20"/>
        </w:rPr>
        <w:t>Acquisition date of a subsidiary is the date the parent entity obtains control of the subsidiary</w:t>
      </w:r>
      <w:r w:rsidR="00906403" w:rsidRPr="00566C64">
        <w:rPr>
          <w:rFonts w:ascii="Verdana" w:hAnsi="Verdana"/>
          <w:sz w:val="20"/>
        </w:rPr>
        <w:t>.</w:t>
      </w:r>
    </w:p>
    <w:p w14:paraId="7D47E5D6" w14:textId="77777777" w:rsidR="00854341" w:rsidRPr="00566C64" w:rsidRDefault="00854341" w:rsidP="0022267C">
      <w:pPr>
        <w:ind w:firstLine="0"/>
        <w:jc w:val="left"/>
        <w:rPr>
          <w:rFonts w:ascii="Verdana" w:hAnsi="Verdana"/>
          <w:sz w:val="20"/>
        </w:rPr>
      </w:pPr>
    </w:p>
    <w:p w14:paraId="4A49408C" w14:textId="6D6EF487" w:rsidR="00ED7423" w:rsidRDefault="00EA4D3E" w:rsidP="0022267C">
      <w:pPr>
        <w:ind w:firstLine="0"/>
        <w:jc w:val="left"/>
        <w:rPr>
          <w:rFonts w:ascii="Verdana" w:hAnsi="Verdana"/>
          <w:sz w:val="20"/>
        </w:rPr>
      </w:pPr>
      <w:r w:rsidRPr="00566C64">
        <w:rPr>
          <w:rFonts w:ascii="Verdana" w:hAnsi="Verdana"/>
          <w:sz w:val="20"/>
        </w:rPr>
        <w:t>The pre-acquisition equity of a subsidiary includes:</w:t>
      </w:r>
    </w:p>
    <w:p w14:paraId="54A7CA57" w14:textId="77777777" w:rsidR="007827EF" w:rsidRPr="00566C64" w:rsidRDefault="007827EF" w:rsidP="0022267C">
      <w:pPr>
        <w:ind w:firstLine="0"/>
        <w:jc w:val="left"/>
        <w:rPr>
          <w:rFonts w:ascii="Verdana" w:hAnsi="Verdana"/>
          <w:sz w:val="20"/>
        </w:rPr>
      </w:pPr>
    </w:p>
    <w:p w14:paraId="773E13CC" w14:textId="0DE6EDE8" w:rsidR="00EA4D3E" w:rsidRPr="00566C64" w:rsidRDefault="00E1294C" w:rsidP="0022267C">
      <w:pPr>
        <w:numPr>
          <w:ilvl w:val="0"/>
          <w:numId w:val="30"/>
        </w:numPr>
        <w:jc w:val="left"/>
        <w:rPr>
          <w:rFonts w:ascii="Verdana" w:hAnsi="Verdana"/>
          <w:sz w:val="20"/>
        </w:rPr>
      </w:pPr>
      <w:r>
        <w:rPr>
          <w:rFonts w:ascii="Verdana" w:hAnsi="Verdana"/>
          <w:sz w:val="20"/>
        </w:rPr>
        <w:t>T</w:t>
      </w:r>
      <w:r w:rsidR="00EA4D3E" w:rsidRPr="00566C64">
        <w:rPr>
          <w:rFonts w:ascii="Verdana" w:hAnsi="Verdana"/>
          <w:sz w:val="20"/>
        </w:rPr>
        <w:t>he equity recorded by the subsidiary in its separate accounting records on acquisition date; and</w:t>
      </w:r>
    </w:p>
    <w:p w14:paraId="1B65A20C" w14:textId="77777777" w:rsidR="007827EF" w:rsidRDefault="007827EF" w:rsidP="007827EF">
      <w:pPr>
        <w:ind w:left="360" w:firstLine="0"/>
        <w:jc w:val="left"/>
        <w:rPr>
          <w:rFonts w:ascii="Verdana" w:hAnsi="Verdana"/>
          <w:sz w:val="20"/>
        </w:rPr>
      </w:pPr>
    </w:p>
    <w:p w14:paraId="238A6A41" w14:textId="26B57C13" w:rsidR="00EA4D3E" w:rsidRPr="00566C64" w:rsidRDefault="00E1294C" w:rsidP="0022267C">
      <w:pPr>
        <w:numPr>
          <w:ilvl w:val="0"/>
          <w:numId w:val="30"/>
        </w:numPr>
        <w:jc w:val="left"/>
        <w:rPr>
          <w:rFonts w:ascii="Verdana" w:hAnsi="Verdana"/>
          <w:sz w:val="20"/>
        </w:rPr>
      </w:pPr>
      <w:r>
        <w:rPr>
          <w:rFonts w:ascii="Verdana" w:hAnsi="Verdana"/>
          <w:sz w:val="20"/>
        </w:rPr>
        <w:t>T</w:t>
      </w:r>
      <w:r w:rsidR="00EA4D3E" w:rsidRPr="00566C64">
        <w:rPr>
          <w:rFonts w:ascii="Verdana" w:hAnsi="Verdana"/>
          <w:sz w:val="20"/>
        </w:rPr>
        <w:t>he equity of the subsidiary existing on acquisition date, but not recorded by the subsidiary in its accounting records.</w:t>
      </w:r>
      <w:r w:rsidR="0072710E" w:rsidRPr="00566C64">
        <w:rPr>
          <w:rFonts w:ascii="Verdana" w:hAnsi="Verdana"/>
          <w:sz w:val="20"/>
        </w:rPr>
        <w:t xml:space="preserve"> </w:t>
      </w:r>
      <w:r w:rsidR="00EA4D3E" w:rsidRPr="00566C64">
        <w:rPr>
          <w:rFonts w:ascii="Verdana" w:hAnsi="Verdana"/>
          <w:sz w:val="20"/>
        </w:rPr>
        <w:t>Unrecorded equity arises from:</w:t>
      </w:r>
    </w:p>
    <w:p w14:paraId="101AFDE2" w14:textId="77777777" w:rsidR="00EA4D3E" w:rsidRPr="00566C64" w:rsidRDefault="00EA4D3E" w:rsidP="006F5149">
      <w:pPr>
        <w:numPr>
          <w:ilvl w:val="0"/>
          <w:numId w:val="14"/>
        </w:numPr>
        <w:ind w:left="714" w:hanging="357"/>
        <w:jc w:val="left"/>
        <w:rPr>
          <w:rFonts w:ascii="Verdana" w:hAnsi="Verdana"/>
          <w:sz w:val="20"/>
        </w:rPr>
      </w:pPr>
      <w:r w:rsidRPr="00566C64">
        <w:rPr>
          <w:rFonts w:ascii="Verdana" w:hAnsi="Verdana"/>
          <w:sz w:val="20"/>
        </w:rPr>
        <w:t>differences between the recorded values of assets and liabilities in the subsidiary’s accounts at acquisition date, and their fair value</w:t>
      </w:r>
      <w:r w:rsidR="00601F00" w:rsidRPr="00566C64">
        <w:rPr>
          <w:rFonts w:ascii="Verdana" w:hAnsi="Verdana"/>
          <w:sz w:val="20"/>
        </w:rPr>
        <w:t>s</w:t>
      </w:r>
      <w:r w:rsidRPr="00566C64">
        <w:rPr>
          <w:rFonts w:ascii="Verdana" w:hAnsi="Verdana"/>
          <w:sz w:val="20"/>
        </w:rPr>
        <w:t xml:space="preserve"> at acquisition date; and</w:t>
      </w:r>
    </w:p>
    <w:p w14:paraId="768A7867" w14:textId="77777777" w:rsidR="00EA4D3E" w:rsidRPr="00566C64" w:rsidRDefault="00EA4D3E" w:rsidP="006F5149">
      <w:pPr>
        <w:numPr>
          <w:ilvl w:val="0"/>
          <w:numId w:val="14"/>
        </w:numPr>
        <w:ind w:left="714" w:hanging="357"/>
        <w:jc w:val="left"/>
        <w:rPr>
          <w:rFonts w:ascii="Verdana" w:hAnsi="Verdana"/>
          <w:sz w:val="20"/>
        </w:rPr>
      </w:pPr>
      <w:r w:rsidRPr="00566C64">
        <w:rPr>
          <w:rFonts w:ascii="Verdana" w:hAnsi="Verdana"/>
          <w:sz w:val="20"/>
        </w:rPr>
        <w:t xml:space="preserve">the existence of identifiable assets and liabilities of the subsidiary, which </w:t>
      </w:r>
      <w:r w:rsidRPr="00566C64">
        <w:rPr>
          <w:rFonts w:ascii="Verdana" w:hAnsi="Verdana"/>
          <w:sz w:val="20"/>
        </w:rPr>
        <w:lastRenderedPageBreak/>
        <w:t xml:space="preserve">are not </w:t>
      </w:r>
      <w:r w:rsidR="00C45CFC" w:rsidRPr="00566C64">
        <w:rPr>
          <w:rFonts w:ascii="Verdana" w:hAnsi="Verdana"/>
          <w:sz w:val="20"/>
        </w:rPr>
        <w:t xml:space="preserve">recorded in </w:t>
      </w:r>
      <w:r w:rsidR="00854341" w:rsidRPr="00566C64">
        <w:rPr>
          <w:rFonts w:ascii="Verdana" w:hAnsi="Verdana"/>
          <w:sz w:val="20"/>
        </w:rPr>
        <w:t>the subsidiary’s accounts at acquisition date.</w:t>
      </w:r>
    </w:p>
    <w:p w14:paraId="3939F530" w14:textId="77777777" w:rsidR="00EA4D3E" w:rsidRPr="00566C64" w:rsidRDefault="00854341" w:rsidP="0022267C">
      <w:pPr>
        <w:ind w:firstLine="0"/>
        <w:jc w:val="left"/>
        <w:rPr>
          <w:rFonts w:ascii="Verdana" w:hAnsi="Verdana"/>
          <w:sz w:val="20"/>
        </w:rPr>
      </w:pPr>
      <w:r w:rsidRPr="00566C64">
        <w:rPr>
          <w:rFonts w:ascii="Verdana" w:hAnsi="Verdana"/>
          <w:sz w:val="20"/>
        </w:rPr>
        <w:t>Therefore, the pre-acquisition equity of the subsidiary is the equity which represents the fair value of the subsidiary’s identifiable net assets at acquisition date.</w:t>
      </w:r>
    </w:p>
    <w:p w14:paraId="7F801052" w14:textId="77777777" w:rsidR="00E77327" w:rsidRPr="00566C64" w:rsidRDefault="00E77327" w:rsidP="0022267C">
      <w:pPr>
        <w:ind w:firstLine="0"/>
        <w:jc w:val="left"/>
        <w:rPr>
          <w:rFonts w:ascii="Verdana" w:hAnsi="Verdana"/>
          <w:sz w:val="20"/>
        </w:rPr>
      </w:pPr>
    </w:p>
    <w:p w14:paraId="6EFF0A7B" w14:textId="77777777" w:rsidR="00E77327" w:rsidRPr="00566C64" w:rsidRDefault="00E77327" w:rsidP="0022267C">
      <w:pPr>
        <w:ind w:firstLine="0"/>
        <w:jc w:val="left"/>
        <w:rPr>
          <w:rFonts w:ascii="Verdana" w:hAnsi="Verdana"/>
          <w:b/>
          <w:sz w:val="20"/>
        </w:rPr>
      </w:pPr>
      <w:r w:rsidRPr="00566C64">
        <w:rPr>
          <w:rFonts w:ascii="Verdana" w:hAnsi="Verdana"/>
          <w:b/>
          <w:sz w:val="20"/>
        </w:rPr>
        <w:t>Post-acquisition equity of a subsidiary</w:t>
      </w:r>
    </w:p>
    <w:p w14:paraId="4941F1B7" w14:textId="77777777" w:rsidR="00D40366" w:rsidRPr="00566C64" w:rsidRDefault="00A65DF4" w:rsidP="0022267C">
      <w:pPr>
        <w:ind w:firstLine="0"/>
        <w:jc w:val="left"/>
        <w:rPr>
          <w:rFonts w:ascii="Verdana" w:hAnsi="Verdana"/>
          <w:sz w:val="20"/>
        </w:rPr>
      </w:pPr>
      <w:r w:rsidRPr="00566C64">
        <w:rPr>
          <w:rFonts w:ascii="Verdana" w:hAnsi="Verdana"/>
          <w:sz w:val="20"/>
        </w:rPr>
        <w:t>The post-acquisition equity of a subsidiary is the change in the subsidiary’s equity after acquisition date until consolidation date.</w:t>
      </w:r>
      <w:r w:rsidR="0072710E" w:rsidRPr="00566C64">
        <w:rPr>
          <w:rFonts w:ascii="Verdana" w:hAnsi="Verdana"/>
          <w:sz w:val="20"/>
        </w:rPr>
        <w:t xml:space="preserve"> </w:t>
      </w:r>
      <w:r w:rsidRPr="00566C64">
        <w:rPr>
          <w:rFonts w:ascii="Verdana" w:hAnsi="Verdana"/>
          <w:sz w:val="20"/>
        </w:rPr>
        <w:t xml:space="preserve">The post-acquisition equity </w:t>
      </w:r>
      <w:r w:rsidR="000237D3" w:rsidRPr="00566C64">
        <w:rPr>
          <w:rFonts w:ascii="Verdana" w:hAnsi="Verdana"/>
          <w:sz w:val="20"/>
        </w:rPr>
        <w:t>consists of</w:t>
      </w:r>
      <w:r w:rsidR="00D40366" w:rsidRPr="00566C64">
        <w:rPr>
          <w:rFonts w:ascii="Verdana" w:hAnsi="Verdana"/>
          <w:sz w:val="20"/>
        </w:rPr>
        <w:t>:</w:t>
      </w:r>
    </w:p>
    <w:p w14:paraId="6CB1C399" w14:textId="77777777" w:rsidR="007827EF" w:rsidRDefault="007827EF" w:rsidP="007827EF">
      <w:pPr>
        <w:ind w:left="360" w:firstLine="0"/>
        <w:jc w:val="left"/>
        <w:rPr>
          <w:rFonts w:ascii="Verdana" w:hAnsi="Verdana"/>
          <w:sz w:val="20"/>
        </w:rPr>
      </w:pPr>
    </w:p>
    <w:p w14:paraId="01E2DC04" w14:textId="097F1E15" w:rsidR="00E77327" w:rsidRPr="00566C64" w:rsidRDefault="00E1294C" w:rsidP="0022267C">
      <w:pPr>
        <w:numPr>
          <w:ilvl w:val="0"/>
          <w:numId w:val="31"/>
        </w:numPr>
        <w:jc w:val="left"/>
        <w:rPr>
          <w:rFonts w:ascii="Verdana" w:hAnsi="Verdana"/>
          <w:sz w:val="20"/>
        </w:rPr>
      </w:pPr>
      <w:r>
        <w:rPr>
          <w:rFonts w:ascii="Verdana" w:hAnsi="Verdana"/>
          <w:sz w:val="20"/>
        </w:rPr>
        <w:t>T</w:t>
      </w:r>
      <w:r w:rsidR="000237D3" w:rsidRPr="00566C64">
        <w:rPr>
          <w:rFonts w:ascii="Verdana" w:hAnsi="Verdana"/>
          <w:sz w:val="20"/>
        </w:rPr>
        <w:t>he retained profits</w:t>
      </w:r>
      <w:r w:rsidR="00D40366" w:rsidRPr="00566C64">
        <w:rPr>
          <w:rFonts w:ascii="Verdana" w:hAnsi="Verdana"/>
          <w:sz w:val="20"/>
        </w:rPr>
        <w:t xml:space="preserve"> or accumulated losses </w:t>
      </w:r>
      <w:r w:rsidR="000237D3" w:rsidRPr="00566C64">
        <w:rPr>
          <w:rFonts w:ascii="Verdana" w:hAnsi="Verdana"/>
          <w:sz w:val="20"/>
        </w:rPr>
        <w:t>of the subsidiary</w:t>
      </w:r>
      <w:r w:rsidR="00D40366" w:rsidRPr="00566C64">
        <w:rPr>
          <w:rFonts w:ascii="Verdana" w:hAnsi="Verdana"/>
          <w:sz w:val="20"/>
        </w:rPr>
        <w:t xml:space="preserve"> </w:t>
      </w:r>
      <w:r w:rsidR="004A7ADB" w:rsidRPr="00566C64">
        <w:rPr>
          <w:rFonts w:ascii="Verdana" w:hAnsi="Verdana"/>
          <w:sz w:val="20"/>
        </w:rPr>
        <w:t>(</w:t>
      </w:r>
      <w:r w:rsidR="00703C7F" w:rsidRPr="00566C64">
        <w:rPr>
          <w:rFonts w:ascii="Verdana" w:hAnsi="Verdana"/>
          <w:sz w:val="20"/>
        </w:rPr>
        <w:t>i.e.</w:t>
      </w:r>
      <w:r w:rsidR="007F24B4">
        <w:rPr>
          <w:rFonts w:ascii="Verdana" w:hAnsi="Verdana"/>
          <w:sz w:val="20"/>
        </w:rPr>
        <w:t>,</w:t>
      </w:r>
      <w:r w:rsidR="00703C7F" w:rsidRPr="00566C64">
        <w:rPr>
          <w:rFonts w:ascii="Verdana" w:hAnsi="Verdana"/>
          <w:sz w:val="20"/>
        </w:rPr>
        <w:t xml:space="preserve"> </w:t>
      </w:r>
      <w:r w:rsidR="004A7ADB" w:rsidRPr="00566C64">
        <w:rPr>
          <w:rFonts w:ascii="Verdana" w:hAnsi="Verdana"/>
          <w:sz w:val="20"/>
        </w:rPr>
        <w:t xml:space="preserve">profits </w:t>
      </w:r>
      <w:r w:rsidR="00611BA8" w:rsidRPr="00566C64">
        <w:rPr>
          <w:rFonts w:ascii="Verdana" w:hAnsi="Verdana"/>
          <w:sz w:val="20"/>
        </w:rPr>
        <w:t>and/or</w:t>
      </w:r>
      <w:r w:rsidR="004A7ADB" w:rsidRPr="00566C64">
        <w:rPr>
          <w:rFonts w:ascii="Verdana" w:hAnsi="Verdana"/>
          <w:sz w:val="20"/>
        </w:rPr>
        <w:t xml:space="preserve"> losses </w:t>
      </w:r>
      <w:r w:rsidR="00611BA8" w:rsidRPr="00566C64">
        <w:rPr>
          <w:rFonts w:ascii="Verdana" w:hAnsi="Verdana"/>
          <w:sz w:val="20"/>
        </w:rPr>
        <w:t>less</w:t>
      </w:r>
      <w:r w:rsidR="004A7ADB" w:rsidRPr="00566C64">
        <w:rPr>
          <w:rFonts w:ascii="Verdana" w:hAnsi="Verdana"/>
          <w:sz w:val="20"/>
        </w:rPr>
        <w:t xml:space="preserve"> dividends/profit distributions) </w:t>
      </w:r>
      <w:r w:rsidR="00D40366" w:rsidRPr="00566C64">
        <w:rPr>
          <w:rFonts w:ascii="Verdana" w:hAnsi="Verdana"/>
          <w:sz w:val="20"/>
        </w:rPr>
        <w:t>from acquisition date to consolidation date</w:t>
      </w:r>
      <w:r w:rsidR="004A7ADB" w:rsidRPr="00566C64">
        <w:rPr>
          <w:rFonts w:ascii="Verdana" w:hAnsi="Verdana"/>
          <w:sz w:val="20"/>
        </w:rPr>
        <w:t>; and</w:t>
      </w:r>
    </w:p>
    <w:p w14:paraId="0434FF49" w14:textId="77777777" w:rsidR="00E1294C" w:rsidRDefault="00E1294C" w:rsidP="00E1294C">
      <w:pPr>
        <w:ind w:left="360" w:firstLine="0"/>
        <w:jc w:val="left"/>
        <w:rPr>
          <w:rFonts w:ascii="Verdana" w:hAnsi="Verdana"/>
          <w:sz w:val="20"/>
        </w:rPr>
      </w:pPr>
    </w:p>
    <w:p w14:paraId="771F3375" w14:textId="5B66721F" w:rsidR="00D40366" w:rsidRPr="00566C64" w:rsidRDefault="00E1294C" w:rsidP="0022267C">
      <w:pPr>
        <w:numPr>
          <w:ilvl w:val="0"/>
          <w:numId w:val="31"/>
        </w:numPr>
        <w:jc w:val="left"/>
        <w:rPr>
          <w:rFonts w:ascii="Verdana" w:hAnsi="Verdana"/>
          <w:sz w:val="20"/>
        </w:rPr>
      </w:pPr>
      <w:r>
        <w:rPr>
          <w:rFonts w:ascii="Verdana" w:hAnsi="Verdana"/>
          <w:sz w:val="20"/>
        </w:rPr>
        <w:t>M</w:t>
      </w:r>
      <w:r w:rsidR="00D40366" w:rsidRPr="00566C64">
        <w:rPr>
          <w:rFonts w:ascii="Verdana" w:hAnsi="Verdana"/>
          <w:sz w:val="20"/>
        </w:rPr>
        <w:t xml:space="preserve">ovements in reserves </w:t>
      </w:r>
      <w:r w:rsidR="00703C7F" w:rsidRPr="00566C64">
        <w:rPr>
          <w:rFonts w:ascii="Verdana" w:hAnsi="Verdana"/>
          <w:sz w:val="20"/>
        </w:rPr>
        <w:t>(e.g.</w:t>
      </w:r>
      <w:r w:rsidR="000A119E">
        <w:rPr>
          <w:rFonts w:ascii="Verdana" w:hAnsi="Verdana"/>
          <w:sz w:val="20"/>
        </w:rPr>
        <w:t>,</w:t>
      </w:r>
      <w:r w:rsidR="00703C7F" w:rsidRPr="00566C64">
        <w:rPr>
          <w:rFonts w:ascii="Verdana" w:hAnsi="Verdana"/>
          <w:sz w:val="20"/>
        </w:rPr>
        <w:t xml:space="preserve"> revaluations of property, plant and equipment recorded directly in the revaluation surplus), </w:t>
      </w:r>
      <w:r w:rsidR="00D40366" w:rsidRPr="00566C64">
        <w:rPr>
          <w:rFonts w:ascii="Verdana" w:hAnsi="Verdana"/>
          <w:sz w:val="20"/>
        </w:rPr>
        <w:t>from acquisition date to consolidation date.</w:t>
      </w:r>
    </w:p>
    <w:p w14:paraId="0305FD94" w14:textId="77777777" w:rsidR="00E77327" w:rsidRPr="00566C64" w:rsidRDefault="00E77327" w:rsidP="0022267C">
      <w:pPr>
        <w:ind w:firstLine="0"/>
        <w:jc w:val="left"/>
        <w:rPr>
          <w:rFonts w:ascii="Verdana" w:hAnsi="Verdana"/>
          <w:sz w:val="20"/>
        </w:rPr>
      </w:pPr>
    </w:p>
    <w:p w14:paraId="17DDDABA" w14:textId="781389FC" w:rsidR="00E77327" w:rsidRPr="00566C64" w:rsidRDefault="00E77327" w:rsidP="0022267C">
      <w:pPr>
        <w:ind w:firstLine="0"/>
        <w:jc w:val="left"/>
        <w:rPr>
          <w:rFonts w:ascii="Verdana" w:hAnsi="Verdana"/>
          <w:b/>
          <w:sz w:val="20"/>
        </w:rPr>
      </w:pPr>
      <w:r w:rsidRPr="00566C64">
        <w:rPr>
          <w:rFonts w:ascii="Verdana" w:hAnsi="Verdana"/>
          <w:b/>
          <w:sz w:val="20"/>
        </w:rPr>
        <w:t>Significance of the distinction between pre-acquisition equity and post-acquisition equity to the consolidation process</w:t>
      </w:r>
    </w:p>
    <w:p w14:paraId="351CE1BF" w14:textId="153FAEF5" w:rsidR="00E77327" w:rsidRPr="00566C64" w:rsidRDefault="00703C7F" w:rsidP="0022267C">
      <w:pPr>
        <w:ind w:firstLine="0"/>
        <w:jc w:val="left"/>
        <w:rPr>
          <w:rFonts w:ascii="Verdana" w:hAnsi="Verdana"/>
          <w:sz w:val="20"/>
        </w:rPr>
      </w:pPr>
      <w:r w:rsidRPr="00566C64">
        <w:rPr>
          <w:rFonts w:ascii="Verdana" w:hAnsi="Verdana"/>
          <w:sz w:val="20"/>
        </w:rPr>
        <w:t xml:space="preserve">The pre-acquisition equity of the </w:t>
      </w:r>
      <w:r w:rsidR="00085D7A" w:rsidRPr="00566C64">
        <w:rPr>
          <w:rFonts w:ascii="Verdana" w:hAnsi="Verdana"/>
          <w:sz w:val="20"/>
        </w:rPr>
        <w:t>subsidiary is eliminated upon consolidation against the parent entity’s investment in subsidiary asset</w:t>
      </w:r>
      <w:r w:rsidR="005B660D" w:rsidRPr="00566C64">
        <w:rPr>
          <w:rFonts w:ascii="Verdana" w:hAnsi="Verdana"/>
          <w:sz w:val="20"/>
        </w:rPr>
        <w:t>, in the investment elimination entry</w:t>
      </w:r>
      <w:r w:rsidR="00085D7A" w:rsidRPr="00566C64">
        <w:rPr>
          <w:rFonts w:ascii="Verdana" w:hAnsi="Verdana"/>
          <w:sz w:val="20"/>
        </w:rPr>
        <w:t>.</w:t>
      </w:r>
      <w:r w:rsidR="0072710E" w:rsidRPr="00566C64">
        <w:rPr>
          <w:rFonts w:ascii="Verdana" w:hAnsi="Verdana"/>
          <w:sz w:val="20"/>
        </w:rPr>
        <w:t xml:space="preserve"> </w:t>
      </w:r>
      <w:r w:rsidR="00085D7A" w:rsidRPr="00566C64">
        <w:rPr>
          <w:rFonts w:ascii="Verdana" w:hAnsi="Verdana"/>
          <w:sz w:val="20"/>
        </w:rPr>
        <w:t xml:space="preserve">Any difference between </w:t>
      </w:r>
      <w:r w:rsidR="005B660D" w:rsidRPr="00566C64">
        <w:rPr>
          <w:rFonts w:ascii="Verdana" w:hAnsi="Verdana"/>
          <w:sz w:val="20"/>
        </w:rPr>
        <w:t xml:space="preserve">the </w:t>
      </w:r>
      <w:r w:rsidR="00085D7A" w:rsidRPr="00566C64">
        <w:rPr>
          <w:rFonts w:ascii="Verdana" w:hAnsi="Verdana"/>
          <w:sz w:val="20"/>
        </w:rPr>
        <w:t xml:space="preserve">pre-acquisition equity and </w:t>
      </w:r>
      <w:r w:rsidR="005B660D" w:rsidRPr="00566C64">
        <w:rPr>
          <w:rFonts w:ascii="Verdana" w:hAnsi="Verdana"/>
          <w:sz w:val="20"/>
        </w:rPr>
        <w:t xml:space="preserve">the cost of the </w:t>
      </w:r>
      <w:r w:rsidR="00085D7A" w:rsidRPr="00566C64">
        <w:rPr>
          <w:rFonts w:ascii="Verdana" w:hAnsi="Verdana"/>
          <w:sz w:val="20"/>
        </w:rPr>
        <w:t>investment in subsidiary is recognised as goodwill or gain on bargain purchase</w:t>
      </w:r>
      <w:r w:rsidR="005B660D" w:rsidRPr="00566C64">
        <w:rPr>
          <w:rFonts w:ascii="Verdana" w:hAnsi="Verdana"/>
          <w:sz w:val="20"/>
        </w:rPr>
        <w:t xml:space="preserve"> in the consolidated accounts</w:t>
      </w:r>
      <w:r w:rsidR="00085D7A" w:rsidRPr="00566C64">
        <w:rPr>
          <w:rFonts w:ascii="Verdana" w:hAnsi="Verdana"/>
          <w:sz w:val="20"/>
        </w:rPr>
        <w:t>.</w:t>
      </w:r>
      <w:r w:rsidR="0072710E" w:rsidRPr="00566C64">
        <w:rPr>
          <w:rFonts w:ascii="Verdana" w:hAnsi="Verdana"/>
          <w:sz w:val="20"/>
        </w:rPr>
        <w:t xml:space="preserve"> </w:t>
      </w:r>
      <w:r w:rsidR="005B660D" w:rsidRPr="00566C64">
        <w:rPr>
          <w:rFonts w:ascii="Verdana" w:hAnsi="Verdana"/>
          <w:sz w:val="20"/>
        </w:rPr>
        <w:t>Therefore</w:t>
      </w:r>
      <w:r w:rsidR="004D0A14">
        <w:rPr>
          <w:rFonts w:ascii="Verdana" w:hAnsi="Verdana"/>
          <w:sz w:val="20"/>
        </w:rPr>
        <w:t>,</w:t>
      </w:r>
      <w:r w:rsidR="005B660D" w:rsidRPr="00566C64">
        <w:rPr>
          <w:rFonts w:ascii="Verdana" w:hAnsi="Verdana"/>
          <w:sz w:val="20"/>
        </w:rPr>
        <w:t xml:space="preserve"> the pre-acquisition equity of the subsidiary is not part of the consolidated equity reported in the consolidated </w:t>
      </w:r>
      <w:r w:rsidR="000B7144" w:rsidRPr="00566C64">
        <w:rPr>
          <w:rFonts w:ascii="Verdana" w:hAnsi="Verdana"/>
          <w:sz w:val="20"/>
        </w:rPr>
        <w:t xml:space="preserve">financial </w:t>
      </w:r>
      <w:r w:rsidR="005B660D" w:rsidRPr="00566C64">
        <w:rPr>
          <w:rFonts w:ascii="Verdana" w:hAnsi="Verdana"/>
          <w:sz w:val="20"/>
        </w:rPr>
        <w:t>statement</w:t>
      </w:r>
      <w:r w:rsidR="000B7144" w:rsidRPr="00566C64">
        <w:rPr>
          <w:rFonts w:ascii="Verdana" w:hAnsi="Verdana"/>
          <w:sz w:val="20"/>
        </w:rPr>
        <w:t>s</w:t>
      </w:r>
      <w:r w:rsidR="005B660D" w:rsidRPr="00566C64">
        <w:rPr>
          <w:rFonts w:ascii="Verdana" w:hAnsi="Verdana"/>
          <w:sz w:val="20"/>
        </w:rPr>
        <w:t>.</w:t>
      </w:r>
    </w:p>
    <w:p w14:paraId="300D3481" w14:textId="77777777" w:rsidR="00ED7423" w:rsidRPr="00566C64" w:rsidRDefault="00ED7423" w:rsidP="0022267C">
      <w:pPr>
        <w:ind w:firstLine="0"/>
        <w:jc w:val="left"/>
        <w:rPr>
          <w:rFonts w:ascii="Verdana" w:hAnsi="Verdana"/>
          <w:sz w:val="20"/>
        </w:rPr>
      </w:pPr>
    </w:p>
    <w:p w14:paraId="05A403B8" w14:textId="10E5756D" w:rsidR="000B7144" w:rsidRPr="00566C64" w:rsidRDefault="00085D7A" w:rsidP="0022267C">
      <w:pPr>
        <w:ind w:firstLine="0"/>
        <w:jc w:val="left"/>
        <w:rPr>
          <w:rFonts w:ascii="Verdana" w:hAnsi="Verdana"/>
          <w:sz w:val="20"/>
        </w:rPr>
      </w:pPr>
      <w:r w:rsidRPr="00566C64">
        <w:rPr>
          <w:rFonts w:ascii="Verdana" w:hAnsi="Verdana"/>
          <w:sz w:val="20"/>
        </w:rPr>
        <w:t>The post-acquisition equity of the subsidiary</w:t>
      </w:r>
      <w:r w:rsidR="005B660D" w:rsidRPr="00566C64">
        <w:rPr>
          <w:rFonts w:ascii="Verdana" w:hAnsi="Verdana"/>
          <w:sz w:val="20"/>
        </w:rPr>
        <w:t>, after any necessary consolidation adjustments to eliminate the effect of intragroup transactions</w:t>
      </w:r>
      <w:r w:rsidR="000B7144" w:rsidRPr="00566C64">
        <w:rPr>
          <w:rFonts w:ascii="Verdana" w:hAnsi="Verdana"/>
          <w:sz w:val="20"/>
        </w:rPr>
        <w:t>,</w:t>
      </w:r>
      <w:r w:rsidRPr="00566C64">
        <w:rPr>
          <w:rFonts w:ascii="Verdana" w:hAnsi="Verdana"/>
          <w:sz w:val="20"/>
        </w:rPr>
        <w:t xml:space="preserve"> is included in the consolidated </w:t>
      </w:r>
      <w:r w:rsidR="000B7144" w:rsidRPr="00566C64">
        <w:rPr>
          <w:rFonts w:ascii="Verdana" w:hAnsi="Verdana"/>
          <w:sz w:val="20"/>
        </w:rPr>
        <w:t>equity reported in the consolidated financial statements.</w:t>
      </w:r>
      <w:r w:rsidR="0072710E" w:rsidRPr="00566C64">
        <w:rPr>
          <w:rFonts w:ascii="Verdana" w:hAnsi="Verdana"/>
          <w:sz w:val="20"/>
        </w:rPr>
        <w:t xml:space="preserve"> </w:t>
      </w:r>
      <w:r w:rsidR="000B7144" w:rsidRPr="00566C64">
        <w:rPr>
          <w:rFonts w:ascii="Verdana" w:hAnsi="Verdana"/>
          <w:sz w:val="20"/>
        </w:rPr>
        <w:t>The</w:t>
      </w:r>
      <w:r w:rsidR="000D5FA4" w:rsidRPr="00566C64">
        <w:rPr>
          <w:rFonts w:ascii="Verdana" w:hAnsi="Verdana"/>
          <w:sz w:val="20"/>
        </w:rPr>
        <w:t>se</w:t>
      </w:r>
      <w:r w:rsidR="000B7144" w:rsidRPr="00566C64">
        <w:rPr>
          <w:rFonts w:ascii="Verdana" w:hAnsi="Verdana"/>
          <w:sz w:val="20"/>
        </w:rPr>
        <w:t xml:space="preserve"> post-acquisition </w:t>
      </w:r>
      <w:r w:rsidR="000D5FA4" w:rsidRPr="00566C64">
        <w:rPr>
          <w:rFonts w:ascii="Verdana" w:hAnsi="Verdana"/>
          <w:sz w:val="20"/>
        </w:rPr>
        <w:t xml:space="preserve">profit and losses are included in consolidated profit or loss, and consolidated equity, </w:t>
      </w:r>
      <w:r w:rsidR="000B7144" w:rsidRPr="00566C64">
        <w:rPr>
          <w:rFonts w:ascii="Verdana" w:hAnsi="Verdana"/>
          <w:sz w:val="20"/>
        </w:rPr>
        <w:t xml:space="preserve">because </w:t>
      </w:r>
      <w:r w:rsidR="00FC14BB" w:rsidRPr="00566C64">
        <w:rPr>
          <w:rFonts w:ascii="Verdana" w:hAnsi="Verdana"/>
          <w:sz w:val="20"/>
        </w:rPr>
        <w:t xml:space="preserve">these </w:t>
      </w:r>
      <w:r w:rsidR="000B7144" w:rsidRPr="00566C64">
        <w:rPr>
          <w:rFonts w:ascii="Verdana" w:hAnsi="Verdana"/>
          <w:sz w:val="20"/>
        </w:rPr>
        <w:t xml:space="preserve">profits </w:t>
      </w:r>
      <w:r w:rsidR="00FC14BB" w:rsidRPr="00566C64">
        <w:rPr>
          <w:rFonts w:ascii="Verdana" w:hAnsi="Verdana"/>
          <w:sz w:val="20"/>
        </w:rPr>
        <w:t xml:space="preserve">are </w:t>
      </w:r>
      <w:r w:rsidR="000B7144" w:rsidRPr="00566C64">
        <w:rPr>
          <w:rFonts w:ascii="Verdana" w:hAnsi="Verdana"/>
          <w:sz w:val="20"/>
        </w:rPr>
        <w:t xml:space="preserve">earned and losses incurred by the </w:t>
      </w:r>
      <w:r w:rsidR="00FC14BB" w:rsidRPr="00566C64">
        <w:rPr>
          <w:rFonts w:ascii="Verdana" w:hAnsi="Verdana"/>
          <w:sz w:val="20"/>
        </w:rPr>
        <w:t>subsidiary, while the subsidiary</w:t>
      </w:r>
      <w:r w:rsidR="000B7144" w:rsidRPr="00566C64">
        <w:rPr>
          <w:rFonts w:ascii="Verdana" w:hAnsi="Verdana"/>
          <w:sz w:val="20"/>
        </w:rPr>
        <w:t xml:space="preserve"> is part of the group.</w:t>
      </w:r>
      <w:r w:rsidR="0072710E" w:rsidRPr="00566C64">
        <w:rPr>
          <w:rFonts w:ascii="Verdana" w:hAnsi="Verdana"/>
          <w:sz w:val="20"/>
        </w:rPr>
        <w:t xml:space="preserve"> </w:t>
      </w:r>
      <w:r w:rsidR="00FC14BB" w:rsidRPr="00566C64">
        <w:rPr>
          <w:rFonts w:ascii="Verdana" w:hAnsi="Verdana"/>
          <w:sz w:val="20"/>
        </w:rPr>
        <w:t>Similarly, post-acquisition movements in reserves are included in consolidated total comprehensive income and consolidated equity because these movements in reserves occurred while the subsidiary is part of the group.</w:t>
      </w:r>
    </w:p>
    <w:p w14:paraId="002F6EEF" w14:textId="65BFF687" w:rsidR="001052F5" w:rsidRPr="00566C64" w:rsidRDefault="001052F5" w:rsidP="0022267C">
      <w:pPr>
        <w:ind w:firstLine="0"/>
        <w:jc w:val="left"/>
        <w:rPr>
          <w:rFonts w:ascii="Verdana" w:hAnsi="Verdana"/>
          <w:sz w:val="20"/>
          <w:highlight w:val="green"/>
        </w:rPr>
      </w:pPr>
    </w:p>
    <w:p w14:paraId="36BF6612" w14:textId="77777777" w:rsidR="00566C64" w:rsidRDefault="00566C64" w:rsidP="0022267C">
      <w:pPr>
        <w:ind w:firstLine="0"/>
        <w:jc w:val="left"/>
        <w:rPr>
          <w:rFonts w:ascii="Verdana" w:hAnsi="Verdana"/>
          <w:b/>
          <w:sz w:val="20"/>
        </w:rPr>
      </w:pPr>
    </w:p>
    <w:p w14:paraId="67BB9090" w14:textId="4C900FFA" w:rsidR="00E22522" w:rsidRPr="0022267C" w:rsidRDefault="00E22522" w:rsidP="0022267C">
      <w:pPr>
        <w:ind w:firstLine="0"/>
        <w:jc w:val="left"/>
        <w:rPr>
          <w:rFonts w:ascii="Verdana" w:hAnsi="Verdana"/>
          <w:b/>
          <w:i/>
          <w:sz w:val="20"/>
        </w:rPr>
      </w:pPr>
      <w:r w:rsidRPr="0022267C">
        <w:rPr>
          <w:rFonts w:ascii="Verdana" w:hAnsi="Verdana"/>
          <w:b/>
          <w:i/>
          <w:sz w:val="20"/>
        </w:rPr>
        <w:t>Q2.6</w:t>
      </w:r>
      <w:r w:rsidR="00063102" w:rsidRPr="005C6E4C">
        <w:rPr>
          <w:rFonts w:ascii="Verdana" w:hAnsi="Verdana"/>
          <w:b/>
          <w:i/>
          <w:sz w:val="20"/>
        </w:rPr>
        <w:t xml:space="preserve"> </w:t>
      </w:r>
      <w:r w:rsidRPr="0022267C">
        <w:rPr>
          <w:rFonts w:ascii="Verdana" w:hAnsi="Verdana"/>
          <w:b/>
          <w:i/>
          <w:sz w:val="20"/>
        </w:rPr>
        <w:t>Cost of investment in subsidiary</w:t>
      </w:r>
      <w:r w:rsidR="009B2803" w:rsidRPr="005C6E4C">
        <w:rPr>
          <w:rFonts w:ascii="Verdana" w:hAnsi="Verdana"/>
          <w:b/>
          <w:i/>
          <w:sz w:val="20"/>
        </w:rPr>
        <w:t xml:space="preserve"> (Section 2.4.1)</w:t>
      </w:r>
    </w:p>
    <w:p w14:paraId="21A5CC3D" w14:textId="77777777" w:rsidR="00E22522" w:rsidRPr="00566C64" w:rsidRDefault="00E22522" w:rsidP="0022267C">
      <w:pPr>
        <w:ind w:firstLine="0"/>
        <w:jc w:val="left"/>
        <w:rPr>
          <w:rFonts w:ascii="Verdana" w:hAnsi="Verdana"/>
          <w:sz w:val="20"/>
        </w:rPr>
      </w:pPr>
    </w:p>
    <w:p w14:paraId="70991786" w14:textId="77777777" w:rsidR="009B2803" w:rsidRPr="00566C64" w:rsidRDefault="00E16C52" w:rsidP="0022267C">
      <w:pPr>
        <w:ind w:firstLine="0"/>
        <w:jc w:val="left"/>
        <w:rPr>
          <w:rFonts w:ascii="Verdana" w:hAnsi="Verdana"/>
          <w:b/>
          <w:sz w:val="20"/>
        </w:rPr>
      </w:pPr>
      <w:r w:rsidRPr="00566C64">
        <w:rPr>
          <w:rFonts w:ascii="Verdana" w:hAnsi="Verdana"/>
          <w:b/>
          <w:sz w:val="20"/>
        </w:rPr>
        <w:t>Measuring the cost of investment in a subsidiary</w:t>
      </w:r>
    </w:p>
    <w:p w14:paraId="3C2867F1" w14:textId="77777777" w:rsidR="009B2803" w:rsidRPr="00566C64" w:rsidRDefault="009B2803" w:rsidP="0022267C">
      <w:pPr>
        <w:ind w:firstLine="0"/>
        <w:jc w:val="left"/>
        <w:rPr>
          <w:rFonts w:ascii="Verdana" w:hAnsi="Verdana"/>
          <w:sz w:val="20"/>
        </w:rPr>
      </w:pPr>
    </w:p>
    <w:p w14:paraId="7528508E" w14:textId="0300ACA8" w:rsidR="00E16C52" w:rsidRPr="00566C64" w:rsidRDefault="00C27A97" w:rsidP="0022267C">
      <w:pPr>
        <w:ind w:firstLine="0"/>
        <w:jc w:val="left"/>
        <w:rPr>
          <w:rFonts w:ascii="Verdana" w:hAnsi="Verdana"/>
          <w:sz w:val="20"/>
        </w:rPr>
      </w:pPr>
      <w:r w:rsidRPr="00566C64">
        <w:rPr>
          <w:rFonts w:ascii="Verdana" w:hAnsi="Verdana"/>
          <w:sz w:val="20"/>
        </w:rPr>
        <w:t>The cost of a parent entity’s investment in a subsidiary is measured as the fair value at acquisition date of the consideration transferred by the parent to acquire the investment in subsidiary.</w:t>
      </w:r>
      <w:r w:rsidR="0072710E" w:rsidRPr="00566C64">
        <w:rPr>
          <w:rFonts w:ascii="Verdana" w:hAnsi="Verdana"/>
          <w:sz w:val="20"/>
        </w:rPr>
        <w:t xml:space="preserve"> </w:t>
      </w:r>
      <w:r w:rsidRPr="00566C64">
        <w:rPr>
          <w:rFonts w:ascii="Verdana" w:hAnsi="Verdana"/>
          <w:sz w:val="20"/>
        </w:rPr>
        <w:t>The consideration is the sum of the acquisition date fair values of the assets transferred by the parent, the liabilities incurred by the parent to the former owners of the subsidiary, and the equity interests issued by the parent (AASB</w:t>
      </w:r>
      <w:r w:rsidR="009C736E">
        <w:rPr>
          <w:rFonts w:ascii="Verdana" w:hAnsi="Verdana"/>
          <w:sz w:val="20"/>
        </w:rPr>
        <w:t xml:space="preserve"> </w:t>
      </w:r>
      <w:r w:rsidRPr="00566C64">
        <w:rPr>
          <w:rFonts w:ascii="Verdana" w:hAnsi="Verdana"/>
          <w:sz w:val="20"/>
        </w:rPr>
        <w:t>3.37).</w:t>
      </w:r>
    </w:p>
    <w:p w14:paraId="26A746C8" w14:textId="77777777" w:rsidR="007B6998" w:rsidRPr="00566C64" w:rsidRDefault="007B6998" w:rsidP="0022267C">
      <w:pPr>
        <w:ind w:firstLine="0"/>
        <w:jc w:val="left"/>
        <w:rPr>
          <w:rFonts w:ascii="Verdana" w:hAnsi="Verdana"/>
          <w:b/>
          <w:sz w:val="20"/>
        </w:rPr>
      </w:pPr>
    </w:p>
    <w:p w14:paraId="7A532F69" w14:textId="77777777" w:rsidR="00E16C52" w:rsidRPr="00566C64" w:rsidRDefault="00E16C52" w:rsidP="0022267C">
      <w:pPr>
        <w:ind w:firstLine="0"/>
        <w:jc w:val="left"/>
        <w:rPr>
          <w:rFonts w:ascii="Verdana" w:hAnsi="Verdana"/>
          <w:b/>
          <w:sz w:val="20"/>
        </w:rPr>
      </w:pPr>
      <w:r w:rsidRPr="00566C64">
        <w:rPr>
          <w:rFonts w:ascii="Verdana" w:hAnsi="Verdana"/>
          <w:b/>
          <w:sz w:val="20"/>
        </w:rPr>
        <w:t>Treatment of each item</w:t>
      </w:r>
    </w:p>
    <w:p w14:paraId="3ADAA4AB" w14:textId="4DD69FF4" w:rsidR="009B2803" w:rsidRPr="0022267C" w:rsidRDefault="00C27A97" w:rsidP="0022267C">
      <w:pPr>
        <w:ind w:firstLine="0"/>
        <w:jc w:val="left"/>
        <w:rPr>
          <w:rFonts w:ascii="Verdana" w:hAnsi="Verdana"/>
          <w:sz w:val="20"/>
        </w:rPr>
      </w:pPr>
      <w:r w:rsidRPr="0022267C">
        <w:rPr>
          <w:rFonts w:ascii="Verdana" w:hAnsi="Verdana"/>
          <w:sz w:val="20"/>
        </w:rPr>
        <w:t xml:space="preserve">The following items should be included in the cost of the </w:t>
      </w:r>
      <w:r w:rsidR="007A4E41" w:rsidRPr="0022267C">
        <w:rPr>
          <w:rFonts w:ascii="Verdana" w:hAnsi="Verdana"/>
          <w:sz w:val="20"/>
        </w:rPr>
        <w:t>acquirer company</w:t>
      </w:r>
      <w:r w:rsidRPr="0022267C">
        <w:rPr>
          <w:rFonts w:ascii="Verdana" w:hAnsi="Verdana"/>
          <w:sz w:val="20"/>
        </w:rPr>
        <w:t>’s investment in the target company</w:t>
      </w:r>
      <w:r w:rsidR="00733DCC">
        <w:rPr>
          <w:rFonts w:ascii="Verdana" w:hAnsi="Verdana"/>
          <w:sz w:val="20"/>
        </w:rPr>
        <w:t>.</w:t>
      </w:r>
    </w:p>
    <w:p w14:paraId="110EFC43" w14:textId="77777777" w:rsidR="001916BE" w:rsidRDefault="001916BE" w:rsidP="0022267C">
      <w:pPr>
        <w:ind w:firstLine="0"/>
        <w:jc w:val="left"/>
        <w:rPr>
          <w:rFonts w:ascii="Verdana" w:hAnsi="Verdana"/>
          <w:i/>
          <w:sz w:val="20"/>
        </w:rPr>
      </w:pPr>
    </w:p>
    <w:p w14:paraId="70EC0797" w14:textId="0BC7F502" w:rsidR="00C27A97" w:rsidRPr="0022267C" w:rsidRDefault="006A7D68" w:rsidP="0022267C">
      <w:pPr>
        <w:ind w:firstLine="0"/>
        <w:jc w:val="left"/>
        <w:rPr>
          <w:rFonts w:ascii="Verdana" w:hAnsi="Verdana"/>
          <w:i/>
          <w:sz w:val="20"/>
        </w:rPr>
      </w:pPr>
      <w:r w:rsidRPr="0022267C">
        <w:rPr>
          <w:rFonts w:ascii="Verdana" w:hAnsi="Verdana"/>
          <w:i/>
          <w:sz w:val="20"/>
        </w:rPr>
        <w:t xml:space="preserve">Item 1: </w:t>
      </w:r>
      <w:r w:rsidR="007A4E41" w:rsidRPr="0022267C">
        <w:rPr>
          <w:rFonts w:ascii="Verdana" w:hAnsi="Verdana"/>
          <w:i/>
          <w:sz w:val="20"/>
        </w:rPr>
        <w:t>The fair value of shares in the acquirer company issued to target company shareholders</w:t>
      </w:r>
    </w:p>
    <w:p w14:paraId="29EC1309" w14:textId="215E54F6" w:rsidR="00C27A97" w:rsidRPr="00566C64" w:rsidRDefault="007A4E41" w:rsidP="0022267C">
      <w:pPr>
        <w:tabs>
          <w:tab w:val="left" w:pos="426"/>
        </w:tabs>
        <w:ind w:firstLine="0"/>
        <w:jc w:val="left"/>
        <w:rPr>
          <w:rFonts w:ascii="Verdana" w:hAnsi="Verdana"/>
          <w:sz w:val="20"/>
        </w:rPr>
      </w:pPr>
      <w:r w:rsidRPr="0022267C">
        <w:rPr>
          <w:rFonts w:ascii="Verdana" w:hAnsi="Verdana"/>
          <w:i/>
          <w:sz w:val="20"/>
        </w:rPr>
        <w:t>Explanation</w:t>
      </w:r>
      <w:r w:rsidRPr="00DC216C">
        <w:rPr>
          <w:rFonts w:ascii="Verdana" w:hAnsi="Verdana"/>
          <w:sz w:val="20"/>
        </w:rPr>
        <w:t>:</w:t>
      </w:r>
      <w:r w:rsidR="0072710E" w:rsidRPr="00566C64">
        <w:rPr>
          <w:rFonts w:ascii="Verdana" w:hAnsi="Verdana"/>
          <w:sz w:val="20"/>
        </w:rPr>
        <w:t xml:space="preserve"> </w:t>
      </w:r>
      <w:r w:rsidRPr="00566C64">
        <w:rPr>
          <w:rFonts w:ascii="Verdana" w:hAnsi="Verdana"/>
          <w:sz w:val="20"/>
        </w:rPr>
        <w:t xml:space="preserve">The shares issued by the acquirer company form part of the </w:t>
      </w:r>
      <w:r w:rsidRPr="00566C64">
        <w:rPr>
          <w:rFonts w:ascii="Verdana" w:hAnsi="Verdana"/>
          <w:sz w:val="20"/>
        </w:rPr>
        <w:lastRenderedPageBreak/>
        <w:t>consideration paid by the acquirer for its investment in the target company.</w:t>
      </w:r>
      <w:r w:rsidR="0072710E" w:rsidRPr="00566C64">
        <w:rPr>
          <w:rFonts w:ascii="Verdana" w:hAnsi="Verdana"/>
          <w:sz w:val="20"/>
        </w:rPr>
        <w:t xml:space="preserve"> </w:t>
      </w:r>
      <w:r w:rsidR="008531F4" w:rsidRPr="00566C64">
        <w:rPr>
          <w:rFonts w:ascii="Verdana" w:hAnsi="Verdana"/>
          <w:sz w:val="20"/>
        </w:rPr>
        <w:t>The shares issued by the acquirer are included in the cost of acquisition of the acquirer’s investment in the target company by measuring the shares at their fair value at acquisition date.</w:t>
      </w:r>
      <w:r w:rsidR="0072710E" w:rsidRPr="00566C64">
        <w:rPr>
          <w:rFonts w:ascii="Verdana" w:hAnsi="Verdana"/>
          <w:sz w:val="20"/>
        </w:rPr>
        <w:t xml:space="preserve"> </w:t>
      </w:r>
      <w:r w:rsidR="008531F4" w:rsidRPr="00566C64">
        <w:rPr>
          <w:rFonts w:ascii="Verdana" w:hAnsi="Verdana"/>
          <w:sz w:val="20"/>
        </w:rPr>
        <w:t>The best evidence of the fair value of the acquirer’s shares is their quoted market price at acquisition date.</w:t>
      </w:r>
      <w:r w:rsidR="0072710E" w:rsidRPr="00566C64">
        <w:rPr>
          <w:rFonts w:ascii="Verdana" w:hAnsi="Verdana"/>
          <w:sz w:val="20"/>
        </w:rPr>
        <w:t xml:space="preserve"> </w:t>
      </w:r>
      <w:r w:rsidR="008531F4" w:rsidRPr="00566C64">
        <w:rPr>
          <w:rFonts w:ascii="Verdana" w:hAnsi="Verdana"/>
          <w:sz w:val="20"/>
        </w:rPr>
        <w:t xml:space="preserve">If the acquirer is not listed on a stock exchange, or the quoted price is considered to be unreliable, other valuation techniques must </w:t>
      </w:r>
      <w:r w:rsidR="00325EFB" w:rsidRPr="00566C64">
        <w:rPr>
          <w:rFonts w:ascii="Verdana" w:hAnsi="Verdana"/>
          <w:sz w:val="20"/>
        </w:rPr>
        <w:t>be used to estimate the fair value of the acquirer’s shares, such as prices in recent arm’s length transactions, discounted cash flows</w:t>
      </w:r>
      <w:r w:rsidR="007D3A5D">
        <w:rPr>
          <w:rFonts w:ascii="Verdana" w:hAnsi="Verdana"/>
          <w:sz w:val="20"/>
        </w:rPr>
        <w:t xml:space="preserve"> and</w:t>
      </w:r>
      <w:r w:rsidR="007D3A5D" w:rsidRPr="00566C64">
        <w:rPr>
          <w:rFonts w:ascii="Verdana" w:hAnsi="Verdana"/>
          <w:sz w:val="20"/>
        </w:rPr>
        <w:t xml:space="preserve"> </w:t>
      </w:r>
      <w:r w:rsidR="00325EFB" w:rsidRPr="00566C64">
        <w:rPr>
          <w:rFonts w:ascii="Verdana" w:hAnsi="Verdana"/>
          <w:sz w:val="20"/>
        </w:rPr>
        <w:t>option pricing models</w:t>
      </w:r>
      <w:r w:rsidR="00410227">
        <w:rPr>
          <w:rFonts w:ascii="Verdana" w:hAnsi="Verdana"/>
          <w:sz w:val="20"/>
        </w:rPr>
        <w:t>.</w:t>
      </w:r>
    </w:p>
    <w:p w14:paraId="38C9DD83" w14:textId="77777777" w:rsidR="00733DCC" w:rsidRDefault="00733DCC" w:rsidP="0022267C">
      <w:pPr>
        <w:ind w:firstLine="0"/>
        <w:jc w:val="left"/>
        <w:rPr>
          <w:rFonts w:ascii="Verdana" w:hAnsi="Verdana"/>
          <w:b/>
          <w:sz w:val="20"/>
        </w:rPr>
      </w:pPr>
    </w:p>
    <w:p w14:paraId="60A2F864" w14:textId="3AEE2447" w:rsidR="007B02FC" w:rsidRPr="0022267C" w:rsidRDefault="006A7D68" w:rsidP="0022267C">
      <w:pPr>
        <w:ind w:firstLine="0"/>
        <w:jc w:val="left"/>
        <w:rPr>
          <w:rFonts w:ascii="Verdana" w:hAnsi="Verdana"/>
          <w:i/>
          <w:sz w:val="20"/>
        </w:rPr>
      </w:pPr>
      <w:r w:rsidRPr="0022267C">
        <w:rPr>
          <w:rFonts w:ascii="Verdana" w:hAnsi="Verdana"/>
          <w:i/>
          <w:sz w:val="20"/>
        </w:rPr>
        <w:t xml:space="preserve">Item 2: </w:t>
      </w:r>
      <w:r w:rsidR="00325EFB" w:rsidRPr="0022267C">
        <w:rPr>
          <w:rFonts w:ascii="Verdana" w:hAnsi="Verdana"/>
          <w:i/>
          <w:sz w:val="20"/>
        </w:rPr>
        <w:t>The fair value of probable additional shares in the acquirer company</w:t>
      </w:r>
      <w:r w:rsidR="00410227" w:rsidRPr="0022267C">
        <w:rPr>
          <w:rFonts w:ascii="Verdana" w:hAnsi="Verdana"/>
          <w:i/>
          <w:sz w:val="20"/>
        </w:rPr>
        <w:t>—</w:t>
      </w:r>
      <w:r w:rsidR="00EE4E4E" w:rsidRPr="0022267C">
        <w:rPr>
          <w:rFonts w:ascii="Verdana" w:hAnsi="Verdana"/>
          <w:i/>
          <w:sz w:val="20"/>
        </w:rPr>
        <w:t xml:space="preserve"> the acquirer is required to</w:t>
      </w:r>
      <w:r w:rsidR="00325EFB" w:rsidRPr="0022267C">
        <w:rPr>
          <w:rFonts w:ascii="Verdana" w:hAnsi="Verdana"/>
          <w:i/>
          <w:sz w:val="20"/>
        </w:rPr>
        <w:t xml:space="preserve"> </w:t>
      </w:r>
      <w:r w:rsidR="00EE4E4E" w:rsidRPr="0022267C">
        <w:rPr>
          <w:rFonts w:ascii="Verdana" w:hAnsi="Verdana"/>
          <w:i/>
          <w:sz w:val="20"/>
        </w:rPr>
        <w:t>issue to target company shareholders two years after acquisition date, if the market value of the acquirer’s shares is below $5.50 on that date</w:t>
      </w:r>
    </w:p>
    <w:p w14:paraId="2EB1A2E7" w14:textId="00CA1B2E" w:rsidR="007A4E41" w:rsidRPr="00566C64" w:rsidRDefault="00EE4E4E" w:rsidP="0022267C">
      <w:pPr>
        <w:tabs>
          <w:tab w:val="left" w:pos="426"/>
        </w:tabs>
        <w:ind w:firstLine="0"/>
        <w:jc w:val="left"/>
        <w:rPr>
          <w:rFonts w:ascii="Verdana" w:hAnsi="Verdana"/>
          <w:sz w:val="20"/>
        </w:rPr>
      </w:pPr>
      <w:r w:rsidRPr="0022267C">
        <w:rPr>
          <w:rFonts w:ascii="Verdana" w:hAnsi="Verdana"/>
          <w:i/>
          <w:sz w:val="20"/>
        </w:rPr>
        <w:t>Explanation</w:t>
      </w:r>
      <w:r w:rsidRPr="00DC216C">
        <w:rPr>
          <w:rFonts w:ascii="Verdana" w:hAnsi="Verdana"/>
          <w:sz w:val="20"/>
        </w:rPr>
        <w:t>:</w:t>
      </w:r>
      <w:r w:rsidR="0072710E" w:rsidRPr="00566C64">
        <w:rPr>
          <w:rFonts w:ascii="Verdana" w:hAnsi="Verdana"/>
          <w:sz w:val="20"/>
        </w:rPr>
        <w:t xml:space="preserve"> </w:t>
      </w:r>
      <w:r w:rsidRPr="00566C64">
        <w:rPr>
          <w:rFonts w:ascii="Verdana" w:hAnsi="Verdana"/>
          <w:sz w:val="20"/>
        </w:rPr>
        <w:t>The contingent consideration, the additional shares the acquirer may be required to issue two years after acquisition date, forms part of the consideration paid by the acquirer for its investment in the target company (AASB</w:t>
      </w:r>
      <w:r w:rsidR="00410227">
        <w:rPr>
          <w:rFonts w:ascii="Verdana" w:hAnsi="Verdana"/>
          <w:sz w:val="20"/>
        </w:rPr>
        <w:t xml:space="preserve"> </w:t>
      </w:r>
      <w:r w:rsidRPr="00566C64">
        <w:rPr>
          <w:rFonts w:ascii="Verdana" w:hAnsi="Verdana"/>
          <w:sz w:val="20"/>
        </w:rPr>
        <w:t>3.39).</w:t>
      </w:r>
      <w:r w:rsidR="0072710E" w:rsidRPr="00566C64">
        <w:rPr>
          <w:rFonts w:ascii="Verdana" w:hAnsi="Verdana"/>
          <w:sz w:val="20"/>
        </w:rPr>
        <w:t xml:space="preserve"> </w:t>
      </w:r>
      <w:r w:rsidR="00061E6E" w:rsidRPr="00566C64">
        <w:rPr>
          <w:rFonts w:ascii="Verdana" w:hAnsi="Verdana"/>
          <w:sz w:val="20"/>
        </w:rPr>
        <w:t>The probable number of additional shares expected to be issued by the acquirer</w:t>
      </w:r>
      <w:r w:rsidR="00951B74" w:rsidRPr="00566C64">
        <w:rPr>
          <w:rFonts w:ascii="Verdana" w:hAnsi="Verdana"/>
          <w:sz w:val="20"/>
        </w:rPr>
        <w:t xml:space="preserve"> </w:t>
      </w:r>
      <w:r w:rsidR="00061E6E" w:rsidRPr="00566C64">
        <w:rPr>
          <w:rFonts w:ascii="Verdana" w:hAnsi="Verdana"/>
          <w:sz w:val="20"/>
        </w:rPr>
        <w:t xml:space="preserve">is included in the cost of acquisition of the acquirer’s investment in the target company by measuring the </w:t>
      </w:r>
      <w:r w:rsidR="00951B74" w:rsidRPr="00566C64">
        <w:rPr>
          <w:rFonts w:ascii="Verdana" w:hAnsi="Verdana"/>
          <w:sz w:val="20"/>
        </w:rPr>
        <w:t xml:space="preserve">additional </w:t>
      </w:r>
      <w:r w:rsidR="00061E6E" w:rsidRPr="00566C64">
        <w:rPr>
          <w:rFonts w:ascii="Verdana" w:hAnsi="Verdana"/>
          <w:sz w:val="20"/>
        </w:rPr>
        <w:t>shares at their fair value at acquisition date.</w:t>
      </w:r>
      <w:r w:rsidR="0072710E" w:rsidRPr="00566C64">
        <w:rPr>
          <w:rFonts w:ascii="Verdana" w:hAnsi="Verdana"/>
          <w:sz w:val="20"/>
        </w:rPr>
        <w:t xml:space="preserve"> </w:t>
      </w:r>
      <w:r w:rsidR="00061E6E" w:rsidRPr="00566C64">
        <w:rPr>
          <w:rFonts w:ascii="Verdana" w:hAnsi="Verdana"/>
          <w:sz w:val="20"/>
        </w:rPr>
        <w:t>The fair value of the probable additional shares</w:t>
      </w:r>
      <w:r w:rsidR="00951B74" w:rsidRPr="00566C64">
        <w:rPr>
          <w:rFonts w:ascii="Verdana" w:hAnsi="Verdana"/>
          <w:sz w:val="20"/>
        </w:rPr>
        <w:t xml:space="preserve"> </w:t>
      </w:r>
      <w:r w:rsidR="00061E6E" w:rsidRPr="00566C64">
        <w:rPr>
          <w:rFonts w:ascii="Verdana" w:hAnsi="Verdana"/>
          <w:sz w:val="20"/>
        </w:rPr>
        <w:t>is measured by discounting the expected market value of the additional shares two years</w:t>
      </w:r>
      <w:r w:rsidR="00951B74" w:rsidRPr="00566C64">
        <w:rPr>
          <w:rFonts w:ascii="Verdana" w:hAnsi="Verdana"/>
          <w:sz w:val="20"/>
        </w:rPr>
        <w:t xml:space="preserve"> after acquisition date</w:t>
      </w:r>
      <w:r w:rsidR="00061E6E" w:rsidRPr="00566C64">
        <w:rPr>
          <w:rFonts w:ascii="Verdana" w:hAnsi="Verdana"/>
          <w:sz w:val="20"/>
        </w:rPr>
        <w:t xml:space="preserve"> to </w:t>
      </w:r>
      <w:r w:rsidR="00951B74" w:rsidRPr="00566C64">
        <w:rPr>
          <w:rFonts w:ascii="Verdana" w:hAnsi="Verdana"/>
          <w:sz w:val="20"/>
        </w:rPr>
        <w:t xml:space="preserve">their </w:t>
      </w:r>
      <w:r w:rsidR="00061E6E" w:rsidRPr="00566C64">
        <w:rPr>
          <w:rFonts w:ascii="Verdana" w:hAnsi="Verdana"/>
          <w:sz w:val="20"/>
        </w:rPr>
        <w:t>present value</w:t>
      </w:r>
      <w:r w:rsidR="00951B74" w:rsidRPr="00566C64">
        <w:rPr>
          <w:rFonts w:ascii="Verdana" w:hAnsi="Verdana"/>
          <w:sz w:val="20"/>
        </w:rPr>
        <w:t xml:space="preserve"> at acquisition date</w:t>
      </w:r>
      <w:r w:rsidR="00061E6E" w:rsidRPr="00566C64">
        <w:rPr>
          <w:rFonts w:ascii="Verdana" w:hAnsi="Verdana"/>
          <w:sz w:val="20"/>
        </w:rPr>
        <w:t>.</w:t>
      </w:r>
      <w:r w:rsidR="0072710E" w:rsidRPr="00566C64">
        <w:rPr>
          <w:rFonts w:ascii="Verdana" w:hAnsi="Verdana"/>
          <w:sz w:val="20"/>
        </w:rPr>
        <w:t xml:space="preserve"> </w:t>
      </w:r>
      <w:r w:rsidR="00410227">
        <w:rPr>
          <w:rFonts w:ascii="Verdana" w:hAnsi="Verdana"/>
          <w:sz w:val="20"/>
        </w:rPr>
        <w:t>(</w:t>
      </w:r>
      <w:r w:rsidR="00061E6E" w:rsidRPr="00566C64">
        <w:rPr>
          <w:rFonts w:ascii="Verdana" w:hAnsi="Verdana"/>
          <w:sz w:val="20"/>
        </w:rPr>
        <w:t xml:space="preserve">The effect of discounting should be material as the probable additional shares will be issued </w:t>
      </w:r>
      <w:r w:rsidR="006F1A08" w:rsidRPr="00566C64">
        <w:rPr>
          <w:rFonts w:ascii="Verdana" w:hAnsi="Verdana"/>
          <w:sz w:val="20"/>
        </w:rPr>
        <w:t>two years after acquisition date</w:t>
      </w:r>
      <w:r w:rsidR="00410227">
        <w:rPr>
          <w:rFonts w:ascii="Verdana" w:hAnsi="Verdana"/>
          <w:sz w:val="20"/>
        </w:rPr>
        <w:t>).</w:t>
      </w:r>
    </w:p>
    <w:p w14:paraId="46F0C2DF" w14:textId="77777777" w:rsidR="00733DCC" w:rsidRDefault="00733DCC" w:rsidP="0022267C">
      <w:pPr>
        <w:ind w:firstLine="0"/>
        <w:jc w:val="left"/>
        <w:rPr>
          <w:rFonts w:ascii="Verdana" w:hAnsi="Verdana"/>
          <w:b/>
          <w:sz w:val="20"/>
        </w:rPr>
      </w:pPr>
    </w:p>
    <w:p w14:paraId="6FC34F82" w14:textId="64815AD2" w:rsidR="00690D86" w:rsidRPr="0022267C" w:rsidRDefault="006A7D68" w:rsidP="0022267C">
      <w:pPr>
        <w:ind w:firstLine="0"/>
        <w:jc w:val="left"/>
        <w:rPr>
          <w:rFonts w:ascii="Verdana" w:hAnsi="Verdana"/>
          <w:i/>
          <w:sz w:val="20"/>
        </w:rPr>
      </w:pPr>
      <w:r w:rsidRPr="0022267C">
        <w:rPr>
          <w:rFonts w:ascii="Verdana" w:hAnsi="Verdana"/>
          <w:i/>
          <w:sz w:val="20"/>
        </w:rPr>
        <w:t xml:space="preserve">Item 3: </w:t>
      </w:r>
      <w:r w:rsidR="00690D86" w:rsidRPr="0022267C">
        <w:rPr>
          <w:rFonts w:ascii="Verdana" w:hAnsi="Verdana"/>
          <w:i/>
          <w:sz w:val="20"/>
        </w:rPr>
        <w:t>The fair value of debt obligations of the target company assumed by the acquirer company</w:t>
      </w:r>
      <w:r w:rsidR="00410227" w:rsidRPr="0022267C">
        <w:rPr>
          <w:rFonts w:ascii="Verdana" w:hAnsi="Verdana"/>
          <w:i/>
          <w:sz w:val="20"/>
        </w:rPr>
        <w:t>—</w:t>
      </w:r>
      <w:r w:rsidR="00690D86" w:rsidRPr="0022267C">
        <w:rPr>
          <w:rFonts w:ascii="Verdana" w:hAnsi="Verdana"/>
          <w:i/>
          <w:sz w:val="20"/>
        </w:rPr>
        <w:t>only if the debt obligations are owed by the target company to the former shareholders of the target company</w:t>
      </w:r>
    </w:p>
    <w:p w14:paraId="32CE1508" w14:textId="1369DA4C" w:rsidR="00690D86" w:rsidRPr="00566C64" w:rsidRDefault="00690D86" w:rsidP="0022267C">
      <w:pPr>
        <w:tabs>
          <w:tab w:val="left" w:pos="426"/>
        </w:tabs>
        <w:ind w:firstLine="0"/>
        <w:jc w:val="left"/>
        <w:rPr>
          <w:rFonts w:ascii="Verdana" w:hAnsi="Verdana"/>
          <w:sz w:val="20"/>
        </w:rPr>
      </w:pPr>
      <w:r w:rsidRPr="0022267C">
        <w:rPr>
          <w:rFonts w:ascii="Verdana" w:hAnsi="Verdana"/>
          <w:i/>
          <w:sz w:val="20"/>
        </w:rPr>
        <w:t>Explanation</w:t>
      </w:r>
      <w:r w:rsidRPr="00DC216C">
        <w:rPr>
          <w:rFonts w:ascii="Verdana" w:hAnsi="Verdana"/>
          <w:sz w:val="20"/>
        </w:rPr>
        <w:t>:</w:t>
      </w:r>
      <w:r w:rsidR="0072710E" w:rsidRPr="00566C64">
        <w:rPr>
          <w:rFonts w:ascii="Verdana" w:hAnsi="Verdana"/>
          <w:sz w:val="20"/>
        </w:rPr>
        <w:t xml:space="preserve"> </w:t>
      </w:r>
      <w:r w:rsidRPr="00566C64">
        <w:rPr>
          <w:rFonts w:ascii="Verdana" w:hAnsi="Verdana"/>
          <w:sz w:val="20"/>
        </w:rPr>
        <w:t xml:space="preserve">The debt obligations of the target company </w:t>
      </w:r>
      <w:r w:rsidR="0089701C" w:rsidRPr="00566C64">
        <w:rPr>
          <w:rFonts w:ascii="Verdana" w:hAnsi="Verdana"/>
          <w:sz w:val="20"/>
        </w:rPr>
        <w:t xml:space="preserve">owed </w:t>
      </w:r>
      <w:r w:rsidRPr="00566C64">
        <w:rPr>
          <w:rFonts w:ascii="Verdana" w:hAnsi="Verdana"/>
          <w:sz w:val="20"/>
        </w:rPr>
        <w:t xml:space="preserve">to </w:t>
      </w:r>
      <w:r w:rsidR="00083313" w:rsidRPr="00566C64">
        <w:rPr>
          <w:rFonts w:ascii="Verdana" w:hAnsi="Verdana"/>
          <w:sz w:val="20"/>
        </w:rPr>
        <w:t>its former shareholders, which are</w:t>
      </w:r>
      <w:r w:rsidRPr="00566C64">
        <w:rPr>
          <w:rFonts w:ascii="Verdana" w:hAnsi="Verdana"/>
          <w:sz w:val="20"/>
        </w:rPr>
        <w:t xml:space="preserve"> assumed by the acquirer company</w:t>
      </w:r>
      <w:r w:rsidR="0089701C" w:rsidRPr="00566C64">
        <w:rPr>
          <w:rFonts w:ascii="Verdana" w:hAnsi="Verdana"/>
          <w:sz w:val="20"/>
        </w:rPr>
        <w:t>,</w:t>
      </w:r>
      <w:r w:rsidRPr="00566C64">
        <w:rPr>
          <w:rFonts w:ascii="Verdana" w:hAnsi="Verdana"/>
          <w:sz w:val="20"/>
        </w:rPr>
        <w:t xml:space="preserve"> forms part of the consideration paid by the acquirer for its investment in the target company.</w:t>
      </w:r>
      <w:r w:rsidR="0072710E" w:rsidRPr="00566C64">
        <w:rPr>
          <w:rFonts w:ascii="Verdana" w:hAnsi="Verdana"/>
          <w:sz w:val="20"/>
        </w:rPr>
        <w:t xml:space="preserve"> </w:t>
      </w:r>
      <w:r w:rsidRPr="00566C64">
        <w:rPr>
          <w:rFonts w:ascii="Verdana" w:hAnsi="Verdana"/>
          <w:sz w:val="20"/>
        </w:rPr>
        <w:t>The assumption by the acquirer of debt obligations of the target company owed to the former shareholders of the target company is part of the contract to purchase shares in the target company between the acquirer and the former shareholders of the target company.</w:t>
      </w:r>
      <w:r w:rsidR="0072710E" w:rsidRPr="00566C64">
        <w:rPr>
          <w:rFonts w:ascii="Verdana" w:hAnsi="Verdana"/>
          <w:sz w:val="20"/>
        </w:rPr>
        <w:t xml:space="preserve"> </w:t>
      </w:r>
      <w:r w:rsidRPr="00566C64">
        <w:rPr>
          <w:rFonts w:ascii="Verdana" w:hAnsi="Verdana"/>
          <w:sz w:val="20"/>
        </w:rPr>
        <w:t>The debt obligations of the target company are included in the cost of acquisition of the acquirer’s investment in the target company by measuring the debt obligations at their fair value at acquisition date.</w:t>
      </w:r>
      <w:r w:rsidR="0072710E" w:rsidRPr="00566C64">
        <w:rPr>
          <w:rFonts w:ascii="Verdana" w:hAnsi="Verdana"/>
          <w:sz w:val="20"/>
        </w:rPr>
        <w:t xml:space="preserve"> </w:t>
      </w:r>
      <w:r w:rsidRPr="00566C64">
        <w:rPr>
          <w:rFonts w:ascii="Verdana" w:hAnsi="Verdana"/>
          <w:sz w:val="20"/>
        </w:rPr>
        <w:t>The fair value of the debt obligations is measured by discounting the future cash payments to present value at acquisition date</w:t>
      </w:r>
      <w:r w:rsidR="00410227">
        <w:rPr>
          <w:rFonts w:ascii="Verdana" w:hAnsi="Verdana"/>
          <w:sz w:val="20"/>
        </w:rPr>
        <w:t>.</w:t>
      </w:r>
      <w:r w:rsidRPr="00566C64">
        <w:rPr>
          <w:rFonts w:ascii="Verdana" w:hAnsi="Verdana"/>
          <w:sz w:val="20"/>
        </w:rPr>
        <w:t xml:space="preserve"> </w:t>
      </w:r>
    </w:p>
    <w:p w14:paraId="07037DA4" w14:textId="77777777" w:rsidR="00733DCC" w:rsidRDefault="00733DCC" w:rsidP="0022267C">
      <w:pPr>
        <w:tabs>
          <w:tab w:val="left" w:pos="426"/>
        </w:tabs>
        <w:ind w:firstLine="0"/>
        <w:jc w:val="left"/>
        <w:rPr>
          <w:rFonts w:ascii="Verdana" w:hAnsi="Verdana"/>
          <w:i/>
          <w:sz w:val="20"/>
        </w:rPr>
      </w:pPr>
    </w:p>
    <w:p w14:paraId="27098F7A" w14:textId="12428BE8" w:rsidR="00325EFB" w:rsidRPr="0022267C" w:rsidRDefault="006A7D68" w:rsidP="0022267C">
      <w:pPr>
        <w:tabs>
          <w:tab w:val="left" w:pos="426"/>
        </w:tabs>
        <w:ind w:firstLine="0"/>
        <w:jc w:val="left"/>
        <w:rPr>
          <w:rFonts w:ascii="Verdana" w:hAnsi="Verdana"/>
          <w:i/>
          <w:sz w:val="20"/>
        </w:rPr>
      </w:pPr>
      <w:r w:rsidRPr="0022267C">
        <w:rPr>
          <w:rFonts w:ascii="Verdana" w:hAnsi="Verdana"/>
          <w:i/>
          <w:sz w:val="20"/>
        </w:rPr>
        <w:t>Item 9</w:t>
      </w:r>
      <w:r w:rsidR="00410227" w:rsidRPr="0022267C">
        <w:rPr>
          <w:rFonts w:ascii="Verdana" w:hAnsi="Verdana"/>
          <w:i/>
          <w:sz w:val="20"/>
        </w:rPr>
        <w:t>:</w:t>
      </w:r>
      <w:r w:rsidRPr="0022267C">
        <w:rPr>
          <w:rFonts w:ascii="Verdana" w:hAnsi="Verdana"/>
          <w:i/>
          <w:sz w:val="20"/>
        </w:rPr>
        <w:t xml:space="preserve"> </w:t>
      </w:r>
      <w:r w:rsidR="00C65DF8" w:rsidRPr="0022267C">
        <w:rPr>
          <w:rFonts w:ascii="Verdana" w:hAnsi="Verdana"/>
          <w:i/>
          <w:sz w:val="20"/>
        </w:rPr>
        <w:t xml:space="preserve">The fair value of unsecured notes issued by the acquirer company </w:t>
      </w:r>
      <w:r w:rsidR="00D44C6D" w:rsidRPr="0022267C">
        <w:rPr>
          <w:rFonts w:ascii="Verdana" w:hAnsi="Verdana"/>
          <w:i/>
          <w:sz w:val="20"/>
        </w:rPr>
        <w:t>to target company shareholders</w:t>
      </w:r>
    </w:p>
    <w:p w14:paraId="34D1FE4F" w14:textId="1DFDF9E8" w:rsidR="00325EFB" w:rsidRPr="00566C64" w:rsidRDefault="00D44C6D" w:rsidP="0022267C">
      <w:pPr>
        <w:tabs>
          <w:tab w:val="left" w:pos="426"/>
        </w:tabs>
        <w:ind w:firstLine="0"/>
        <w:jc w:val="left"/>
        <w:rPr>
          <w:rFonts w:ascii="Verdana" w:hAnsi="Verdana"/>
          <w:sz w:val="20"/>
        </w:rPr>
      </w:pPr>
      <w:r w:rsidRPr="0022267C">
        <w:rPr>
          <w:rFonts w:ascii="Verdana" w:hAnsi="Verdana"/>
          <w:i/>
          <w:sz w:val="20"/>
        </w:rPr>
        <w:t>Explanation</w:t>
      </w:r>
      <w:r w:rsidRPr="00DC216C">
        <w:rPr>
          <w:rFonts w:ascii="Verdana" w:hAnsi="Verdana"/>
          <w:sz w:val="20"/>
        </w:rPr>
        <w:t>:</w:t>
      </w:r>
      <w:r w:rsidR="0072710E" w:rsidRPr="00566C64">
        <w:rPr>
          <w:rFonts w:ascii="Verdana" w:hAnsi="Verdana"/>
          <w:sz w:val="20"/>
        </w:rPr>
        <w:t xml:space="preserve"> </w:t>
      </w:r>
      <w:r w:rsidRPr="00566C64">
        <w:rPr>
          <w:rFonts w:ascii="Verdana" w:hAnsi="Verdana"/>
          <w:sz w:val="20"/>
        </w:rPr>
        <w:t>The</w:t>
      </w:r>
      <w:r w:rsidR="00EB4164" w:rsidRPr="00566C64">
        <w:rPr>
          <w:rFonts w:ascii="Verdana" w:hAnsi="Verdana"/>
          <w:sz w:val="20"/>
        </w:rPr>
        <w:t xml:space="preserve"> unsecured notes issued by the acquirer company forms part of the consideration paid by the acquirer for its investment in the target company.</w:t>
      </w:r>
      <w:r w:rsidR="0072710E" w:rsidRPr="00566C64">
        <w:rPr>
          <w:rFonts w:ascii="Verdana" w:hAnsi="Verdana"/>
          <w:sz w:val="20"/>
        </w:rPr>
        <w:t xml:space="preserve"> </w:t>
      </w:r>
      <w:r w:rsidR="00EB4164" w:rsidRPr="00566C64">
        <w:rPr>
          <w:rFonts w:ascii="Verdana" w:hAnsi="Verdana"/>
          <w:sz w:val="20"/>
        </w:rPr>
        <w:t xml:space="preserve">The </w:t>
      </w:r>
      <w:r w:rsidR="00DC603C" w:rsidRPr="00566C64">
        <w:rPr>
          <w:rFonts w:ascii="Verdana" w:hAnsi="Verdana"/>
          <w:sz w:val="20"/>
        </w:rPr>
        <w:t>unsecured notes issued by the acquirer are included in the cost of acquisition of the acquirer’s investment in the target company by measuring the unsecured notes at their fair value at acquisition date.</w:t>
      </w:r>
      <w:r w:rsidR="0072710E" w:rsidRPr="00566C64">
        <w:rPr>
          <w:rFonts w:ascii="Verdana" w:hAnsi="Verdana"/>
          <w:sz w:val="20"/>
        </w:rPr>
        <w:t xml:space="preserve"> </w:t>
      </w:r>
      <w:r w:rsidR="00DC603C" w:rsidRPr="00566C64">
        <w:rPr>
          <w:rFonts w:ascii="Verdana" w:hAnsi="Verdana"/>
          <w:sz w:val="20"/>
        </w:rPr>
        <w:t>The fair value of the unsecured notes is measured by discounting the future cash payments to present value at acquisition date.</w:t>
      </w:r>
    </w:p>
    <w:p w14:paraId="7715DF02" w14:textId="77777777" w:rsidR="00690D86" w:rsidRPr="00566C64" w:rsidRDefault="00690D86" w:rsidP="0022267C">
      <w:pPr>
        <w:ind w:firstLine="0"/>
        <w:jc w:val="left"/>
        <w:rPr>
          <w:rFonts w:ascii="Verdana" w:hAnsi="Verdana"/>
          <w:sz w:val="20"/>
        </w:rPr>
      </w:pPr>
    </w:p>
    <w:p w14:paraId="1D19466A" w14:textId="77777777" w:rsidR="00690D86" w:rsidRPr="0022267C" w:rsidRDefault="00690D86" w:rsidP="0022267C">
      <w:pPr>
        <w:ind w:firstLine="0"/>
        <w:jc w:val="left"/>
        <w:rPr>
          <w:rFonts w:ascii="Verdana" w:hAnsi="Verdana"/>
          <w:sz w:val="20"/>
        </w:rPr>
      </w:pPr>
      <w:r w:rsidRPr="0022267C">
        <w:rPr>
          <w:rFonts w:ascii="Verdana" w:hAnsi="Verdana"/>
          <w:sz w:val="20"/>
        </w:rPr>
        <w:t>The following items should not be included in the cost of the acquirer company’s investment in the target company:</w:t>
      </w:r>
    </w:p>
    <w:p w14:paraId="71316E71" w14:textId="4A962694" w:rsidR="004A05A8" w:rsidRPr="0022267C" w:rsidRDefault="006A7D68" w:rsidP="0022267C">
      <w:pPr>
        <w:ind w:firstLine="0"/>
        <w:jc w:val="left"/>
        <w:rPr>
          <w:rFonts w:ascii="Verdana" w:hAnsi="Verdana"/>
          <w:i/>
          <w:sz w:val="20"/>
        </w:rPr>
      </w:pPr>
      <w:r w:rsidRPr="0022267C">
        <w:rPr>
          <w:rFonts w:ascii="Verdana" w:hAnsi="Verdana"/>
          <w:i/>
          <w:sz w:val="20"/>
        </w:rPr>
        <w:t xml:space="preserve">Item 3: </w:t>
      </w:r>
      <w:r w:rsidR="0089701C" w:rsidRPr="0022267C">
        <w:rPr>
          <w:rFonts w:ascii="Verdana" w:hAnsi="Verdana"/>
          <w:i/>
          <w:sz w:val="20"/>
        </w:rPr>
        <w:t>The fair value of debt obligations of the target company assumed by the acquirer company</w:t>
      </w:r>
      <w:r w:rsidR="00410227" w:rsidRPr="0022267C">
        <w:rPr>
          <w:rFonts w:ascii="Verdana" w:hAnsi="Verdana"/>
          <w:i/>
          <w:sz w:val="20"/>
        </w:rPr>
        <w:t>—</w:t>
      </w:r>
      <w:r w:rsidR="0089701C" w:rsidRPr="0022267C">
        <w:rPr>
          <w:rFonts w:ascii="Verdana" w:hAnsi="Verdana"/>
          <w:i/>
          <w:sz w:val="20"/>
        </w:rPr>
        <w:t>if the debt obligations of the target company are not owed to the former shareholders of the target company</w:t>
      </w:r>
    </w:p>
    <w:p w14:paraId="725A7CA0" w14:textId="6E4F47AD" w:rsidR="008A4D10" w:rsidRPr="00566C64" w:rsidRDefault="0089701C" w:rsidP="0022267C">
      <w:pPr>
        <w:ind w:firstLine="0"/>
        <w:jc w:val="left"/>
        <w:rPr>
          <w:rFonts w:ascii="Verdana" w:hAnsi="Verdana"/>
          <w:sz w:val="20"/>
        </w:rPr>
      </w:pPr>
      <w:r w:rsidRPr="0022267C">
        <w:rPr>
          <w:rFonts w:ascii="Verdana" w:hAnsi="Verdana"/>
          <w:i/>
          <w:sz w:val="20"/>
        </w:rPr>
        <w:t>Explanation</w:t>
      </w:r>
      <w:r w:rsidRPr="00DC216C">
        <w:rPr>
          <w:rFonts w:ascii="Verdana" w:hAnsi="Verdana"/>
          <w:sz w:val="20"/>
        </w:rPr>
        <w:t>:</w:t>
      </w:r>
      <w:r w:rsidR="0072710E" w:rsidRPr="00566C64">
        <w:rPr>
          <w:rFonts w:ascii="Verdana" w:hAnsi="Verdana"/>
          <w:sz w:val="20"/>
        </w:rPr>
        <w:t xml:space="preserve"> </w:t>
      </w:r>
      <w:r w:rsidRPr="00566C64">
        <w:rPr>
          <w:rFonts w:ascii="Verdana" w:hAnsi="Verdana"/>
          <w:sz w:val="20"/>
        </w:rPr>
        <w:t xml:space="preserve">The debt obligations of the target company, which are not owed to </w:t>
      </w:r>
      <w:r w:rsidRPr="00566C64">
        <w:rPr>
          <w:rFonts w:ascii="Verdana" w:hAnsi="Verdana"/>
          <w:sz w:val="20"/>
        </w:rPr>
        <w:lastRenderedPageBreak/>
        <w:t xml:space="preserve">its former shareholders, and </w:t>
      </w:r>
      <w:r w:rsidR="00344D1E" w:rsidRPr="00566C64">
        <w:rPr>
          <w:rFonts w:ascii="Verdana" w:hAnsi="Verdana"/>
          <w:sz w:val="20"/>
        </w:rPr>
        <w:t xml:space="preserve">is </w:t>
      </w:r>
      <w:r w:rsidRPr="00566C64">
        <w:rPr>
          <w:rFonts w:ascii="Verdana" w:hAnsi="Verdana"/>
          <w:sz w:val="20"/>
        </w:rPr>
        <w:t>assumed by the acquirer company, does not form part of the consideration paid by the acquirer for its investment in the target company.</w:t>
      </w:r>
      <w:r w:rsidR="0072710E" w:rsidRPr="00566C64">
        <w:rPr>
          <w:rFonts w:ascii="Verdana" w:hAnsi="Verdana"/>
          <w:sz w:val="20"/>
        </w:rPr>
        <w:t xml:space="preserve"> </w:t>
      </w:r>
      <w:r w:rsidRPr="00566C64">
        <w:rPr>
          <w:rFonts w:ascii="Verdana" w:hAnsi="Verdana"/>
          <w:sz w:val="20"/>
        </w:rPr>
        <w:t xml:space="preserve">The assumption by the acquirer of debt obligations of the target company owed to </w:t>
      </w:r>
      <w:r w:rsidR="008A4D10" w:rsidRPr="00566C64">
        <w:rPr>
          <w:rFonts w:ascii="Verdana" w:hAnsi="Verdana"/>
          <w:sz w:val="20"/>
        </w:rPr>
        <w:t>other entities does not involve the former shareholders of the target company, and therefore is not part of the contract to purchase shares in the target company b</w:t>
      </w:r>
      <w:r w:rsidR="00ED7B5B" w:rsidRPr="00566C64">
        <w:rPr>
          <w:rFonts w:ascii="Verdana" w:hAnsi="Verdana"/>
          <w:sz w:val="20"/>
        </w:rPr>
        <w:t xml:space="preserve">etween </w:t>
      </w:r>
      <w:r w:rsidR="008A4D10" w:rsidRPr="00566C64">
        <w:rPr>
          <w:rFonts w:ascii="Verdana" w:hAnsi="Verdana"/>
          <w:sz w:val="20"/>
        </w:rPr>
        <w:t xml:space="preserve">the acquirer </w:t>
      </w:r>
      <w:r w:rsidR="00ED7B5B" w:rsidRPr="00566C64">
        <w:rPr>
          <w:rFonts w:ascii="Verdana" w:hAnsi="Verdana"/>
          <w:sz w:val="20"/>
        </w:rPr>
        <w:t>and</w:t>
      </w:r>
      <w:r w:rsidR="008A4D10" w:rsidRPr="00566C64">
        <w:rPr>
          <w:rFonts w:ascii="Verdana" w:hAnsi="Verdana"/>
          <w:sz w:val="20"/>
        </w:rPr>
        <w:t xml:space="preserve"> the former shareholders of the target company.</w:t>
      </w:r>
      <w:r w:rsidR="0072710E" w:rsidRPr="00566C64">
        <w:rPr>
          <w:rFonts w:ascii="Verdana" w:hAnsi="Verdana"/>
          <w:sz w:val="20"/>
        </w:rPr>
        <w:t xml:space="preserve"> </w:t>
      </w:r>
      <w:r w:rsidR="00ED7B5B" w:rsidRPr="00566C64">
        <w:rPr>
          <w:rFonts w:ascii="Verdana" w:hAnsi="Verdana"/>
          <w:sz w:val="20"/>
        </w:rPr>
        <w:t>The assumption by the acquirer of debt obligations of the target company owed to other entities is a transaction between the acquirer and the target company</w:t>
      </w:r>
      <w:r w:rsidR="000A70FA">
        <w:rPr>
          <w:rFonts w:ascii="Verdana" w:hAnsi="Verdana"/>
          <w:sz w:val="20"/>
        </w:rPr>
        <w:t>.</w:t>
      </w:r>
    </w:p>
    <w:p w14:paraId="231D3644" w14:textId="77777777" w:rsidR="00ED6B36" w:rsidRDefault="00ED6B36" w:rsidP="0022267C">
      <w:pPr>
        <w:ind w:firstLine="0"/>
        <w:jc w:val="left"/>
        <w:rPr>
          <w:rFonts w:ascii="Verdana" w:hAnsi="Verdana"/>
          <w:b/>
          <w:sz w:val="20"/>
        </w:rPr>
      </w:pPr>
    </w:p>
    <w:p w14:paraId="43DEC8EC" w14:textId="4BD1D735" w:rsidR="004A05A8" w:rsidRPr="0022267C" w:rsidRDefault="006A7D68" w:rsidP="0022267C">
      <w:pPr>
        <w:ind w:firstLine="0"/>
        <w:jc w:val="left"/>
        <w:rPr>
          <w:rFonts w:ascii="Verdana" w:hAnsi="Verdana"/>
          <w:i/>
          <w:sz w:val="20"/>
        </w:rPr>
      </w:pPr>
      <w:r w:rsidRPr="0022267C">
        <w:rPr>
          <w:rFonts w:ascii="Verdana" w:hAnsi="Verdana"/>
          <w:i/>
          <w:sz w:val="20"/>
        </w:rPr>
        <w:t xml:space="preserve">Item 4: </w:t>
      </w:r>
      <w:r w:rsidR="00EA5D88" w:rsidRPr="0022267C">
        <w:rPr>
          <w:rFonts w:ascii="Verdana" w:hAnsi="Verdana"/>
          <w:i/>
          <w:sz w:val="20"/>
        </w:rPr>
        <w:t>Stamp duty payable on acquisition of target company shares</w:t>
      </w:r>
    </w:p>
    <w:p w14:paraId="0C2239F6" w14:textId="62852C2D" w:rsidR="008A4D10" w:rsidRPr="00566C64" w:rsidRDefault="00EA5D88" w:rsidP="0022267C">
      <w:pPr>
        <w:ind w:firstLine="0"/>
        <w:jc w:val="left"/>
        <w:rPr>
          <w:rFonts w:ascii="Verdana" w:hAnsi="Verdana"/>
          <w:sz w:val="20"/>
        </w:rPr>
      </w:pPr>
      <w:r w:rsidRPr="0022267C">
        <w:rPr>
          <w:rFonts w:ascii="Verdana" w:hAnsi="Verdana"/>
          <w:i/>
          <w:sz w:val="20"/>
        </w:rPr>
        <w:t>Explanation</w:t>
      </w:r>
      <w:r w:rsidRPr="00DC216C">
        <w:rPr>
          <w:rFonts w:ascii="Verdana" w:hAnsi="Verdana"/>
          <w:sz w:val="20"/>
        </w:rPr>
        <w:t>:</w:t>
      </w:r>
      <w:r w:rsidR="0072710E" w:rsidRPr="00566C64">
        <w:rPr>
          <w:rFonts w:ascii="Verdana" w:hAnsi="Verdana"/>
          <w:sz w:val="20"/>
        </w:rPr>
        <w:t xml:space="preserve"> </w:t>
      </w:r>
      <w:r w:rsidRPr="00566C64">
        <w:rPr>
          <w:rFonts w:ascii="Verdana" w:hAnsi="Verdana"/>
          <w:sz w:val="20"/>
        </w:rPr>
        <w:t>The stamp duty payable on acquisition of target company shares does not form part of the consideration paid by the acquirer for its investment in the target company.</w:t>
      </w:r>
      <w:r w:rsidR="0072710E" w:rsidRPr="00566C64">
        <w:rPr>
          <w:rFonts w:ascii="Verdana" w:hAnsi="Verdana"/>
          <w:sz w:val="20"/>
        </w:rPr>
        <w:t xml:space="preserve"> </w:t>
      </w:r>
      <w:r w:rsidRPr="00566C64">
        <w:rPr>
          <w:rFonts w:ascii="Verdana" w:hAnsi="Verdana"/>
          <w:sz w:val="20"/>
        </w:rPr>
        <w:t>The stamp duty payable is an acquisition</w:t>
      </w:r>
      <w:r w:rsidR="000A70FA">
        <w:rPr>
          <w:rFonts w:ascii="Verdana" w:hAnsi="Verdana"/>
          <w:sz w:val="20"/>
        </w:rPr>
        <w:t>-</w:t>
      </w:r>
      <w:r w:rsidRPr="00566C64">
        <w:rPr>
          <w:rFonts w:ascii="Verdana" w:hAnsi="Verdana"/>
          <w:sz w:val="20"/>
        </w:rPr>
        <w:t>related cost</w:t>
      </w:r>
      <w:r w:rsidR="00B767B7" w:rsidRPr="00566C64">
        <w:rPr>
          <w:rFonts w:ascii="Verdana" w:hAnsi="Verdana"/>
          <w:sz w:val="20"/>
        </w:rPr>
        <w:t>, which AASB</w:t>
      </w:r>
      <w:r w:rsidR="000A70FA">
        <w:rPr>
          <w:rFonts w:ascii="Verdana" w:hAnsi="Verdana"/>
          <w:sz w:val="20"/>
        </w:rPr>
        <w:t xml:space="preserve"> </w:t>
      </w:r>
      <w:r w:rsidR="00B767B7" w:rsidRPr="00566C64">
        <w:rPr>
          <w:rFonts w:ascii="Verdana" w:hAnsi="Verdana"/>
          <w:sz w:val="20"/>
        </w:rPr>
        <w:t>3.53 requires to be expensed in the period incurred</w:t>
      </w:r>
      <w:r w:rsidR="000A70FA">
        <w:rPr>
          <w:rFonts w:ascii="Verdana" w:hAnsi="Verdana"/>
          <w:sz w:val="20"/>
        </w:rPr>
        <w:t>.</w:t>
      </w:r>
    </w:p>
    <w:p w14:paraId="4A5F52F4" w14:textId="77777777" w:rsidR="00ED6B36" w:rsidRDefault="00ED6B36" w:rsidP="0022267C">
      <w:pPr>
        <w:ind w:firstLine="0"/>
        <w:jc w:val="left"/>
        <w:rPr>
          <w:rFonts w:ascii="Verdana" w:hAnsi="Verdana"/>
          <w:b/>
          <w:sz w:val="20"/>
        </w:rPr>
      </w:pPr>
    </w:p>
    <w:p w14:paraId="559CF2F3" w14:textId="400C18D6" w:rsidR="004A05A8" w:rsidRPr="0022267C" w:rsidRDefault="006A7D68" w:rsidP="0022267C">
      <w:pPr>
        <w:ind w:firstLine="0"/>
        <w:jc w:val="left"/>
        <w:rPr>
          <w:rFonts w:ascii="Verdana" w:hAnsi="Verdana"/>
          <w:i/>
          <w:sz w:val="20"/>
        </w:rPr>
      </w:pPr>
      <w:r w:rsidRPr="0022267C">
        <w:rPr>
          <w:rFonts w:ascii="Verdana" w:hAnsi="Verdana"/>
          <w:i/>
          <w:sz w:val="20"/>
        </w:rPr>
        <w:t xml:space="preserve">Item 5: </w:t>
      </w:r>
      <w:r w:rsidR="00B767B7" w:rsidRPr="0022267C">
        <w:rPr>
          <w:rFonts w:ascii="Verdana" w:hAnsi="Verdana"/>
          <w:i/>
          <w:sz w:val="20"/>
        </w:rPr>
        <w:t>Accounting fees for a due diligence report on the target company</w:t>
      </w:r>
    </w:p>
    <w:p w14:paraId="2876ED2B" w14:textId="25ACB9A9" w:rsidR="00C65DF8" w:rsidRPr="00566C64" w:rsidRDefault="00B767B7" w:rsidP="0022267C">
      <w:pPr>
        <w:ind w:firstLine="0"/>
        <w:jc w:val="left"/>
        <w:rPr>
          <w:rFonts w:ascii="Verdana" w:hAnsi="Verdana"/>
          <w:sz w:val="20"/>
        </w:rPr>
      </w:pPr>
      <w:r w:rsidRPr="0022267C">
        <w:rPr>
          <w:rFonts w:ascii="Verdana" w:hAnsi="Verdana"/>
          <w:i/>
          <w:sz w:val="20"/>
        </w:rPr>
        <w:t>Explanation</w:t>
      </w:r>
      <w:r w:rsidRPr="00DC216C">
        <w:rPr>
          <w:rFonts w:ascii="Verdana" w:hAnsi="Verdana"/>
          <w:sz w:val="20"/>
        </w:rPr>
        <w:t>:</w:t>
      </w:r>
      <w:r w:rsidR="0072710E" w:rsidRPr="00566C64">
        <w:rPr>
          <w:rFonts w:ascii="Verdana" w:hAnsi="Verdana"/>
          <w:sz w:val="20"/>
        </w:rPr>
        <w:t xml:space="preserve"> </w:t>
      </w:r>
      <w:r w:rsidRPr="00566C64">
        <w:rPr>
          <w:rFonts w:ascii="Verdana" w:hAnsi="Verdana"/>
          <w:sz w:val="20"/>
        </w:rPr>
        <w:t>The accounting fees for a due diligence report on the target company do not form part of the consideration paid by the acquirer for its investment in the target company.</w:t>
      </w:r>
      <w:r w:rsidR="0072710E" w:rsidRPr="00566C64">
        <w:rPr>
          <w:rFonts w:ascii="Verdana" w:hAnsi="Verdana"/>
          <w:sz w:val="20"/>
        </w:rPr>
        <w:t xml:space="preserve"> </w:t>
      </w:r>
      <w:r w:rsidRPr="00566C64">
        <w:rPr>
          <w:rFonts w:ascii="Verdana" w:hAnsi="Verdana"/>
          <w:sz w:val="20"/>
        </w:rPr>
        <w:t xml:space="preserve">The accounting fees </w:t>
      </w:r>
      <w:r w:rsidR="003432B4">
        <w:rPr>
          <w:rFonts w:ascii="Verdana" w:hAnsi="Verdana"/>
          <w:sz w:val="20"/>
        </w:rPr>
        <w:t>are</w:t>
      </w:r>
      <w:r w:rsidR="003432B4" w:rsidRPr="00566C64">
        <w:rPr>
          <w:rFonts w:ascii="Verdana" w:hAnsi="Verdana"/>
          <w:sz w:val="20"/>
        </w:rPr>
        <w:t xml:space="preserve"> </w:t>
      </w:r>
      <w:r w:rsidRPr="00566C64">
        <w:rPr>
          <w:rFonts w:ascii="Verdana" w:hAnsi="Verdana"/>
          <w:sz w:val="20"/>
        </w:rPr>
        <w:t>acquisition</w:t>
      </w:r>
      <w:r w:rsidR="003432B4">
        <w:rPr>
          <w:rFonts w:ascii="Verdana" w:hAnsi="Verdana"/>
          <w:sz w:val="20"/>
        </w:rPr>
        <w:t>-</w:t>
      </w:r>
      <w:r w:rsidRPr="00566C64">
        <w:rPr>
          <w:rFonts w:ascii="Verdana" w:hAnsi="Verdana"/>
          <w:sz w:val="20"/>
        </w:rPr>
        <w:t>related cost</w:t>
      </w:r>
      <w:r w:rsidR="003432B4">
        <w:rPr>
          <w:rFonts w:ascii="Verdana" w:hAnsi="Verdana"/>
          <w:sz w:val="20"/>
        </w:rPr>
        <w:t>s</w:t>
      </w:r>
      <w:r w:rsidRPr="00566C64">
        <w:rPr>
          <w:rFonts w:ascii="Verdana" w:hAnsi="Verdana"/>
          <w:sz w:val="20"/>
        </w:rPr>
        <w:t>, which AASB</w:t>
      </w:r>
      <w:r w:rsidR="003432B4">
        <w:rPr>
          <w:rFonts w:ascii="Verdana" w:hAnsi="Verdana"/>
          <w:sz w:val="20"/>
        </w:rPr>
        <w:t xml:space="preserve"> </w:t>
      </w:r>
      <w:r w:rsidRPr="00566C64">
        <w:rPr>
          <w:rFonts w:ascii="Verdana" w:hAnsi="Verdana"/>
          <w:sz w:val="20"/>
        </w:rPr>
        <w:t>3.53 requires to be expensed in the period incurred</w:t>
      </w:r>
      <w:r w:rsidR="000A70FA">
        <w:rPr>
          <w:rFonts w:ascii="Verdana" w:hAnsi="Verdana"/>
          <w:sz w:val="20"/>
        </w:rPr>
        <w:t>.</w:t>
      </w:r>
    </w:p>
    <w:p w14:paraId="4C19CD26" w14:textId="77777777" w:rsidR="001916BE" w:rsidRDefault="001916BE" w:rsidP="0022267C">
      <w:pPr>
        <w:ind w:firstLine="0"/>
        <w:jc w:val="left"/>
        <w:rPr>
          <w:rFonts w:ascii="Verdana" w:hAnsi="Verdana"/>
          <w:i/>
          <w:sz w:val="20"/>
        </w:rPr>
      </w:pPr>
    </w:p>
    <w:p w14:paraId="5FEF6FB6" w14:textId="543D3B53" w:rsidR="004A05A8" w:rsidRPr="0022267C" w:rsidRDefault="006A7D68" w:rsidP="0022267C">
      <w:pPr>
        <w:ind w:firstLine="0"/>
        <w:jc w:val="left"/>
        <w:rPr>
          <w:rFonts w:ascii="Verdana" w:hAnsi="Verdana"/>
          <w:i/>
          <w:sz w:val="20"/>
        </w:rPr>
      </w:pPr>
      <w:r w:rsidRPr="0022267C">
        <w:rPr>
          <w:rFonts w:ascii="Verdana" w:hAnsi="Verdana"/>
          <w:i/>
          <w:sz w:val="20"/>
        </w:rPr>
        <w:t xml:space="preserve">Item 6: </w:t>
      </w:r>
      <w:r w:rsidR="00B767B7" w:rsidRPr="0022267C">
        <w:rPr>
          <w:rFonts w:ascii="Verdana" w:hAnsi="Verdana"/>
          <w:i/>
          <w:sz w:val="20"/>
        </w:rPr>
        <w:t>Costs incurred by a department in the parent entity formed to facilitate the acquisition of the target company</w:t>
      </w:r>
    </w:p>
    <w:p w14:paraId="337C35F6" w14:textId="47E9FCF2" w:rsidR="00B767B7" w:rsidRPr="00566C64" w:rsidRDefault="00B767B7" w:rsidP="0022267C">
      <w:pPr>
        <w:ind w:firstLine="0"/>
        <w:jc w:val="left"/>
        <w:rPr>
          <w:rFonts w:ascii="Verdana" w:hAnsi="Verdana"/>
          <w:sz w:val="20"/>
        </w:rPr>
      </w:pPr>
      <w:r w:rsidRPr="0022267C">
        <w:rPr>
          <w:rFonts w:ascii="Verdana" w:hAnsi="Verdana"/>
          <w:i/>
          <w:sz w:val="20"/>
        </w:rPr>
        <w:t>Explanation</w:t>
      </w:r>
      <w:r w:rsidRPr="00DC216C">
        <w:rPr>
          <w:rFonts w:ascii="Verdana" w:hAnsi="Verdana"/>
          <w:sz w:val="20"/>
        </w:rPr>
        <w:t>:</w:t>
      </w:r>
      <w:r w:rsidR="0072710E" w:rsidRPr="0022267C">
        <w:rPr>
          <w:rFonts w:ascii="Verdana" w:hAnsi="Verdana"/>
          <w:i/>
          <w:sz w:val="20"/>
        </w:rPr>
        <w:t xml:space="preserve"> </w:t>
      </w:r>
      <w:r w:rsidRPr="00566C64">
        <w:rPr>
          <w:rFonts w:ascii="Verdana" w:hAnsi="Verdana"/>
          <w:sz w:val="20"/>
        </w:rPr>
        <w:t>The costs incurred by a department in the parent entity, formed to facilitate the acquisition of the target company, do not form part of the consideration paid by the acquirer for its investment in the target company.</w:t>
      </w:r>
      <w:r w:rsidR="0072710E" w:rsidRPr="00566C64">
        <w:rPr>
          <w:rFonts w:ascii="Verdana" w:hAnsi="Verdana"/>
          <w:sz w:val="20"/>
        </w:rPr>
        <w:t xml:space="preserve"> </w:t>
      </w:r>
      <w:r w:rsidRPr="00566C64">
        <w:rPr>
          <w:rFonts w:ascii="Verdana" w:hAnsi="Verdana"/>
          <w:sz w:val="20"/>
        </w:rPr>
        <w:t xml:space="preserve">The costs incurred by the department </w:t>
      </w:r>
      <w:r w:rsidR="00104E75" w:rsidRPr="00566C64">
        <w:rPr>
          <w:rFonts w:ascii="Verdana" w:hAnsi="Verdana"/>
          <w:sz w:val="20"/>
        </w:rPr>
        <w:t>are</w:t>
      </w:r>
      <w:r w:rsidRPr="00566C64">
        <w:rPr>
          <w:rFonts w:ascii="Verdana" w:hAnsi="Verdana"/>
          <w:sz w:val="20"/>
        </w:rPr>
        <w:t xml:space="preserve"> an acquisition</w:t>
      </w:r>
      <w:r w:rsidR="003432B4">
        <w:rPr>
          <w:rFonts w:ascii="Verdana" w:hAnsi="Verdana"/>
          <w:sz w:val="20"/>
        </w:rPr>
        <w:t>-</w:t>
      </w:r>
      <w:r w:rsidRPr="00566C64">
        <w:rPr>
          <w:rFonts w:ascii="Verdana" w:hAnsi="Verdana"/>
          <w:sz w:val="20"/>
        </w:rPr>
        <w:t>related cost, which AASB</w:t>
      </w:r>
      <w:r w:rsidR="003432B4">
        <w:rPr>
          <w:rFonts w:ascii="Verdana" w:hAnsi="Verdana"/>
          <w:sz w:val="20"/>
        </w:rPr>
        <w:t xml:space="preserve"> </w:t>
      </w:r>
      <w:r w:rsidRPr="00566C64">
        <w:rPr>
          <w:rFonts w:ascii="Verdana" w:hAnsi="Verdana"/>
          <w:sz w:val="20"/>
        </w:rPr>
        <w:t>3.53 requires to be expensed in the period incurred</w:t>
      </w:r>
      <w:r w:rsidR="003432B4">
        <w:rPr>
          <w:rFonts w:ascii="Verdana" w:hAnsi="Verdana"/>
          <w:sz w:val="20"/>
        </w:rPr>
        <w:t>.</w:t>
      </w:r>
    </w:p>
    <w:p w14:paraId="62EAA81A" w14:textId="77777777" w:rsidR="00ED6B36" w:rsidRDefault="00ED6B36" w:rsidP="0022267C">
      <w:pPr>
        <w:ind w:firstLine="0"/>
        <w:jc w:val="left"/>
        <w:rPr>
          <w:rFonts w:ascii="Verdana" w:hAnsi="Verdana"/>
          <w:b/>
          <w:sz w:val="20"/>
        </w:rPr>
      </w:pPr>
    </w:p>
    <w:p w14:paraId="4CB79428" w14:textId="50AA861B" w:rsidR="004A05A8" w:rsidRPr="0022267C" w:rsidRDefault="006A7D68" w:rsidP="0022267C">
      <w:pPr>
        <w:ind w:firstLine="0"/>
        <w:jc w:val="left"/>
        <w:rPr>
          <w:rFonts w:ascii="Verdana" w:hAnsi="Verdana"/>
          <w:i/>
          <w:sz w:val="20"/>
        </w:rPr>
      </w:pPr>
      <w:r w:rsidRPr="0022267C">
        <w:rPr>
          <w:rFonts w:ascii="Verdana" w:hAnsi="Verdana"/>
          <w:i/>
          <w:sz w:val="20"/>
        </w:rPr>
        <w:t xml:space="preserve">Item 7: </w:t>
      </w:r>
      <w:r w:rsidR="00104E75" w:rsidRPr="0022267C">
        <w:rPr>
          <w:rFonts w:ascii="Verdana" w:hAnsi="Verdana"/>
          <w:i/>
          <w:sz w:val="20"/>
        </w:rPr>
        <w:t xml:space="preserve">Borrowing costs </w:t>
      </w:r>
      <w:r w:rsidR="009419EF" w:rsidRPr="0022267C">
        <w:rPr>
          <w:rFonts w:ascii="Verdana" w:hAnsi="Verdana"/>
          <w:i/>
          <w:sz w:val="20"/>
        </w:rPr>
        <w:t xml:space="preserve">incurred </w:t>
      </w:r>
      <w:r w:rsidR="00104E75" w:rsidRPr="0022267C">
        <w:rPr>
          <w:rFonts w:ascii="Verdana" w:hAnsi="Verdana"/>
          <w:i/>
          <w:sz w:val="20"/>
        </w:rPr>
        <w:t>on debt used to finance the acquisition of the target company</w:t>
      </w:r>
    </w:p>
    <w:p w14:paraId="08F1CF8C" w14:textId="38E78BC8" w:rsidR="00104E75" w:rsidRPr="00566C64" w:rsidRDefault="00104E75" w:rsidP="0022267C">
      <w:pPr>
        <w:ind w:firstLine="0"/>
        <w:jc w:val="left"/>
        <w:rPr>
          <w:rFonts w:ascii="Verdana" w:hAnsi="Verdana"/>
          <w:sz w:val="20"/>
        </w:rPr>
      </w:pPr>
      <w:r w:rsidRPr="0022267C">
        <w:rPr>
          <w:rFonts w:ascii="Verdana" w:hAnsi="Verdana"/>
          <w:i/>
          <w:sz w:val="20"/>
        </w:rPr>
        <w:t>Explanation</w:t>
      </w:r>
      <w:r w:rsidRPr="00DC216C">
        <w:rPr>
          <w:rFonts w:ascii="Verdana" w:hAnsi="Verdana"/>
          <w:sz w:val="20"/>
        </w:rPr>
        <w:t>:</w:t>
      </w:r>
      <w:r w:rsidR="0072710E" w:rsidRPr="00566C64">
        <w:rPr>
          <w:rFonts w:ascii="Verdana" w:hAnsi="Verdana"/>
          <w:sz w:val="20"/>
        </w:rPr>
        <w:t xml:space="preserve"> </w:t>
      </w:r>
      <w:r w:rsidRPr="00566C64">
        <w:rPr>
          <w:rFonts w:ascii="Verdana" w:hAnsi="Verdana"/>
          <w:sz w:val="20"/>
        </w:rPr>
        <w:t xml:space="preserve">The borrowing costs </w:t>
      </w:r>
      <w:r w:rsidR="009419EF" w:rsidRPr="00566C64">
        <w:rPr>
          <w:rFonts w:ascii="Verdana" w:hAnsi="Verdana"/>
          <w:sz w:val="20"/>
        </w:rPr>
        <w:t xml:space="preserve">incurred </w:t>
      </w:r>
      <w:r w:rsidRPr="00566C64">
        <w:rPr>
          <w:rFonts w:ascii="Verdana" w:hAnsi="Verdana"/>
          <w:sz w:val="20"/>
        </w:rPr>
        <w:t>on debt used to finance the acquisition of the target company do not form part of the consideration paid by the acquirer for its investment in the target company.</w:t>
      </w:r>
      <w:r w:rsidR="0072710E" w:rsidRPr="00566C64">
        <w:rPr>
          <w:rFonts w:ascii="Verdana" w:hAnsi="Verdana"/>
          <w:sz w:val="20"/>
        </w:rPr>
        <w:t xml:space="preserve"> </w:t>
      </w:r>
      <w:r w:rsidRPr="00566C64">
        <w:rPr>
          <w:rFonts w:ascii="Verdana" w:hAnsi="Verdana"/>
          <w:sz w:val="20"/>
        </w:rPr>
        <w:t>The borrowing costs are a finance cost, which is required to be expensed in the period</w:t>
      </w:r>
      <w:r w:rsidR="009419EF" w:rsidRPr="00566C64">
        <w:rPr>
          <w:rFonts w:ascii="Verdana" w:hAnsi="Verdana"/>
          <w:sz w:val="20"/>
        </w:rPr>
        <w:t xml:space="preserve"> it is</w:t>
      </w:r>
      <w:r w:rsidRPr="00566C64">
        <w:rPr>
          <w:rFonts w:ascii="Verdana" w:hAnsi="Verdana"/>
          <w:sz w:val="20"/>
        </w:rPr>
        <w:t xml:space="preserve"> incurred</w:t>
      </w:r>
      <w:r w:rsidR="003432B4">
        <w:rPr>
          <w:rFonts w:ascii="Verdana" w:hAnsi="Verdana"/>
          <w:sz w:val="20"/>
        </w:rPr>
        <w:t>.</w:t>
      </w:r>
    </w:p>
    <w:p w14:paraId="31A6D553" w14:textId="77777777" w:rsidR="00ED6B36" w:rsidRDefault="00ED6B36" w:rsidP="0022267C">
      <w:pPr>
        <w:ind w:firstLine="0"/>
        <w:jc w:val="left"/>
        <w:rPr>
          <w:rFonts w:ascii="Verdana" w:hAnsi="Verdana"/>
          <w:b/>
          <w:sz w:val="20"/>
        </w:rPr>
      </w:pPr>
    </w:p>
    <w:p w14:paraId="76236904" w14:textId="7D91E88C" w:rsidR="004A05A8" w:rsidRPr="0022267C" w:rsidRDefault="006A7D68" w:rsidP="0022267C">
      <w:pPr>
        <w:ind w:firstLine="0"/>
        <w:jc w:val="left"/>
        <w:rPr>
          <w:rFonts w:ascii="Verdana" w:hAnsi="Verdana"/>
          <w:i/>
          <w:sz w:val="20"/>
        </w:rPr>
      </w:pPr>
      <w:r w:rsidRPr="0022267C">
        <w:rPr>
          <w:rFonts w:ascii="Verdana" w:hAnsi="Verdana"/>
          <w:i/>
          <w:sz w:val="20"/>
        </w:rPr>
        <w:t xml:space="preserve">Item 8: </w:t>
      </w:r>
      <w:r w:rsidR="00514AB9" w:rsidRPr="0022267C">
        <w:rPr>
          <w:rFonts w:ascii="Verdana" w:hAnsi="Verdana"/>
          <w:i/>
          <w:sz w:val="20"/>
        </w:rPr>
        <w:t>Allocation of director</w:t>
      </w:r>
      <w:r w:rsidR="00865920" w:rsidRPr="0022267C">
        <w:rPr>
          <w:rFonts w:ascii="Verdana" w:hAnsi="Verdana"/>
          <w:i/>
          <w:sz w:val="20"/>
        </w:rPr>
        <w:t>s</w:t>
      </w:r>
      <w:r w:rsidR="00514AB9" w:rsidRPr="0022267C">
        <w:rPr>
          <w:rFonts w:ascii="Verdana" w:hAnsi="Verdana"/>
          <w:i/>
          <w:sz w:val="20"/>
        </w:rPr>
        <w:t>’</w:t>
      </w:r>
      <w:r w:rsidR="00865920" w:rsidRPr="0022267C">
        <w:rPr>
          <w:rFonts w:ascii="Verdana" w:hAnsi="Verdana"/>
          <w:i/>
          <w:sz w:val="20"/>
        </w:rPr>
        <w:t xml:space="preserve"> fees for time spent on the acquisition of the target company</w:t>
      </w:r>
    </w:p>
    <w:p w14:paraId="75EC0E7A" w14:textId="642842FA" w:rsidR="00865920" w:rsidRPr="00566C64" w:rsidRDefault="00865920" w:rsidP="0022267C">
      <w:pPr>
        <w:ind w:firstLine="0"/>
        <w:jc w:val="left"/>
        <w:rPr>
          <w:rFonts w:ascii="Verdana" w:hAnsi="Verdana"/>
          <w:sz w:val="20"/>
        </w:rPr>
      </w:pPr>
      <w:r w:rsidRPr="0022267C">
        <w:rPr>
          <w:rFonts w:ascii="Verdana" w:hAnsi="Verdana"/>
          <w:i/>
          <w:sz w:val="20"/>
        </w:rPr>
        <w:t>Explanation</w:t>
      </w:r>
      <w:r w:rsidRPr="00DC216C">
        <w:rPr>
          <w:rFonts w:ascii="Verdana" w:hAnsi="Verdana"/>
          <w:sz w:val="20"/>
        </w:rPr>
        <w:t>:</w:t>
      </w:r>
      <w:r w:rsidR="0072710E" w:rsidRPr="00566C64">
        <w:rPr>
          <w:rFonts w:ascii="Verdana" w:hAnsi="Verdana"/>
          <w:sz w:val="20"/>
        </w:rPr>
        <w:t xml:space="preserve"> </w:t>
      </w:r>
      <w:r w:rsidR="00514AB9" w:rsidRPr="00566C64">
        <w:rPr>
          <w:rFonts w:ascii="Verdana" w:hAnsi="Verdana"/>
          <w:sz w:val="20"/>
        </w:rPr>
        <w:t>The portion of directors’</w:t>
      </w:r>
      <w:r w:rsidRPr="00566C64">
        <w:rPr>
          <w:rFonts w:ascii="Verdana" w:hAnsi="Verdana"/>
          <w:sz w:val="20"/>
        </w:rPr>
        <w:t xml:space="preserve"> fees attributable to the time spent by directors on the acquisition of the target company does not form part of the consideration paid by the acquirer for its investment in the target company.</w:t>
      </w:r>
      <w:r w:rsidR="0072710E" w:rsidRPr="00566C64">
        <w:rPr>
          <w:rFonts w:ascii="Verdana" w:hAnsi="Verdana"/>
          <w:sz w:val="20"/>
        </w:rPr>
        <w:t xml:space="preserve"> </w:t>
      </w:r>
      <w:r w:rsidRPr="00566C64">
        <w:rPr>
          <w:rFonts w:ascii="Verdana" w:hAnsi="Verdana"/>
          <w:sz w:val="20"/>
        </w:rPr>
        <w:t xml:space="preserve">If additional </w:t>
      </w:r>
      <w:r w:rsidR="00514AB9" w:rsidRPr="00566C64">
        <w:rPr>
          <w:rFonts w:ascii="Verdana" w:hAnsi="Verdana"/>
          <w:sz w:val="20"/>
        </w:rPr>
        <w:t xml:space="preserve">directors’ fees </w:t>
      </w:r>
      <w:r w:rsidRPr="00566C64">
        <w:rPr>
          <w:rFonts w:ascii="Verdana" w:hAnsi="Verdana"/>
          <w:sz w:val="20"/>
        </w:rPr>
        <w:t>are incurred due to time spent on the acquisition of the target company</w:t>
      </w:r>
      <w:r w:rsidR="009419EF" w:rsidRPr="00566C64">
        <w:rPr>
          <w:rFonts w:ascii="Verdana" w:hAnsi="Verdana"/>
          <w:sz w:val="20"/>
        </w:rPr>
        <w:t xml:space="preserve">, the additional </w:t>
      </w:r>
      <w:r w:rsidR="00514AB9" w:rsidRPr="00566C64">
        <w:rPr>
          <w:rFonts w:ascii="Verdana" w:hAnsi="Verdana"/>
          <w:sz w:val="20"/>
        </w:rPr>
        <w:t xml:space="preserve">directors’ fees </w:t>
      </w:r>
      <w:r w:rsidR="009419EF" w:rsidRPr="00566C64">
        <w:rPr>
          <w:rFonts w:ascii="Verdana" w:hAnsi="Verdana"/>
          <w:sz w:val="20"/>
        </w:rPr>
        <w:t xml:space="preserve">are </w:t>
      </w:r>
      <w:r w:rsidRPr="00566C64">
        <w:rPr>
          <w:rFonts w:ascii="Verdana" w:hAnsi="Verdana"/>
          <w:sz w:val="20"/>
        </w:rPr>
        <w:t>an acquisition</w:t>
      </w:r>
      <w:r w:rsidR="003432B4">
        <w:rPr>
          <w:rFonts w:ascii="Verdana" w:hAnsi="Verdana"/>
          <w:sz w:val="20"/>
        </w:rPr>
        <w:t>-</w:t>
      </w:r>
      <w:r w:rsidRPr="00566C64">
        <w:rPr>
          <w:rFonts w:ascii="Verdana" w:hAnsi="Verdana"/>
          <w:sz w:val="20"/>
        </w:rPr>
        <w:t>related cost, which AASB</w:t>
      </w:r>
      <w:r w:rsidR="003432B4">
        <w:rPr>
          <w:rFonts w:ascii="Verdana" w:hAnsi="Verdana"/>
          <w:sz w:val="20"/>
        </w:rPr>
        <w:t xml:space="preserve"> </w:t>
      </w:r>
      <w:r w:rsidRPr="00566C64">
        <w:rPr>
          <w:rFonts w:ascii="Verdana" w:hAnsi="Verdana"/>
          <w:sz w:val="20"/>
        </w:rPr>
        <w:t>3.53 requires to be expensed in the period incurred</w:t>
      </w:r>
      <w:r w:rsidR="009419EF" w:rsidRPr="00566C64">
        <w:rPr>
          <w:rFonts w:ascii="Verdana" w:hAnsi="Verdana"/>
          <w:sz w:val="20"/>
        </w:rPr>
        <w:t>.</w:t>
      </w:r>
      <w:r w:rsidR="0072710E" w:rsidRPr="00566C64">
        <w:rPr>
          <w:rFonts w:ascii="Verdana" w:hAnsi="Verdana"/>
          <w:sz w:val="20"/>
        </w:rPr>
        <w:t xml:space="preserve"> </w:t>
      </w:r>
      <w:r w:rsidR="009419EF" w:rsidRPr="00566C64">
        <w:rPr>
          <w:rFonts w:ascii="Verdana" w:hAnsi="Verdana"/>
          <w:sz w:val="20"/>
        </w:rPr>
        <w:t>Alternatively, if no additional directors</w:t>
      </w:r>
      <w:r w:rsidR="001C64A3" w:rsidRPr="00566C64">
        <w:rPr>
          <w:rFonts w:ascii="Verdana" w:hAnsi="Verdana"/>
          <w:sz w:val="20"/>
        </w:rPr>
        <w:t>’</w:t>
      </w:r>
      <w:r w:rsidR="009419EF" w:rsidRPr="00566C64">
        <w:rPr>
          <w:rFonts w:ascii="Verdana" w:hAnsi="Verdana"/>
          <w:sz w:val="20"/>
        </w:rPr>
        <w:t xml:space="preserve"> fees are incurred due to the acquisition of the target company, the directors</w:t>
      </w:r>
      <w:r w:rsidR="00514AB9" w:rsidRPr="00566C64">
        <w:rPr>
          <w:rFonts w:ascii="Verdana" w:hAnsi="Verdana"/>
          <w:sz w:val="20"/>
        </w:rPr>
        <w:t>’</w:t>
      </w:r>
      <w:r w:rsidR="009419EF" w:rsidRPr="00566C64">
        <w:rPr>
          <w:rFonts w:ascii="Verdana" w:hAnsi="Verdana"/>
          <w:sz w:val="20"/>
        </w:rPr>
        <w:t xml:space="preserve"> fees are not an acquisition</w:t>
      </w:r>
      <w:r w:rsidR="003432B4">
        <w:rPr>
          <w:rFonts w:ascii="Verdana" w:hAnsi="Verdana"/>
          <w:sz w:val="20"/>
        </w:rPr>
        <w:t>-</w:t>
      </w:r>
      <w:r w:rsidR="009419EF" w:rsidRPr="00566C64">
        <w:rPr>
          <w:rFonts w:ascii="Verdana" w:hAnsi="Verdana"/>
          <w:sz w:val="20"/>
        </w:rPr>
        <w:t>related cost, but the directors</w:t>
      </w:r>
      <w:r w:rsidR="00514AB9" w:rsidRPr="00566C64">
        <w:rPr>
          <w:rFonts w:ascii="Verdana" w:hAnsi="Verdana"/>
          <w:sz w:val="20"/>
        </w:rPr>
        <w:t>’</w:t>
      </w:r>
      <w:r w:rsidR="009419EF" w:rsidRPr="00566C64">
        <w:rPr>
          <w:rFonts w:ascii="Verdana" w:hAnsi="Verdana"/>
          <w:sz w:val="20"/>
        </w:rPr>
        <w:t xml:space="preserve"> fees are still expensed in the period incurred</w:t>
      </w:r>
      <w:r w:rsidR="003432B4">
        <w:rPr>
          <w:rFonts w:ascii="Verdana" w:hAnsi="Verdana"/>
          <w:sz w:val="20"/>
        </w:rPr>
        <w:t>.</w:t>
      </w:r>
    </w:p>
    <w:p w14:paraId="440F7F9F" w14:textId="77777777" w:rsidR="00ED6B36" w:rsidRDefault="00ED6B36" w:rsidP="0022267C">
      <w:pPr>
        <w:ind w:firstLine="0"/>
        <w:jc w:val="left"/>
        <w:rPr>
          <w:rFonts w:ascii="Verdana" w:hAnsi="Verdana"/>
          <w:b/>
          <w:sz w:val="20"/>
        </w:rPr>
      </w:pPr>
    </w:p>
    <w:p w14:paraId="2D399195" w14:textId="5CB0D03C" w:rsidR="004A05A8" w:rsidRPr="0022267C" w:rsidRDefault="006A7D68" w:rsidP="0022267C">
      <w:pPr>
        <w:ind w:firstLine="0"/>
        <w:jc w:val="left"/>
        <w:rPr>
          <w:rFonts w:ascii="Verdana" w:hAnsi="Verdana"/>
          <w:i/>
          <w:sz w:val="20"/>
        </w:rPr>
      </w:pPr>
      <w:r w:rsidRPr="0022267C">
        <w:rPr>
          <w:rFonts w:ascii="Verdana" w:hAnsi="Verdana"/>
          <w:i/>
          <w:sz w:val="20"/>
        </w:rPr>
        <w:t xml:space="preserve">Item 10: </w:t>
      </w:r>
      <w:r w:rsidR="009419EF" w:rsidRPr="0022267C">
        <w:rPr>
          <w:rFonts w:ascii="Verdana" w:hAnsi="Verdana"/>
          <w:i/>
          <w:sz w:val="20"/>
        </w:rPr>
        <w:t>Redun</w:t>
      </w:r>
      <w:r w:rsidR="00072865" w:rsidRPr="0022267C">
        <w:rPr>
          <w:rFonts w:ascii="Verdana" w:hAnsi="Verdana"/>
          <w:i/>
          <w:sz w:val="20"/>
        </w:rPr>
        <w:t>dan</w:t>
      </w:r>
      <w:r w:rsidR="009419EF" w:rsidRPr="0022267C">
        <w:rPr>
          <w:rFonts w:ascii="Verdana" w:hAnsi="Verdana"/>
          <w:i/>
          <w:sz w:val="20"/>
        </w:rPr>
        <w:t>cy costs payable to employees of the target company as part of a planned restructuring of the target company</w:t>
      </w:r>
    </w:p>
    <w:p w14:paraId="664BA9E9" w14:textId="063184DD" w:rsidR="00072865" w:rsidRPr="00566C64" w:rsidRDefault="009419EF" w:rsidP="0022267C">
      <w:pPr>
        <w:ind w:firstLine="0"/>
        <w:jc w:val="left"/>
        <w:rPr>
          <w:rFonts w:ascii="Verdana" w:hAnsi="Verdana"/>
          <w:sz w:val="20"/>
        </w:rPr>
      </w:pPr>
      <w:r w:rsidRPr="0022267C">
        <w:rPr>
          <w:rFonts w:ascii="Verdana" w:hAnsi="Verdana"/>
          <w:i/>
          <w:sz w:val="20"/>
        </w:rPr>
        <w:t>Explanation</w:t>
      </w:r>
      <w:r w:rsidRPr="00DC216C">
        <w:rPr>
          <w:rFonts w:ascii="Verdana" w:hAnsi="Verdana"/>
          <w:sz w:val="20"/>
        </w:rPr>
        <w:t>:</w:t>
      </w:r>
      <w:r w:rsidR="0072710E" w:rsidRPr="00566C64">
        <w:rPr>
          <w:rFonts w:ascii="Verdana" w:hAnsi="Verdana"/>
          <w:sz w:val="20"/>
        </w:rPr>
        <w:t xml:space="preserve"> </w:t>
      </w:r>
      <w:r w:rsidRPr="00566C64">
        <w:rPr>
          <w:rFonts w:ascii="Verdana" w:hAnsi="Verdana"/>
          <w:sz w:val="20"/>
        </w:rPr>
        <w:t xml:space="preserve">The </w:t>
      </w:r>
      <w:r w:rsidR="00072865" w:rsidRPr="00566C64">
        <w:rPr>
          <w:rFonts w:ascii="Verdana" w:hAnsi="Verdana"/>
          <w:sz w:val="20"/>
        </w:rPr>
        <w:t>redundancy</w:t>
      </w:r>
      <w:r w:rsidRPr="00566C64">
        <w:rPr>
          <w:rFonts w:ascii="Verdana" w:hAnsi="Verdana"/>
          <w:sz w:val="20"/>
        </w:rPr>
        <w:t xml:space="preserve"> costs </w:t>
      </w:r>
      <w:r w:rsidR="00072865" w:rsidRPr="00566C64">
        <w:rPr>
          <w:rFonts w:ascii="Verdana" w:hAnsi="Verdana"/>
          <w:sz w:val="20"/>
        </w:rPr>
        <w:t xml:space="preserve">payable to employees of the target company as part of a planned restructuring of the target company </w:t>
      </w:r>
      <w:r w:rsidRPr="00566C64">
        <w:rPr>
          <w:rFonts w:ascii="Verdana" w:hAnsi="Verdana"/>
          <w:sz w:val="20"/>
        </w:rPr>
        <w:t>do not form part of the consideration paid by the acquirer for its investment in the target company.</w:t>
      </w:r>
      <w:r w:rsidR="0072710E" w:rsidRPr="00566C64">
        <w:rPr>
          <w:rFonts w:ascii="Verdana" w:hAnsi="Verdana"/>
          <w:sz w:val="20"/>
        </w:rPr>
        <w:t xml:space="preserve"> </w:t>
      </w:r>
      <w:r w:rsidR="00202667" w:rsidRPr="00566C64">
        <w:rPr>
          <w:rFonts w:ascii="Verdana" w:hAnsi="Verdana"/>
          <w:sz w:val="20"/>
        </w:rPr>
        <w:t xml:space="preserve">The redundancy costs payable to employees, do not involve the former shareholders of the target company, and therefore is not part of the contract to purchase shares in the target company between the acquirer and the former shareholders </w:t>
      </w:r>
      <w:r w:rsidR="00202667" w:rsidRPr="00566C64">
        <w:rPr>
          <w:rFonts w:ascii="Verdana" w:hAnsi="Verdana"/>
          <w:sz w:val="20"/>
        </w:rPr>
        <w:lastRenderedPageBreak/>
        <w:t>of the target company.</w:t>
      </w:r>
    </w:p>
    <w:p w14:paraId="0AEFF72C" w14:textId="77777777" w:rsidR="00ED6B36" w:rsidRDefault="00ED6B36" w:rsidP="0022267C">
      <w:pPr>
        <w:ind w:firstLine="0"/>
        <w:jc w:val="left"/>
        <w:rPr>
          <w:rFonts w:ascii="Verdana" w:hAnsi="Verdana"/>
          <w:sz w:val="20"/>
        </w:rPr>
      </w:pPr>
    </w:p>
    <w:p w14:paraId="7FC242F5" w14:textId="219FCFB4" w:rsidR="00072865" w:rsidRPr="00566C64" w:rsidRDefault="00897D6C" w:rsidP="0022267C">
      <w:pPr>
        <w:ind w:firstLine="0"/>
        <w:jc w:val="left"/>
        <w:rPr>
          <w:rFonts w:ascii="Verdana" w:hAnsi="Verdana"/>
          <w:sz w:val="20"/>
        </w:rPr>
      </w:pPr>
      <w:r w:rsidRPr="00566C64">
        <w:rPr>
          <w:rFonts w:ascii="Verdana" w:hAnsi="Verdana"/>
          <w:sz w:val="20"/>
        </w:rPr>
        <w:t xml:space="preserve">The redundancy costs payable should not be recognised as part of </w:t>
      </w:r>
      <w:r w:rsidR="003432B4">
        <w:rPr>
          <w:rFonts w:ascii="Verdana" w:hAnsi="Verdana"/>
          <w:sz w:val="20"/>
        </w:rPr>
        <w:t xml:space="preserve">the </w:t>
      </w:r>
      <w:r w:rsidRPr="00566C64">
        <w:rPr>
          <w:rFonts w:ascii="Verdana" w:hAnsi="Verdana"/>
          <w:sz w:val="20"/>
        </w:rPr>
        <w:t>target company’s net identifiable assets purchased by the acquirer</w:t>
      </w:r>
      <w:r w:rsidR="00FC420C" w:rsidRPr="00566C64">
        <w:rPr>
          <w:rFonts w:ascii="Verdana" w:hAnsi="Verdana"/>
          <w:sz w:val="20"/>
        </w:rPr>
        <w:t xml:space="preserve"> at acquisition date</w:t>
      </w:r>
      <w:r w:rsidRPr="00566C64">
        <w:rPr>
          <w:rFonts w:ascii="Verdana" w:hAnsi="Verdana"/>
          <w:sz w:val="20"/>
        </w:rPr>
        <w:t xml:space="preserve">, because the redundancy costs </w:t>
      </w:r>
      <w:r w:rsidR="00FC420C" w:rsidRPr="00566C64">
        <w:rPr>
          <w:rFonts w:ascii="Verdana" w:hAnsi="Verdana"/>
          <w:sz w:val="20"/>
        </w:rPr>
        <w:t xml:space="preserve">the acquirer expects to incur, but is not obliged to incur, </w:t>
      </w:r>
      <w:r w:rsidRPr="00566C64">
        <w:rPr>
          <w:rFonts w:ascii="Verdana" w:hAnsi="Verdana"/>
          <w:sz w:val="20"/>
        </w:rPr>
        <w:t xml:space="preserve">are not </w:t>
      </w:r>
      <w:r w:rsidR="00FC420C" w:rsidRPr="00566C64">
        <w:rPr>
          <w:rFonts w:ascii="Verdana" w:hAnsi="Verdana"/>
          <w:sz w:val="20"/>
        </w:rPr>
        <w:t>liabilities at acquisition date</w:t>
      </w:r>
      <w:r w:rsidR="007E73E2" w:rsidRPr="00566C64">
        <w:rPr>
          <w:rFonts w:ascii="Verdana" w:hAnsi="Verdana"/>
          <w:sz w:val="20"/>
        </w:rPr>
        <w:t xml:space="preserve"> (AASB</w:t>
      </w:r>
      <w:r w:rsidR="003432B4">
        <w:rPr>
          <w:rFonts w:ascii="Verdana" w:hAnsi="Verdana"/>
          <w:sz w:val="20"/>
        </w:rPr>
        <w:t xml:space="preserve"> </w:t>
      </w:r>
      <w:r w:rsidR="007E73E2" w:rsidRPr="00566C64">
        <w:rPr>
          <w:rFonts w:ascii="Verdana" w:hAnsi="Verdana"/>
          <w:sz w:val="20"/>
        </w:rPr>
        <w:t>3.10 and 3.11)</w:t>
      </w:r>
      <w:r w:rsidRPr="00566C64">
        <w:rPr>
          <w:rFonts w:ascii="Verdana" w:hAnsi="Verdana"/>
          <w:sz w:val="20"/>
        </w:rPr>
        <w:t>.</w:t>
      </w:r>
      <w:r w:rsidR="0072710E" w:rsidRPr="00566C64">
        <w:rPr>
          <w:rFonts w:ascii="Verdana" w:hAnsi="Verdana"/>
          <w:sz w:val="20"/>
        </w:rPr>
        <w:t xml:space="preserve"> </w:t>
      </w:r>
      <w:r w:rsidR="00FC420C" w:rsidRPr="00566C64">
        <w:rPr>
          <w:rFonts w:ascii="Verdana" w:hAnsi="Verdana"/>
          <w:sz w:val="20"/>
        </w:rPr>
        <w:t xml:space="preserve">Subsequent to acquisition date, the acquirer must recognise a liability for redundancy costs payable in the consolidated financial statements, when the acquirer has detailed </w:t>
      </w:r>
      <w:r w:rsidR="003432B4">
        <w:rPr>
          <w:rFonts w:ascii="Verdana" w:hAnsi="Verdana"/>
          <w:sz w:val="20"/>
        </w:rPr>
        <w:t xml:space="preserve">a </w:t>
      </w:r>
      <w:r w:rsidR="00FC420C" w:rsidRPr="00566C64">
        <w:rPr>
          <w:rFonts w:ascii="Verdana" w:hAnsi="Verdana"/>
          <w:sz w:val="20"/>
        </w:rPr>
        <w:t>formal plan for restructuring</w:t>
      </w:r>
      <w:r w:rsidR="007E73E2" w:rsidRPr="00566C64">
        <w:rPr>
          <w:rFonts w:ascii="Verdana" w:hAnsi="Verdana"/>
          <w:sz w:val="20"/>
        </w:rPr>
        <w:t>, and the acquirer has raised a valid expectation that it will implement the restructuring plan by commencing to implement the restructuring plan, or announcing its main features to those affected by it (AASB</w:t>
      </w:r>
      <w:r w:rsidR="003432B4">
        <w:rPr>
          <w:rFonts w:ascii="Verdana" w:hAnsi="Verdana"/>
          <w:sz w:val="20"/>
        </w:rPr>
        <w:t xml:space="preserve"> </w:t>
      </w:r>
      <w:r w:rsidR="007E73E2" w:rsidRPr="00566C64">
        <w:rPr>
          <w:rFonts w:ascii="Verdana" w:hAnsi="Verdana"/>
          <w:sz w:val="20"/>
        </w:rPr>
        <w:t>137.72).</w:t>
      </w:r>
    </w:p>
    <w:p w14:paraId="5A8F9FBF" w14:textId="77777777" w:rsidR="00E1288B" w:rsidRPr="00566C64" w:rsidRDefault="00E1288B" w:rsidP="0022267C">
      <w:pPr>
        <w:ind w:firstLine="0"/>
        <w:jc w:val="left"/>
        <w:rPr>
          <w:rFonts w:ascii="Verdana" w:hAnsi="Verdana"/>
          <w:sz w:val="20"/>
          <w:highlight w:val="green"/>
        </w:rPr>
      </w:pPr>
    </w:p>
    <w:p w14:paraId="52F04E35" w14:textId="77777777" w:rsidR="00514AB9" w:rsidRPr="00566C64" w:rsidRDefault="00514AB9" w:rsidP="0022267C">
      <w:pPr>
        <w:ind w:firstLine="0"/>
        <w:jc w:val="left"/>
        <w:rPr>
          <w:rFonts w:ascii="Verdana" w:hAnsi="Verdana"/>
          <w:sz w:val="20"/>
          <w:highlight w:val="green"/>
        </w:rPr>
      </w:pPr>
    </w:p>
    <w:p w14:paraId="67F52FB4" w14:textId="39AA5B72" w:rsidR="00E22522" w:rsidRPr="006A7D68" w:rsidRDefault="00E22522" w:rsidP="0022267C">
      <w:pPr>
        <w:ind w:firstLine="0"/>
        <w:jc w:val="left"/>
        <w:rPr>
          <w:rFonts w:ascii="Verdana" w:hAnsi="Verdana"/>
          <w:b/>
          <w:i/>
          <w:sz w:val="20"/>
        </w:rPr>
      </w:pPr>
      <w:r w:rsidRPr="0022267C">
        <w:rPr>
          <w:rFonts w:ascii="Verdana" w:hAnsi="Verdana"/>
          <w:b/>
          <w:i/>
          <w:sz w:val="20"/>
        </w:rPr>
        <w:t>Q2.7</w:t>
      </w:r>
      <w:r w:rsidRPr="006A7D68">
        <w:rPr>
          <w:rFonts w:ascii="Verdana" w:hAnsi="Verdana"/>
          <w:b/>
          <w:i/>
          <w:sz w:val="20"/>
        </w:rPr>
        <w:t xml:space="preserve"> </w:t>
      </w:r>
      <w:r w:rsidR="00C646BB" w:rsidRPr="0022267C">
        <w:rPr>
          <w:rFonts w:ascii="Verdana" w:hAnsi="Verdana"/>
          <w:b/>
          <w:i/>
          <w:sz w:val="20"/>
        </w:rPr>
        <w:t>Goodwill</w:t>
      </w:r>
      <w:r w:rsidR="00740B15" w:rsidRPr="006A7D68">
        <w:rPr>
          <w:rFonts w:ascii="Verdana" w:hAnsi="Verdana"/>
          <w:b/>
          <w:i/>
          <w:sz w:val="20"/>
        </w:rPr>
        <w:t xml:space="preserve"> (Section 2.4)</w:t>
      </w:r>
    </w:p>
    <w:p w14:paraId="4433EE2C" w14:textId="77777777" w:rsidR="00E22522" w:rsidRPr="00566C64" w:rsidRDefault="00E22522" w:rsidP="0022267C">
      <w:pPr>
        <w:ind w:firstLine="0"/>
        <w:jc w:val="left"/>
        <w:rPr>
          <w:rFonts w:ascii="Verdana" w:hAnsi="Verdana"/>
          <w:sz w:val="20"/>
        </w:rPr>
      </w:pPr>
    </w:p>
    <w:p w14:paraId="1744E966" w14:textId="77777777" w:rsidR="00740B15" w:rsidRPr="00566C64" w:rsidRDefault="00740B15" w:rsidP="0022267C">
      <w:pPr>
        <w:ind w:firstLine="0"/>
        <w:jc w:val="left"/>
        <w:rPr>
          <w:rFonts w:ascii="Verdana" w:hAnsi="Verdana"/>
          <w:b/>
          <w:sz w:val="20"/>
        </w:rPr>
      </w:pPr>
      <w:r w:rsidRPr="00566C64">
        <w:rPr>
          <w:rFonts w:ascii="Verdana" w:hAnsi="Verdana"/>
          <w:b/>
          <w:sz w:val="20"/>
        </w:rPr>
        <w:t>Recognition and initial measurement of goodwill</w:t>
      </w:r>
    </w:p>
    <w:p w14:paraId="49BAB89C" w14:textId="77777777" w:rsidR="0030616D" w:rsidRPr="00566C64" w:rsidRDefault="00FC6996" w:rsidP="0022267C">
      <w:pPr>
        <w:ind w:firstLine="0"/>
        <w:jc w:val="left"/>
        <w:rPr>
          <w:rFonts w:ascii="Verdana" w:hAnsi="Verdana"/>
          <w:sz w:val="20"/>
        </w:rPr>
      </w:pPr>
      <w:r w:rsidRPr="00566C64">
        <w:rPr>
          <w:rFonts w:ascii="Verdana" w:hAnsi="Verdana"/>
          <w:sz w:val="20"/>
        </w:rPr>
        <w:t>At acquisition date, goodwill is measured as the excess of the cost of a parent entity’s investment in a subsidiary over the fair value of the subsidiary’s net identifiable assets acquired by the parent.</w:t>
      </w:r>
    </w:p>
    <w:p w14:paraId="1B490840" w14:textId="77777777" w:rsidR="0030616D" w:rsidRPr="00566C64" w:rsidRDefault="0030616D" w:rsidP="0022267C">
      <w:pPr>
        <w:ind w:firstLine="0"/>
        <w:jc w:val="left"/>
        <w:rPr>
          <w:rFonts w:ascii="Verdana" w:hAnsi="Verdana"/>
          <w:sz w:val="20"/>
        </w:rPr>
      </w:pPr>
    </w:p>
    <w:p w14:paraId="5BCE2EFA" w14:textId="56C62D99" w:rsidR="0030616D" w:rsidRDefault="003E3493" w:rsidP="0022267C">
      <w:pPr>
        <w:ind w:firstLine="0"/>
        <w:jc w:val="left"/>
        <w:rPr>
          <w:rFonts w:ascii="Verdana" w:hAnsi="Verdana"/>
          <w:sz w:val="20"/>
        </w:rPr>
      </w:pPr>
      <w:r w:rsidRPr="00566C64">
        <w:rPr>
          <w:rFonts w:ascii="Verdana" w:hAnsi="Verdana"/>
          <w:sz w:val="20"/>
        </w:rPr>
        <w:t>In particular, AASB</w:t>
      </w:r>
      <w:r w:rsidR="00AF3AD3">
        <w:rPr>
          <w:rFonts w:ascii="Verdana" w:hAnsi="Verdana"/>
          <w:sz w:val="20"/>
        </w:rPr>
        <w:t xml:space="preserve"> </w:t>
      </w:r>
      <w:r w:rsidRPr="00566C64">
        <w:rPr>
          <w:rFonts w:ascii="Verdana" w:hAnsi="Verdana"/>
          <w:sz w:val="20"/>
        </w:rPr>
        <w:t>3.32 requires goodwill to be initially measured as</w:t>
      </w:r>
      <w:r w:rsidR="00685F2A" w:rsidRPr="00566C64">
        <w:rPr>
          <w:rFonts w:ascii="Verdana" w:hAnsi="Verdana"/>
          <w:sz w:val="20"/>
        </w:rPr>
        <w:t xml:space="preserve"> the excess of (a) over (b)</w:t>
      </w:r>
      <w:r w:rsidR="00AF3AD3">
        <w:rPr>
          <w:rFonts w:ascii="Verdana" w:hAnsi="Verdana"/>
          <w:sz w:val="20"/>
        </w:rPr>
        <w:t>.</w:t>
      </w:r>
    </w:p>
    <w:p w14:paraId="0BD03A80" w14:textId="77777777" w:rsidR="007827EF" w:rsidRPr="00566C64" w:rsidRDefault="007827EF" w:rsidP="0022267C">
      <w:pPr>
        <w:ind w:firstLine="0"/>
        <w:jc w:val="left"/>
        <w:rPr>
          <w:rFonts w:ascii="Verdana" w:hAnsi="Verdana"/>
          <w:sz w:val="20"/>
        </w:rPr>
      </w:pPr>
    </w:p>
    <w:p w14:paraId="0FED21B6" w14:textId="77777777" w:rsidR="003E3493" w:rsidRPr="00566C64" w:rsidRDefault="003E3493" w:rsidP="006F5149">
      <w:pPr>
        <w:numPr>
          <w:ilvl w:val="0"/>
          <w:numId w:val="9"/>
        </w:numPr>
        <w:ind w:left="357" w:hanging="357"/>
        <w:jc w:val="left"/>
        <w:rPr>
          <w:rFonts w:ascii="Verdana" w:hAnsi="Verdana"/>
          <w:sz w:val="20"/>
        </w:rPr>
      </w:pPr>
      <w:r w:rsidRPr="00566C64">
        <w:rPr>
          <w:rFonts w:ascii="Verdana" w:hAnsi="Verdana"/>
          <w:sz w:val="20"/>
        </w:rPr>
        <w:t>The aggregate of:</w:t>
      </w:r>
    </w:p>
    <w:p w14:paraId="17330462" w14:textId="77777777" w:rsidR="003E3493" w:rsidRPr="00566C64" w:rsidRDefault="000C4127" w:rsidP="006F5149">
      <w:pPr>
        <w:numPr>
          <w:ilvl w:val="0"/>
          <w:numId w:val="10"/>
        </w:numPr>
        <w:tabs>
          <w:tab w:val="clear" w:pos="720"/>
        </w:tabs>
        <w:ind w:left="714" w:hanging="357"/>
        <w:jc w:val="left"/>
        <w:rPr>
          <w:rFonts w:ascii="Verdana" w:hAnsi="Verdana"/>
          <w:sz w:val="20"/>
        </w:rPr>
      </w:pPr>
      <w:r w:rsidRPr="00566C64">
        <w:rPr>
          <w:rFonts w:ascii="Verdana" w:hAnsi="Verdana"/>
          <w:sz w:val="20"/>
        </w:rPr>
        <w:t>t</w:t>
      </w:r>
      <w:r w:rsidR="00685F2A" w:rsidRPr="00566C64">
        <w:rPr>
          <w:rFonts w:ascii="Verdana" w:hAnsi="Verdana"/>
          <w:sz w:val="20"/>
        </w:rPr>
        <w:t>he fair value of the consideration transferred by the parent on acquisition date to obtain control of the subsidiary;</w:t>
      </w:r>
    </w:p>
    <w:p w14:paraId="1B3BDF19" w14:textId="77777777" w:rsidR="00685F2A" w:rsidRPr="00566C64" w:rsidRDefault="000C4127" w:rsidP="006F5149">
      <w:pPr>
        <w:numPr>
          <w:ilvl w:val="0"/>
          <w:numId w:val="10"/>
        </w:numPr>
        <w:tabs>
          <w:tab w:val="clear" w:pos="720"/>
        </w:tabs>
        <w:ind w:left="714" w:hanging="357"/>
        <w:jc w:val="left"/>
        <w:rPr>
          <w:rFonts w:ascii="Verdana" w:hAnsi="Verdana"/>
          <w:sz w:val="20"/>
        </w:rPr>
      </w:pPr>
      <w:r w:rsidRPr="00566C64">
        <w:rPr>
          <w:rFonts w:ascii="Verdana" w:hAnsi="Verdana"/>
          <w:sz w:val="20"/>
        </w:rPr>
        <w:t>t</w:t>
      </w:r>
      <w:r w:rsidR="00685F2A" w:rsidRPr="00566C64">
        <w:rPr>
          <w:rFonts w:ascii="Verdana" w:hAnsi="Verdana"/>
          <w:sz w:val="20"/>
        </w:rPr>
        <w:t>he value of any non-controlling interest in the subsidiary at acquisition date; and</w:t>
      </w:r>
    </w:p>
    <w:p w14:paraId="62EA7E19" w14:textId="195B3E18" w:rsidR="00685F2A" w:rsidRDefault="000C4127" w:rsidP="006F5149">
      <w:pPr>
        <w:numPr>
          <w:ilvl w:val="0"/>
          <w:numId w:val="10"/>
        </w:numPr>
        <w:tabs>
          <w:tab w:val="clear" w:pos="720"/>
        </w:tabs>
        <w:ind w:left="714" w:hanging="357"/>
        <w:jc w:val="left"/>
        <w:rPr>
          <w:rFonts w:ascii="Verdana" w:hAnsi="Verdana"/>
          <w:sz w:val="20"/>
        </w:rPr>
      </w:pPr>
      <w:r w:rsidRPr="00566C64">
        <w:rPr>
          <w:rFonts w:ascii="Verdana" w:hAnsi="Verdana"/>
          <w:sz w:val="20"/>
        </w:rPr>
        <w:t>t</w:t>
      </w:r>
      <w:r w:rsidR="00685F2A" w:rsidRPr="00566C64">
        <w:rPr>
          <w:rFonts w:ascii="Verdana" w:hAnsi="Verdana"/>
          <w:sz w:val="20"/>
        </w:rPr>
        <w:t>he fair value at acquisition date of the parent’s equity in the subsidiary purchased prior to acquisition date, where control of the subsidiary is achieved via several equity purchases on different dates</w:t>
      </w:r>
      <w:r w:rsidRPr="00566C64">
        <w:rPr>
          <w:rFonts w:ascii="Verdana" w:hAnsi="Verdana"/>
          <w:sz w:val="20"/>
        </w:rPr>
        <w:t>.</w:t>
      </w:r>
    </w:p>
    <w:p w14:paraId="5C69E72C" w14:textId="77777777" w:rsidR="007827EF" w:rsidRPr="00566C64" w:rsidRDefault="007827EF" w:rsidP="007827EF">
      <w:pPr>
        <w:ind w:left="714" w:firstLine="0"/>
        <w:jc w:val="left"/>
        <w:rPr>
          <w:rFonts w:ascii="Verdana" w:hAnsi="Verdana"/>
          <w:sz w:val="20"/>
        </w:rPr>
      </w:pPr>
    </w:p>
    <w:p w14:paraId="58F471E0" w14:textId="77777777" w:rsidR="003E3493" w:rsidRPr="00566C64" w:rsidRDefault="00685F2A" w:rsidP="006F5149">
      <w:pPr>
        <w:numPr>
          <w:ilvl w:val="0"/>
          <w:numId w:val="9"/>
        </w:numPr>
        <w:ind w:left="357" w:hanging="357"/>
        <w:jc w:val="left"/>
        <w:rPr>
          <w:rFonts w:ascii="Verdana" w:hAnsi="Verdana"/>
          <w:sz w:val="20"/>
        </w:rPr>
      </w:pPr>
      <w:r w:rsidRPr="00566C64">
        <w:rPr>
          <w:rFonts w:ascii="Verdana" w:hAnsi="Verdana"/>
          <w:sz w:val="20"/>
        </w:rPr>
        <w:t>The fair value at acquisition date of the net amount of assets acquired and liabilities assumed in the subsidiary.</w:t>
      </w:r>
    </w:p>
    <w:p w14:paraId="34C194B0" w14:textId="77777777" w:rsidR="0030616D" w:rsidRPr="00566C64" w:rsidRDefault="0030616D" w:rsidP="0022267C">
      <w:pPr>
        <w:ind w:firstLine="0"/>
        <w:jc w:val="left"/>
        <w:rPr>
          <w:rFonts w:ascii="Verdana" w:hAnsi="Verdana"/>
          <w:sz w:val="20"/>
        </w:rPr>
      </w:pPr>
    </w:p>
    <w:p w14:paraId="0171F683" w14:textId="5B404C41" w:rsidR="00740B15" w:rsidRPr="00566C64" w:rsidRDefault="00740B15" w:rsidP="0022267C">
      <w:pPr>
        <w:ind w:firstLine="0"/>
        <w:jc w:val="left"/>
        <w:rPr>
          <w:rFonts w:ascii="Verdana" w:hAnsi="Verdana"/>
          <w:sz w:val="20"/>
        </w:rPr>
      </w:pPr>
      <w:r w:rsidRPr="00566C64">
        <w:rPr>
          <w:rFonts w:ascii="Verdana" w:hAnsi="Verdana"/>
          <w:sz w:val="20"/>
        </w:rPr>
        <w:t>AASB</w:t>
      </w:r>
      <w:r w:rsidR="00AF3AD3">
        <w:rPr>
          <w:rFonts w:ascii="Verdana" w:hAnsi="Verdana"/>
          <w:sz w:val="20"/>
        </w:rPr>
        <w:t xml:space="preserve"> </w:t>
      </w:r>
      <w:r w:rsidRPr="00566C64">
        <w:rPr>
          <w:rFonts w:ascii="Verdana" w:hAnsi="Verdana"/>
          <w:sz w:val="20"/>
        </w:rPr>
        <w:t xml:space="preserve">3 requires goodwill to be initially recognised as an asset </w:t>
      </w:r>
      <w:r w:rsidR="002966B1" w:rsidRPr="00566C64">
        <w:rPr>
          <w:rFonts w:ascii="Verdana" w:hAnsi="Verdana"/>
          <w:sz w:val="20"/>
        </w:rPr>
        <w:t xml:space="preserve">only </w:t>
      </w:r>
      <w:r w:rsidRPr="00566C64">
        <w:rPr>
          <w:rFonts w:ascii="Verdana" w:hAnsi="Verdana"/>
          <w:sz w:val="20"/>
        </w:rPr>
        <w:t>in the consolidated statement of financial position.</w:t>
      </w:r>
      <w:r w:rsidR="0072710E" w:rsidRPr="00566C64">
        <w:rPr>
          <w:rFonts w:ascii="Verdana" w:hAnsi="Verdana"/>
          <w:sz w:val="20"/>
        </w:rPr>
        <w:t xml:space="preserve"> </w:t>
      </w:r>
      <w:r w:rsidR="0030616D" w:rsidRPr="00566C64">
        <w:rPr>
          <w:rFonts w:ascii="Verdana" w:hAnsi="Verdana"/>
          <w:sz w:val="20"/>
        </w:rPr>
        <w:t>Goodwill is not recognised in the separate accounts of the parent entity</w:t>
      </w:r>
      <w:r w:rsidR="002966B1" w:rsidRPr="00566C64">
        <w:rPr>
          <w:rFonts w:ascii="Verdana" w:hAnsi="Verdana"/>
          <w:sz w:val="20"/>
        </w:rPr>
        <w:t>, or the subsidiary.</w:t>
      </w:r>
    </w:p>
    <w:p w14:paraId="0C0AB983" w14:textId="77777777" w:rsidR="00740B15" w:rsidRPr="00566C64" w:rsidRDefault="00740B15" w:rsidP="0022267C">
      <w:pPr>
        <w:ind w:firstLine="0"/>
        <w:jc w:val="left"/>
        <w:rPr>
          <w:rFonts w:ascii="Verdana" w:hAnsi="Verdana"/>
          <w:sz w:val="20"/>
        </w:rPr>
      </w:pPr>
    </w:p>
    <w:p w14:paraId="6EA73084" w14:textId="77777777" w:rsidR="00740B15" w:rsidRPr="00566C64" w:rsidRDefault="00740B15" w:rsidP="0022267C">
      <w:pPr>
        <w:ind w:firstLine="0"/>
        <w:jc w:val="left"/>
        <w:rPr>
          <w:rFonts w:ascii="Verdana" w:hAnsi="Verdana"/>
          <w:b/>
          <w:sz w:val="20"/>
        </w:rPr>
      </w:pPr>
      <w:r w:rsidRPr="00566C64">
        <w:rPr>
          <w:rFonts w:ascii="Verdana" w:hAnsi="Verdana"/>
          <w:b/>
          <w:sz w:val="20"/>
        </w:rPr>
        <w:t>Impairment and subsequent measurement of goodwill</w:t>
      </w:r>
    </w:p>
    <w:p w14:paraId="1EFD2E88" w14:textId="205FE347" w:rsidR="00D7526D" w:rsidRPr="00566C64" w:rsidRDefault="00740B15" w:rsidP="0022267C">
      <w:pPr>
        <w:ind w:firstLine="0"/>
        <w:jc w:val="left"/>
        <w:rPr>
          <w:rFonts w:ascii="Verdana" w:hAnsi="Verdana"/>
          <w:sz w:val="20"/>
        </w:rPr>
      </w:pPr>
      <w:r w:rsidRPr="00566C64">
        <w:rPr>
          <w:rFonts w:ascii="Verdana" w:hAnsi="Verdana"/>
          <w:sz w:val="20"/>
        </w:rPr>
        <w:t xml:space="preserve">After recognition, goodwill must be tested annually for impairment, </w:t>
      </w:r>
      <w:r w:rsidR="00D7526D" w:rsidRPr="00566C64">
        <w:rPr>
          <w:rFonts w:ascii="Verdana" w:hAnsi="Verdana"/>
          <w:sz w:val="20"/>
        </w:rPr>
        <w:t>not necessarily at the end of the reporting period, and more frequently if impairment indicators are observed after initial impairment testing, but before the end of the reporting period (AASB</w:t>
      </w:r>
      <w:r w:rsidR="00AF3AD3">
        <w:rPr>
          <w:rFonts w:ascii="Verdana" w:hAnsi="Verdana"/>
          <w:sz w:val="20"/>
        </w:rPr>
        <w:t xml:space="preserve"> </w:t>
      </w:r>
      <w:r w:rsidR="00D7526D" w:rsidRPr="00566C64">
        <w:rPr>
          <w:rFonts w:ascii="Verdana" w:hAnsi="Verdana"/>
          <w:sz w:val="20"/>
        </w:rPr>
        <w:t>136.90 and 136.96).</w:t>
      </w:r>
      <w:r w:rsidR="0072710E" w:rsidRPr="00566C64">
        <w:rPr>
          <w:rFonts w:ascii="Verdana" w:hAnsi="Verdana"/>
          <w:sz w:val="20"/>
        </w:rPr>
        <w:t xml:space="preserve"> </w:t>
      </w:r>
      <w:r w:rsidR="00D7526D" w:rsidRPr="00566C64">
        <w:rPr>
          <w:rFonts w:ascii="Verdana" w:hAnsi="Verdana"/>
          <w:sz w:val="20"/>
        </w:rPr>
        <w:t>Where goodwill is acquired in a business combination in the current reporting period, the goodwill must be tested for impairment before the end of the reporting period (AASB</w:t>
      </w:r>
      <w:r w:rsidR="00AF3AD3">
        <w:rPr>
          <w:rFonts w:ascii="Verdana" w:hAnsi="Verdana"/>
          <w:sz w:val="20"/>
        </w:rPr>
        <w:t xml:space="preserve"> </w:t>
      </w:r>
      <w:r w:rsidR="00D7526D" w:rsidRPr="00566C64">
        <w:rPr>
          <w:rFonts w:ascii="Verdana" w:hAnsi="Verdana"/>
          <w:sz w:val="20"/>
        </w:rPr>
        <w:t>136.96).</w:t>
      </w:r>
    </w:p>
    <w:p w14:paraId="71EEC8EE" w14:textId="77777777" w:rsidR="00D7526D" w:rsidRPr="00566C64" w:rsidRDefault="00D7526D" w:rsidP="0022267C">
      <w:pPr>
        <w:ind w:firstLine="0"/>
        <w:jc w:val="left"/>
        <w:rPr>
          <w:rFonts w:ascii="Verdana" w:hAnsi="Verdana"/>
          <w:sz w:val="20"/>
        </w:rPr>
      </w:pPr>
    </w:p>
    <w:p w14:paraId="709F5522" w14:textId="28265367" w:rsidR="00E16961" w:rsidRPr="00566C64" w:rsidRDefault="00E16961" w:rsidP="0022267C">
      <w:pPr>
        <w:ind w:firstLine="0"/>
        <w:jc w:val="left"/>
        <w:rPr>
          <w:rFonts w:ascii="Verdana" w:hAnsi="Verdana"/>
          <w:sz w:val="20"/>
        </w:rPr>
      </w:pPr>
      <w:r w:rsidRPr="00566C64">
        <w:rPr>
          <w:rFonts w:ascii="Verdana" w:hAnsi="Verdana"/>
          <w:sz w:val="20"/>
        </w:rPr>
        <w:t>Goodwill cannot be tested independently for impairment, because goodwill does not generate cash flows independently of other assets and it is not possible to measure either goodwill or a related impairment loss directly.</w:t>
      </w:r>
      <w:r w:rsidR="0072710E" w:rsidRPr="00566C64">
        <w:rPr>
          <w:rFonts w:ascii="Verdana" w:hAnsi="Verdana"/>
          <w:sz w:val="20"/>
        </w:rPr>
        <w:t xml:space="preserve"> </w:t>
      </w:r>
      <w:r w:rsidRPr="00566C64">
        <w:rPr>
          <w:rFonts w:ascii="Verdana" w:hAnsi="Verdana"/>
          <w:sz w:val="20"/>
        </w:rPr>
        <w:t>Therefore, to test goodwill for impairment, goodwill must be allocated among the cash</w:t>
      </w:r>
      <w:r w:rsidR="00AF3AD3">
        <w:rPr>
          <w:rFonts w:ascii="Verdana" w:hAnsi="Verdana"/>
          <w:sz w:val="20"/>
        </w:rPr>
        <w:t>-</w:t>
      </w:r>
      <w:r w:rsidRPr="00566C64">
        <w:rPr>
          <w:rFonts w:ascii="Verdana" w:hAnsi="Verdana"/>
          <w:sz w:val="20"/>
        </w:rPr>
        <w:t>generating unit</w:t>
      </w:r>
      <w:r w:rsidR="006653D7" w:rsidRPr="00566C64">
        <w:rPr>
          <w:rFonts w:ascii="Verdana" w:hAnsi="Verdana"/>
          <w:sz w:val="20"/>
        </w:rPr>
        <w:t xml:space="preserve">s </w:t>
      </w:r>
      <w:r w:rsidRPr="00566C64">
        <w:rPr>
          <w:rFonts w:ascii="Verdana" w:hAnsi="Verdana"/>
          <w:sz w:val="20"/>
        </w:rPr>
        <w:t xml:space="preserve">expected to benefit from </w:t>
      </w:r>
      <w:r w:rsidR="00420F1C">
        <w:rPr>
          <w:rFonts w:ascii="Verdana" w:hAnsi="Verdana"/>
          <w:sz w:val="20"/>
        </w:rPr>
        <w:br/>
      </w:r>
      <w:r w:rsidRPr="00566C64">
        <w:rPr>
          <w:rFonts w:ascii="Verdana" w:hAnsi="Verdana"/>
          <w:sz w:val="20"/>
        </w:rPr>
        <w:t>the goodwill</w:t>
      </w:r>
      <w:r w:rsidR="006653D7" w:rsidRPr="00566C64">
        <w:rPr>
          <w:rFonts w:ascii="Verdana" w:hAnsi="Verdana"/>
          <w:sz w:val="20"/>
        </w:rPr>
        <w:t xml:space="preserve"> (AASB</w:t>
      </w:r>
      <w:r w:rsidR="00420F1C">
        <w:rPr>
          <w:rFonts w:ascii="Verdana" w:hAnsi="Verdana"/>
          <w:sz w:val="20"/>
        </w:rPr>
        <w:t xml:space="preserve"> </w:t>
      </w:r>
      <w:r w:rsidR="006653D7" w:rsidRPr="00566C64">
        <w:rPr>
          <w:rFonts w:ascii="Verdana" w:hAnsi="Verdana"/>
          <w:sz w:val="20"/>
        </w:rPr>
        <w:t>136.80)</w:t>
      </w:r>
      <w:r w:rsidRPr="00566C64">
        <w:rPr>
          <w:rFonts w:ascii="Verdana" w:hAnsi="Verdana"/>
          <w:sz w:val="20"/>
        </w:rPr>
        <w:t>.</w:t>
      </w:r>
      <w:r w:rsidR="0072710E" w:rsidRPr="00566C64">
        <w:rPr>
          <w:rFonts w:ascii="Verdana" w:hAnsi="Verdana"/>
          <w:sz w:val="20"/>
        </w:rPr>
        <w:t xml:space="preserve"> </w:t>
      </w:r>
      <w:r w:rsidR="00142A98" w:rsidRPr="00566C64">
        <w:rPr>
          <w:rFonts w:ascii="Verdana" w:hAnsi="Verdana"/>
          <w:sz w:val="20"/>
        </w:rPr>
        <w:t xml:space="preserve">A </w:t>
      </w:r>
      <w:r w:rsidR="00420F1C">
        <w:rPr>
          <w:rFonts w:ascii="Verdana" w:hAnsi="Verdana"/>
          <w:sz w:val="20"/>
        </w:rPr>
        <w:t xml:space="preserve">cash-generating </w:t>
      </w:r>
      <w:r w:rsidR="00142A98" w:rsidRPr="00566C64">
        <w:rPr>
          <w:rFonts w:ascii="Verdana" w:hAnsi="Verdana"/>
          <w:sz w:val="20"/>
        </w:rPr>
        <w:t>unit “is the smallest identifiable group of assets that generates cash flows that are largely independent of the cash flows of other assets or groups of assets” (AASB</w:t>
      </w:r>
      <w:r w:rsidR="00420F1C">
        <w:rPr>
          <w:rFonts w:ascii="Verdana" w:hAnsi="Verdana"/>
          <w:sz w:val="20"/>
        </w:rPr>
        <w:t xml:space="preserve"> </w:t>
      </w:r>
      <w:r w:rsidR="00142A98" w:rsidRPr="00566C64">
        <w:rPr>
          <w:rFonts w:ascii="Verdana" w:hAnsi="Verdana"/>
          <w:sz w:val="20"/>
        </w:rPr>
        <w:t>136.6).</w:t>
      </w:r>
      <w:r w:rsidR="0072710E" w:rsidRPr="00566C64">
        <w:rPr>
          <w:rFonts w:ascii="Verdana" w:hAnsi="Verdana"/>
          <w:sz w:val="20"/>
        </w:rPr>
        <w:t xml:space="preserve"> </w:t>
      </w:r>
      <w:r w:rsidR="00142A98" w:rsidRPr="00566C64">
        <w:rPr>
          <w:rFonts w:ascii="Verdana" w:hAnsi="Verdana"/>
          <w:sz w:val="20"/>
        </w:rPr>
        <w:t xml:space="preserve">The </w:t>
      </w:r>
      <w:r w:rsidR="00420F1C">
        <w:rPr>
          <w:rFonts w:ascii="Verdana" w:hAnsi="Verdana"/>
          <w:sz w:val="20"/>
        </w:rPr>
        <w:t xml:space="preserve">cash-generating </w:t>
      </w:r>
      <w:r w:rsidR="00142A98" w:rsidRPr="00566C64">
        <w:rPr>
          <w:rFonts w:ascii="Verdana" w:hAnsi="Verdana"/>
          <w:sz w:val="20"/>
        </w:rPr>
        <w:t xml:space="preserve">unit to which goodwill is allocated </w:t>
      </w:r>
      <w:r w:rsidR="001B1A54" w:rsidRPr="00566C64">
        <w:rPr>
          <w:rFonts w:ascii="Verdana" w:hAnsi="Verdana"/>
          <w:sz w:val="20"/>
        </w:rPr>
        <w:t xml:space="preserve">shall </w:t>
      </w:r>
      <w:r w:rsidR="00142A98" w:rsidRPr="00566C64">
        <w:rPr>
          <w:rFonts w:ascii="Verdana" w:hAnsi="Verdana"/>
          <w:sz w:val="20"/>
        </w:rPr>
        <w:t xml:space="preserve">be the lowest level within the </w:t>
      </w:r>
      <w:r w:rsidR="001B1A54" w:rsidRPr="00566C64">
        <w:rPr>
          <w:rFonts w:ascii="Verdana" w:hAnsi="Verdana"/>
          <w:sz w:val="20"/>
        </w:rPr>
        <w:t xml:space="preserve">group at which </w:t>
      </w:r>
      <w:r w:rsidR="001B1A54" w:rsidRPr="00566C64">
        <w:rPr>
          <w:rFonts w:ascii="Verdana" w:hAnsi="Verdana"/>
          <w:sz w:val="20"/>
        </w:rPr>
        <w:lastRenderedPageBreak/>
        <w:t>goodwill is monitored for internal management purposes, and should not be larger than an operating segment as defined in AASB</w:t>
      </w:r>
      <w:r w:rsidR="00420F1C">
        <w:rPr>
          <w:rFonts w:ascii="Verdana" w:hAnsi="Verdana"/>
          <w:sz w:val="20"/>
        </w:rPr>
        <w:t xml:space="preserve"> </w:t>
      </w:r>
      <w:r w:rsidR="001B1A54" w:rsidRPr="00566C64">
        <w:rPr>
          <w:rFonts w:ascii="Verdana" w:hAnsi="Verdana"/>
          <w:sz w:val="20"/>
        </w:rPr>
        <w:t xml:space="preserve">8 </w:t>
      </w:r>
      <w:r w:rsidR="001B1A54" w:rsidRPr="0022267C">
        <w:rPr>
          <w:rFonts w:ascii="Verdana" w:hAnsi="Verdana"/>
          <w:i/>
          <w:sz w:val="20"/>
        </w:rPr>
        <w:t>Operating Segments</w:t>
      </w:r>
      <w:r w:rsidR="001B1A54" w:rsidRPr="00566C64">
        <w:rPr>
          <w:rFonts w:ascii="Verdana" w:hAnsi="Verdana"/>
          <w:sz w:val="20"/>
        </w:rPr>
        <w:t xml:space="preserve"> (AASB</w:t>
      </w:r>
      <w:r w:rsidR="00420F1C">
        <w:rPr>
          <w:rFonts w:ascii="Verdana" w:hAnsi="Verdana"/>
          <w:sz w:val="20"/>
        </w:rPr>
        <w:t xml:space="preserve"> </w:t>
      </w:r>
      <w:r w:rsidR="001B1A54" w:rsidRPr="00566C64">
        <w:rPr>
          <w:rFonts w:ascii="Verdana" w:hAnsi="Verdana"/>
          <w:sz w:val="20"/>
        </w:rPr>
        <w:t>136.80)</w:t>
      </w:r>
      <w:r w:rsidR="008E02D8" w:rsidRPr="00566C64">
        <w:rPr>
          <w:rFonts w:ascii="Verdana" w:hAnsi="Verdana"/>
          <w:sz w:val="20"/>
        </w:rPr>
        <w:t>.</w:t>
      </w:r>
    </w:p>
    <w:p w14:paraId="2B91F12A" w14:textId="77777777" w:rsidR="00E16961" w:rsidRPr="00566C64" w:rsidRDefault="00E16961" w:rsidP="0022267C">
      <w:pPr>
        <w:ind w:firstLine="0"/>
        <w:jc w:val="left"/>
        <w:rPr>
          <w:rFonts w:ascii="Verdana" w:hAnsi="Verdana"/>
          <w:sz w:val="20"/>
        </w:rPr>
      </w:pPr>
    </w:p>
    <w:p w14:paraId="18DD9CD2" w14:textId="67D2A6C6" w:rsidR="00E16961" w:rsidRPr="00566C64" w:rsidRDefault="008E02D8" w:rsidP="0022267C">
      <w:pPr>
        <w:ind w:firstLine="0"/>
        <w:jc w:val="left"/>
        <w:rPr>
          <w:rFonts w:ascii="Verdana" w:hAnsi="Verdana"/>
          <w:sz w:val="20"/>
        </w:rPr>
      </w:pPr>
      <w:r w:rsidRPr="00566C64">
        <w:rPr>
          <w:rFonts w:ascii="Verdana" w:hAnsi="Verdana"/>
          <w:sz w:val="20"/>
        </w:rPr>
        <w:t xml:space="preserve">Impairment testing is conducted for </w:t>
      </w:r>
      <w:r w:rsidR="00420F1C">
        <w:rPr>
          <w:rFonts w:ascii="Verdana" w:hAnsi="Verdana"/>
          <w:sz w:val="20"/>
        </w:rPr>
        <w:t xml:space="preserve">cash-generating </w:t>
      </w:r>
      <w:r w:rsidRPr="00566C64">
        <w:rPr>
          <w:rFonts w:ascii="Verdana" w:hAnsi="Verdana"/>
          <w:sz w:val="20"/>
        </w:rPr>
        <w:t>units in the same manner as individual assets are tested for impairment.</w:t>
      </w:r>
      <w:r w:rsidR="0072710E" w:rsidRPr="00566C64">
        <w:rPr>
          <w:rFonts w:ascii="Verdana" w:hAnsi="Verdana"/>
          <w:sz w:val="20"/>
        </w:rPr>
        <w:t xml:space="preserve"> </w:t>
      </w:r>
      <w:r w:rsidRPr="00566C64">
        <w:rPr>
          <w:rFonts w:ascii="Verdana" w:hAnsi="Verdana"/>
          <w:sz w:val="20"/>
        </w:rPr>
        <w:t xml:space="preserve">Where the carrying amount of the assets </w:t>
      </w:r>
      <w:r w:rsidR="0031276E" w:rsidRPr="00566C64">
        <w:rPr>
          <w:rFonts w:ascii="Verdana" w:hAnsi="Verdana"/>
          <w:sz w:val="20"/>
        </w:rPr>
        <w:t xml:space="preserve">allocated to a </w:t>
      </w:r>
      <w:r w:rsidR="00420F1C">
        <w:rPr>
          <w:rFonts w:ascii="Verdana" w:hAnsi="Verdana"/>
          <w:sz w:val="20"/>
        </w:rPr>
        <w:t xml:space="preserve">cash-generating </w:t>
      </w:r>
      <w:r w:rsidRPr="00566C64">
        <w:rPr>
          <w:rFonts w:ascii="Verdana" w:hAnsi="Verdana"/>
          <w:sz w:val="20"/>
        </w:rPr>
        <w:t xml:space="preserve">unit exceeds </w:t>
      </w:r>
      <w:r w:rsidR="0031276E" w:rsidRPr="00566C64">
        <w:rPr>
          <w:rFonts w:ascii="Verdana" w:hAnsi="Verdana"/>
          <w:sz w:val="20"/>
        </w:rPr>
        <w:t>the</w:t>
      </w:r>
      <w:r w:rsidRPr="00566C64">
        <w:rPr>
          <w:rFonts w:ascii="Verdana" w:hAnsi="Verdana"/>
          <w:sz w:val="20"/>
        </w:rPr>
        <w:t xml:space="preserve"> recoverable amount</w:t>
      </w:r>
      <w:r w:rsidR="0031276E" w:rsidRPr="00566C64">
        <w:rPr>
          <w:rFonts w:ascii="Verdana" w:hAnsi="Verdana"/>
          <w:sz w:val="20"/>
        </w:rPr>
        <w:t xml:space="preserve"> of the </w:t>
      </w:r>
      <w:r w:rsidR="00420F1C">
        <w:rPr>
          <w:rFonts w:ascii="Verdana" w:hAnsi="Verdana"/>
          <w:sz w:val="20"/>
        </w:rPr>
        <w:t xml:space="preserve">cash-generating </w:t>
      </w:r>
      <w:r w:rsidR="0031276E" w:rsidRPr="00566C64">
        <w:rPr>
          <w:rFonts w:ascii="Verdana" w:hAnsi="Verdana"/>
          <w:sz w:val="20"/>
        </w:rPr>
        <w:t>unit</w:t>
      </w:r>
      <w:r w:rsidRPr="00566C64">
        <w:rPr>
          <w:rFonts w:ascii="Verdana" w:hAnsi="Verdana"/>
          <w:sz w:val="20"/>
        </w:rPr>
        <w:t xml:space="preserve">, </w:t>
      </w:r>
      <w:r w:rsidR="0031276E" w:rsidRPr="00566C64">
        <w:rPr>
          <w:rFonts w:ascii="Verdana" w:hAnsi="Verdana"/>
          <w:sz w:val="20"/>
        </w:rPr>
        <w:t xml:space="preserve">the </w:t>
      </w:r>
      <w:r w:rsidR="00420F1C">
        <w:rPr>
          <w:rFonts w:ascii="Verdana" w:hAnsi="Verdana"/>
          <w:sz w:val="20"/>
        </w:rPr>
        <w:t xml:space="preserve">cash-generating </w:t>
      </w:r>
      <w:r w:rsidR="0031276E" w:rsidRPr="00566C64">
        <w:rPr>
          <w:rFonts w:ascii="Verdana" w:hAnsi="Verdana"/>
          <w:sz w:val="20"/>
        </w:rPr>
        <w:t xml:space="preserve">unit </w:t>
      </w:r>
      <w:r w:rsidRPr="00566C64">
        <w:rPr>
          <w:rFonts w:ascii="Verdana" w:hAnsi="Verdana"/>
          <w:sz w:val="20"/>
        </w:rPr>
        <w:t>is impaired, and must be written down to its recoverable amount by recognising an impairment loss</w:t>
      </w:r>
      <w:r w:rsidR="00CD1363" w:rsidRPr="00566C64">
        <w:rPr>
          <w:rFonts w:ascii="Verdana" w:hAnsi="Verdana"/>
          <w:sz w:val="20"/>
        </w:rPr>
        <w:t xml:space="preserve"> (AASB</w:t>
      </w:r>
      <w:r w:rsidR="00420F1C">
        <w:rPr>
          <w:rFonts w:ascii="Verdana" w:hAnsi="Verdana"/>
          <w:sz w:val="20"/>
        </w:rPr>
        <w:t xml:space="preserve"> </w:t>
      </w:r>
      <w:r w:rsidR="00CD1363" w:rsidRPr="00566C64">
        <w:rPr>
          <w:rFonts w:ascii="Verdana" w:hAnsi="Verdana"/>
          <w:sz w:val="20"/>
        </w:rPr>
        <w:t>136.90)</w:t>
      </w:r>
      <w:r w:rsidR="0031276E" w:rsidRPr="00566C64">
        <w:rPr>
          <w:rFonts w:ascii="Verdana" w:hAnsi="Verdana"/>
          <w:sz w:val="20"/>
        </w:rPr>
        <w:t>.</w:t>
      </w:r>
      <w:r w:rsidR="0072710E" w:rsidRPr="00566C64">
        <w:rPr>
          <w:rFonts w:ascii="Verdana" w:hAnsi="Verdana"/>
          <w:sz w:val="20"/>
        </w:rPr>
        <w:t xml:space="preserve"> </w:t>
      </w:r>
      <w:r w:rsidR="0031276E" w:rsidRPr="00566C64">
        <w:rPr>
          <w:rFonts w:ascii="Verdana" w:hAnsi="Verdana"/>
          <w:sz w:val="20"/>
        </w:rPr>
        <w:t xml:space="preserve">The impairment loss attributable to a particular </w:t>
      </w:r>
      <w:r w:rsidR="00420F1C">
        <w:rPr>
          <w:rFonts w:ascii="Verdana" w:hAnsi="Verdana"/>
          <w:sz w:val="20"/>
        </w:rPr>
        <w:t xml:space="preserve">cash-generating </w:t>
      </w:r>
      <w:r w:rsidR="0031276E" w:rsidRPr="00566C64">
        <w:rPr>
          <w:rFonts w:ascii="Verdana" w:hAnsi="Verdana"/>
          <w:sz w:val="20"/>
        </w:rPr>
        <w:t xml:space="preserve">unit must be allocated among the assets comprising the </w:t>
      </w:r>
      <w:r w:rsidR="00420F1C">
        <w:rPr>
          <w:rFonts w:ascii="Verdana" w:hAnsi="Verdana"/>
          <w:sz w:val="20"/>
        </w:rPr>
        <w:t xml:space="preserve">cash-generating </w:t>
      </w:r>
      <w:r w:rsidR="0031276E" w:rsidRPr="00566C64">
        <w:rPr>
          <w:rFonts w:ascii="Verdana" w:hAnsi="Verdana"/>
          <w:sz w:val="20"/>
        </w:rPr>
        <w:t>unit.</w:t>
      </w:r>
      <w:r w:rsidR="0072710E" w:rsidRPr="00566C64">
        <w:rPr>
          <w:rFonts w:ascii="Verdana" w:hAnsi="Verdana"/>
          <w:sz w:val="20"/>
        </w:rPr>
        <w:t xml:space="preserve"> </w:t>
      </w:r>
      <w:r w:rsidR="0031276E" w:rsidRPr="00566C64">
        <w:rPr>
          <w:rFonts w:ascii="Verdana" w:hAnsi="Verdana"/>
          <w:sz w:val="20"/>
        </w:rPr>
        <w:t xml:space="preserve">Where the </w:t>
      </w:r>
      <w:r w:rsidR="00420F1C">
        <w:rPr>
          <w:rFonts w:ascii="Verdana" w:hAnsi="Verdana"/>
          <w:sz w:val="20"/>
        </w:rPr>
        <w:t xml:space="preserve">cash-generating </w:t>
      </w:r>
      <w:r w:rsidR="0031276E" w:rsidRPr="00566C64">
        <w:rPr>
          <w:rFonts w:ascii="Verdana" w:hAnsi="Verdana"/>
          <w:sz w:val="20"/>
        </w:rPr>
        <w:t>unit includes goodwill, any impairment loss is first applied to goodwill</w:t>
      </w:r>
      <w:r w:rsidR="00CD1363" w:rsidRPr="00566C64">
        <w:rPr>
          <w:rFonts w:ascii="Verdana" w:hAnsi="Verdana"/>
          <w:sz w:val="20"/>
        </w:rPr>
        <w:t xml:space="preserve"> (AASB</w:t>
      </w:r>
      <w:r w:rsidR="00420F1C">
        <w:rPr>
          <w:rFonts w:ascii="Verdana" w:hAnsi="Verdana"/>
          <w:sz w:val="20"/>
        </w:rPr>
        <w:t xml:space="preserve"> </w:t>
      </w:r>
      <w:r w:rsidR="00CD1363" w:rsidRPr="00566C64">
        <w:rPr>
          <w:rFonts w:ascii="Verdana" w:hAnsi="Verdana"/>
          <w:sz w:val="20"/>
        </w:rPr>
        <w:t>136.104)</w:t>
      </w:r>
      <w:r w:rsidR="0031276E" w:rsidRPr="00566C64">
        <w:rPr>
          <w:rFonts w:ascii="Verdana" w:hAnsi="Verdana"/>
          <w:sz w:val="20"/>
        </w:rPr>
        <w:t>.</w:t>
      </w:r>
      <w:r w:rsidR="0072710E" w:rsidRPr="00566C64">
        <w:rPr>
          <w:rFonts w:ascii="Verdana" w:hAnsi="Verdana"/>
          <w:sz w:val="20"/>
        </w:rPr>
        <w:t xml:space="preserve"> </w:t>
      </w:r>
      <w:r w:rsidR="0031276E" w:rsidRPr="00566C64">
        <w:rPr>
          <w:rFonts w:ascii="Verdana" w:hAnsi="Verdana"/>
          <w:sz w:val="20"/>
        </w:rPr>
        <w:t>An impairment loss to goodwill is recorded</w:t>
      </w:r>
      <w:r w:rsidRPr="00566C64">
        <w:rPr>
          <w:rFonts w:ascii="Verdana" w:hAnsi="Verdana"/>
          <w:sz w:val="20"/>
        </w:rPr>
        <w:t xml:space="preserve"> in the consolidated accounts.</w:t>
      </w:r>
    </w:p>
    <w:p w14:paraId="08D5DF7C" w14:textId="77777777" w:rsidR="00E16961" w:rsidRPr="00566C64" w:rsidRDefault="00E16961" w:rsidP="0022267C">
      <w:pPr>
        <w:ind w:firstLine="0"/>
        <w:jc w:val="left"/>
        <w:rPr>
          <w:rFonts w:ascii="Verdana" w:hAnsi="Verdana"/>
          <w:sz w:val="20"/>
        </w:rPr>
      </w:pPr>
    </w:p>
    <w:p w14:paraId="0FEB5E8F" w14:textId="77777777" w:rsidR="00740B15" w:rsidRPr="00566C64" w:rsidRDefault="00E16961" w:rsidP="0022267C">
      <w:pPr>
        <w:ind w:firstLine="0"/>
        <w:jc w:val="left"/>
        <w:rPr>
          <w:rFonts w:ascii="Verdana" w:hAnsi="Verdana"/>
          <w:sz w:val="20"/>
        </w:rPr>
      </w:pPr>
      <w:r w:rsidRPr="00566C64">
        <w:rPr>
          <w:rFonts w:ascii="Verdana" w:hAnsi="Verdana"/>
          <w:sz w:val="20"/>
        </w:rPr>
        <w:t>A</w:t>
      </w:r>
      <w:r w:rsidR="008D3C84" w:rsidRPr="00566C64">
        <w:rPr>
          <w:rFonts w:ascii="Verdana" w:hAnsi="Verdana"/>
          <w:sz w:val="20"/>
        </w:rPr>
        <w:t>fter initial recognition, goodwill is measured at cost less (any) accumulated impairment losses.</w:t>
      </w:r>
    </w:p>
    <w:p w14:paraId="53974480" w14:textId="77777777" w:rsidR="000C4127" w:rsidRPr="00566C64" w:rsidRDefault="000C4127" w:rsidP="0022267C">
      <w:pPr>
        <w:ind w:firstLine="0"/>
        <w:jc w:val="left"/>
        <w:rPr>
          <w:rFonts w:ascii="Verdana" w:hAnsi="Verdana"/>
          <w:b/>
          <w:sz w:val="20"/>
        </w:rPr>
      </w:pPr>
    </w:p>
    <w:p w14:paraId="6D2BD750" w14:textId="77777777" w:rsidR="00566C64" w:rsidRDefault="00566C64" w:rsidP="0022267C">
      <w:pPr>
        <w:ind w:firstLine="0"/>
        <w:jc w:val="left"/>
        <w:rPr>
          <w:rFonts w:ascii="Verdana" w:hAnsi="Verdana"/>
          <w:b/>
          <w:sz w:val="20"/>
        </w:rPr>
      </w:pPr>
    </w:p>
    <w:p w14:paraId="45EFF8B8" w14:textId="7155A73A" w:rsidR="00E22522" w:rsidRPr="0022267C" w:rsidRDefault="00E22522" w:rsidP="0022267C">
      <w:pPr>
        <w:ind w:firstLine="0"/>
        <w:jc w:val="left"/>
        <w:rPr>
          <w:rFonts w:ascii="Verdana" w:hAnsi="Verdana"/>
          <w:b/>
          <w:i/>
          <w:sz w:val="20"/>
        </w:rPr>
      </w:pPr>
      <w:r w:rsidRPr="0022267C">
        <w:rPr>
          <w:rFonts w:ascii="Verdana" w:hAnsi="Verdana"/>
          <w:b/>
          <w:i/>
          <w:sz w:val="20"/>
        </w:rPr>
        <w:t xml:space="preserve">Q2.8 </w:t>
      </w:r>
      <w:r w:rsidR="00FB6473" w:rsidRPr="0022267C">
        <w:rPr>
          <w:rFonts w:ascii="Verdana" w:hAnsi="Verdana"/>
          <w:b/>
          <w:i/>
          <w:sz w:val="20"/>
        </w:rPr>
        <w:t>Gain on bargain purchase of an investment</w:t>
      </w:r>
      <w:r w:rsidR="00FB6473" w:rsidRPr="006A7D68">
        <w:rPr>
          <w:rFonts w:ascii="Verdana" w:hAnsi="Verdana"/>
          <w:b/>
          <w:i/>
          <w:sz w:val="20"/>
        </w:rPr>
        <w:t xml:space="preserve"> (Section 2.4)</w:t>
      </w:r>
    </w:p>
    <w:p w14:paraId="222590F9" w14:textId="77777777" w:rsidR="00E22522" w:rsidRPr="00566C64" w:rsidRDefault="00E22522" w:rsidP="0022267C">
      <w:pPr>
        <w:ind w:firstLine="0"/>
        <w:jc w:val="left"/>
        <w:rPr>
          <w:rFonts w:ascii="Verdana" w:hAnsi="Verdana"/>
          <w:sz w:val="20"/>
        </w:rPr>
      </w:pPr>
    </w:p>
    <w:p w14:paraId="16376A0A" w14:textId="77777777" w:rsidR="00FB6473" w:rsidRPr="00566C64" w:rsidRDefault="00FB6473" w:rsidP="0022267C">
      <w:pPr>
        <w:ind w:firstLine="0"/>
        <w:jc w:val="left"/>
        <w:rPr>
          <w:rFonts w:ascii="Verdana" w:hAnsi="Verdana"/>
          <w:b/>
          <w:sz w:val="20"/>
        </w:rPr>
      </w:pPr>
      <w:r w:rsidRPr="00566C64">
        <w:rPr>
          <w:rFonts w:ascii="Verdana" w:hAnsi="Verdana"/>
          <w:b/>
          <w:sz w:val="20"/>
        </w:rPr>
        <w:t>Accounting treatment of goodwill required by AASB</w:t>
      </w:r>
      <w:r w:rsidR="00483A4F" w:rsidRPr="00566C64">
        <w:rPr>
          <w:rFonts w:ascii="Verdana" w:hAnsi="Verdana"/>
          <w:b/>
          <w:sz w:val="20"/>
        </w:rPr>
        <w:t xml:space="preserve"> accounting standards</w:t>
      </w:r>
    </w:p>
    <w:p w14:paraId="66EBC358" w14:textId="1754E814" w:rsidR="00FB6473" w:rsidRPr="00566C64" w:rsidRDefault="00FB6473" w:rsidP="0022267C">
      <w:pPr>
        <w:ind w:firstLine="0"/>
        <w:jc w:val="left"/>
        <w:rPr>
          <w:rFonts w:ascii="Verdana" w:hAnsi="Verdana"/>
          <w:sz w:val="20"/>
        </w:rPr>
      </w:pPr>
      <w:r w:rsidRPr="00566C64">
        <w:rPr>
          <w:rFonts w:ascii="Verdana" w:hAnsi="Verdana"/>
          <w:sz w:val="20"/>
        </w:rPr>
        <w:t>The statement provided in the question correctly describes the accounting treatment of goodwill required by accounting standards</w:t>
      </w:r>
      <w:r w:rsidR="00FF6982" w:rsidRPr="00566C64">
        <w:rPr>
          <w:rFonts w:ascii="Verdana" w:hAnsi="Verdana"/>
          <w:sz w:val="20"/>
        </w:rPr>
        <w:t xml:space="preserve"> (although the description provided is incomplete)</w:t>
      </w:r>
      <w:r w:rsidRPr="00566C64">
        <w:rPr>
          <w:rFonts w:ascii="Verdana" w:hAnsi="Verdana"/>
          <w:sz w:val="20"/>
        </w:rPr>
        <w:t>.</w:t>
      </w:r>
      <w:r w:rsidR="0072710E" w:rsidRPr="00566C64">
        <w:rPr>
          <w:rFonts w:ascii="Verdana" w:hAnsi="Verdana"/>
          <w:sz w:val="20"/>
        </w:rPr>
        <w:t xml:space="preserve"> </w:t>
      </w:r>
      <w:r w:rsidRPr="00566C64">
        <w:rPr>
          <w:rFonts w:ascii="Verdana" w:hAnsi="Verdana"/>
          <w:sz w:val="20"/>
        </w:rPr>
        <w:t xml:space="preserve">Where the </w:t>
      </w:r>
      <w:r w:rsidR="00A55C11" w:rsidRPr="00566C64">
        <w:rPr>
          <w:rFonts w:ascii="Verdana" w:hAnsi="Verdana"/>
          <w:sz w:val="20"/>
        </w:rPr>
        <w:t xml:space="preserve">cost of a parent entity’s investment in </w:t>
      </w:r>
      <w:r w:rsidR="00FF6982" w:rsidRPr="00566C64">
        <w:rPr>
          <w:rFonts w:ascii="Verdana" w:hAnsi="Verdana"/>
          <w:sz w:val="20"/>
        </w:rPr>
        <w:t xml:space="preserve">a </w:t>
      </w:r>
      <w:r w:rsidR="00A55C11" w:rsidRPr="00566C64">
        <w:rPr>
          <w:rFonts w:ascii="Verdana" w:hAnsi="Verdana"/>
          <w:sz w:val="20"/>
        </w:rPr>
        <w:t xml:space="preserve">subsidiary exceeds the fair value of the </w:t>
      </w:r>
      <w:r w:rsidR="0042203C" w:rsidRPr="00566C64">
        <w:rPr>
          <w:rFonts w:ascii="Verdana" w:hAnsi="Verdana"/>
          <w:sz w:val="20"/>
        </w:rPr>
        <w:t xml:space="preserve">subsidiary’s </w:t>
      </w:r>
      <w:r w:rsidR="00483A4F" w:rsidRPr="00566C64">
        <w:rPr>
          <w:rFonts w:ascii="Verdana" w:hAnsi="Verdana"/>
          <w:sz w:val="20"/>
        </w:rPr>
        <w:t xml:space="preserve">net identifiable assets </w:t>
      </w:r>
      <w:r w:rsidR="00A55C11" w:rsidRPr="00566C64">
        <w:rPr>
          <w:rFonts w:ascii="Verdana" w:hAnsi="Verdana"/>
          <w:sz w:val="20"/>
        </w:rPr>
        <w:t xml:space="preserve">acquired by the parent, goodwill </w:t>
      </w:r>
      <w:r w:rsidR="00483A4F" w:rsidRPr="00566C64">
        <w:rPr>
          <w:rFonts w:ascii="Verdana" w:hAnsi="Verdana"/>
          <w:sz w:val="20"/>
        </w:rPr>
        <w:t>i</w:t>
      </w:r>
      <w:r w:rsidR="00FF6982" w:rsidRPr="00566C64">
        <w:rPr>
          <w:rFonts w:ascii="Verdana" w:hAnsi="Verdana"/>
          <w:sz w:val="20"/>
        </w:rPr>
        <w:t>s recognised</w:t>
      </w:r>
      <w:r w:rsidR="00A55C11" w:rsidRPr="00566C64">
        <w:rPr>
          <w:rFonts w:ascii="Verdana" w:hAnsi="Verdana"/>
          <w:sz w:val="20"/>
        </w:rPr>
        <w:t>.</w:t>
      </w:r>
      <w:r w:rsidR="0072710E" w:rsidRPr="00566C64">
        <w:rPr>
          <w:rFonts w:ascii="Verdana" w:hAnsi="Verdana"/>
          <w:sz w:val="20"/>
        </w:rPr>
        <w:t xml:space="preserve"> </w:t>
      </w:r>
      <w:r w:rsidR="00A55C11" w:rsidRPr="00566C64">
        <w:rPr>
          <w:rFonts w:ascii="Verdana" w:hAnsi="Verdana"/>
          <w:sz w:val="20"/>
        </w:rPr>
        <w:t>AASB</w:t>
      </w:r>
      <w:r w:rsidR="009C736E">
        <w:rPr>
          <w:rFonts w:ascii="Verdana" w:hAnsi="Verdana"/>
          <w:sz w:val="20"/>
        </w:rPr>
        <w:t xml:space="preserve"> </w:t>
      </w:r>
      <w:r w:rsidR="00A55C11" w:rsidRPr="00566C64">
        <w:rPr>
          <w:rFonts w:ascii="Verdana" w:hAnsi="Verdana"/>
          <w:sz w:val="20"/>
        </w:rPr>
        <w:t>3 requires goodwill to be initially recognised as an asset</w:t>
      </w:r>
      <w:r w:rsidR="00195BBE" w:rsidRPr="00566C64">
        <w:rPr>
          <w:rFonts w:ascii="Verdana" w:hAnsi="Verdana"/>
          <w:sz w:val="20"/>
        </w:rPr>
        <w:t xml:space="preserve"> in the consolidated statement of financial position</w:t>
      </w:r>
      <w:r w:rsidR="00A55C11" w:rsidRPr="00566C64">
        <w:rPr>
          <w:rFonts w:ascii="Verdana" w:hAnsi="Verdana"/>
          <w:sz w:val="20"/>
        </w:rPr>
        <w:t>.</w:t>
      </w:r>
      <w:r w:rsidR="0072710E" w:rsidRPr="00566C64">
        <w:rPr>
          <w:rFonts w:ascii="Verdana" w:hAnsi="Verdana"/>
          <w:sz w:val="20"/>
        </w:rPr>
        <w:t xml:space="preserve"> </w:t>
      </w:r>
      <w:r w:rsidR="00A55C11" w:rsidRPr="00566C64">
        <w:rPr>
          <w:rFonts w:ascii="Verdana" w:hAnsi="Verdana"/>
          <w:sz w:val="20"/>
        </w:rPr>
        <w:t xml:space="preserve">After recognition, goodwill must be tested annually for impairment, </w:t>
      </w:r>
      <w:r w:rsidR="0095305E" w:rsidRPr="00566C64">
        <w:rPr>
          <w:rFonts w:ascii="Verdana" w:hAnsi="Verdana"/>
          <w:sz w:val="20"/>
        </w:rPr>
        <w:t xml:space="preserve">and more frequently if impairment indicators are observed after initial impairment testing, but before the end of the reporting period, </w:t>
      </w:r>
      <w:r w:rsidR="00A55C11" w:rsidRPr="00566C64">
        <w:rPr>
          <w:rFonts w:ascii="Verdana" w:hAnsi="Verdana"/>
          <w:sz w:val="20"/>
        </w:rPr>
        <w:t>in accordance with AASB</w:t>
      </w:r>
      <w:r w:rsidR="009C736E">
        <w:rPr>
          <w:rFonts w:ascii="Verdana" w:hAnsi="Verdana"/>
          <w:sz w:val="20"/>
        </w:rPr>
        <w:t xml:space="preserve"> </w:t>
      </w:r>
      <w:r w:rsidR="00A55C11" w:rsidRPr="00566C64">
        <w:rPr>
          <w:rFonts w:ascii="Verdana" w:hAnsi="Verdana"/>
          <w:sz w:val="20"/>
        </w:rPr>
        <w:t>136.</w:t>
      </w:r>
      <w:r w:rsidR="0072710E" w:rsidRPr="00566C64">
        <w:rPr>
          <w:rFonts w:ascii="Verdana" w:hAnsi="Verdana"/>
          <w:sz w:val="20"/>
        </w:rPr>
        <w:t xml:space="preserve"> </w:t>
      </w:r>
      <w:r w:rsidR="00FF6982" w:rsidRPr="00566C64">
        <w:rPr>
          <w:rFonts w:ascii="Verdana" w:hAnsi="Verdana"/>
          <w:sz w:val="20"/>
        </w:rPr>
        <w:t>Where the carrying amount of goodwill exceeds its expected recoverable amount, goodwill is impaired, and must be written down to its recoverable amount, by recognising an impairment loss.</w:t>
      </w:r>
    </w:p>
    <w:p w14:paraId="7DB1EC45" w14:textId="77777777" w:rsidR="00FB6473" w:rsidRPr="00566C64" w:rsidRDefault="00FB6473" w:rsidP="0022267C">
      <w:pPr>
        <w:ind w:firstLine="0"/>
        <w:jc w:val="left"/>
        <w:rPr>
          <w:rFonts w:ascii="Verdana" w:hAnsi="Verdana"/>
          <w:sz w:val="20"/>
        </w:rPr>
      </w:pPr>
    </w:p>
    <w:p w14:paraId="2DC20316" w14:textId="13A21194" w:rsidR="00FB6473" w:rsidRPr="00566C64" w:rsidRDefault="00FB6473" w:rsidP="0022267C">
      <w:pPr>
        <w:ind w:firstLine="0"/>
        <w:jc w:val="left"/>
        <w:rPr>
          <w:rFonts w:ascii="Verdana" w:hAnsi="Verdana"/>
          <w:b/>
          <w:sz w:val="20"/>
        </w:rPr>
      </w:pPr>
      <w:r w:rsidRPr="00566C64">
        <w:rPr>
          <w:rFonts w:ascii="Verdana" w:hAnsi="Verdana"/>
          <w:b/>
          <w:sz w:val="20"/>
        </w:rPr>
        <w:t>Accounting treatment of gain on bargain purchase required by AASB</w:t>
      </w:r>
      <w:r w:rsidR="009C736E">
        <w:rPr>
          <w:rFonts w:ascii="Verdana" w:hAnsi="Verdana"/>
          <w:b/>
          <w:sz w:val="20"/>
        </w:rPr>
        <w:t xml:space="preserve"> </w:t>
      </w:r>
      <w:r w:rsidRPr="00566C64">
        <w:rPr>
          <w:rFonts w:ascii="Verdana" w:hAnsi="Verdana"/>
          <w:b/>
          <w:sz w:val="20"/>
        </w:rPr>
        <w:t>3</w:t>
      </w:r>
    </w:p>
    <w:p w14:paraId="06FD2BC0" w14:textId="5AE072F2" w:rsidR="00483A4F" w:rsidRDefault="00FF6982" w:rsidP="0022267C">
      <w:pPr>
        <w:ind w:firstLine="0"/>
        <w:jc w:val="left"/>
        <w:rPr>
          <w:rFonts w:ascii="Verdana" w:hAnsi="Verdana"/>
          <w:sz w:val="20"/>
        </w:rPr>
      </w:pPr>
      <w:r w:rsidRPr="00566C64">
        <w:rPr>
          <w:rFonts w:ascii="Verdana" w:hAnsi="Verdana"/>
          <w:sz w:val="20"/>
        </w:rPr>
        <w:t>The statement provided in the question correctly describes the accounting treatment of gain on bargain purchase required by AASB</w:t>
      </w:r>
      <w:r w:rsidR="009C736E">
        <w:rPr>
          <w:rFonts w:ascii="Verdana" w:hAnsi="Verdana"/>
          <w:sz w:val="20"/>
        </w:rPr>
        <w:t xml:space="preserve"> </w:t>
      </w:r>
      <w:r w:rsidRPr="00566C64">
        <w:rPr>
          <w:rFonts w:ascii="Verdana" w:hAnsi="Verdana"/>
          <w:sz w:val="20"/>
        </w:rPr>
        <w:t>3, although the description provided is incomplete.</w:t>
      </w:r>
      <w:r w:rsidR="0072710E" w:rsidRPr="00566C64">
        <w:rPr>
          <w:rFonts w:ascii="Verdana" w:hAnsi="Verdana"/>
          <w:sz w:val="20"/>
        </w:rPr>
        <w:t xml:space="preserve"> </w:t>
      </w:r>
      <w:r w:rsidRPr="00566C64">
        <w:rPr>
          <w:rFonts w:ascii="Verdana" w:hAnsi="Verdana"/>
          <w:sz w:val="20"/>
        </w:rPr>
        <w:t xml:space="preserve">Where the fair value of the </w:t>
      </w:r>
      <w:r w:rsidR="0042203C" w:rsidRPr="00566C64">
        <w:rPr>
          <w:rFonts w:ascii="Verdana" w:hAnsi="Verdana"/>
          <w:sz w:val="20"/>
        </w:rPr>
        <w:t xml:space="preserve">subsidiary’s net identifiable assets acquired by the parent </w:t>
      </w:r>
      <w:r w:rsidR="00483A4F" w:rsidRPr="00566C64">
        <w:rPr>
          <w:rFonts w:ascii="Verdana" w:hAnsi="Verdana"/>
          <w:sz w:val="20"/>
        </w:rPr>
        <w:t>exceeds</w:t>
      </w:r>
      <w:r w:rsidRPr="00566C64">
        <w:rPr>
          <w:rFonts w:ascii="Verdana" w:hAnsi="Verdana"/>
          <w:sz w:val="20"/>
        </w:rPr>
        <w:t xml:space="preserve"> </w:t>
      </w:r>
      <w:r w:rsidR="00483A4F" w:rsidRPr="00566C64">
        <w:rPr>
          <w:rFonts w:ascii="Verdana" w:hAnsi="Verdana"/>
          <w:sz w:val="20"/>
        </w:rPr>
        <w:t>the cost of a parent entity’s investment in a subsidiary, a gain on bargain purchase is</w:t>
      </w:r>
      <w:r w:rsidRPr="00566C64">
        <w:rPr>
          <w:rFonts w:ascii="Verdana" w:hAnsi="Verdana"/>
          <w:sz w:val="20"/>
        </w:rPr>
        <w:t xml:space="preserve"> </w:t>
      </w:r>
      <w:r w:rsidR="00483A4F" w:rsidRPr="00566C64">
        <w:rPr>
          <w:rFonts w:ascii="Verdana" w:hAnsi="Verdana"/>
          <w:sz w:val="20"/>
        </w:rPr>
        <w:t>identified</w:t>
      </w:r>
      <w:r w:rsidRPr="00566C64">
        <w:rPr>
          <w:rFonts w:ascii="Verdana" w:hAnsi="Verdana"/>
          <w:sz w:val="20"/>
        </w:rPr>
        <w:t>.</w:t>
      </w:r>
      <w:r w:rsidR="0072710E" w:rsidRPr="00566C64">
        <w:rPr>
          <w:rFonts w:ascii="Verdana" w:hAnsi="Verdana"/>
          <w:sz w:val="20"/>
        </w:rPr>
        <w:t xml:space="preserve"> </w:t>
      </w:r>
      <w:r w:rsidR="0042203C" w:rsidRPr="00566C64">
        <w:rPr>
          <w:rFonts w:ascii="Verdana" w:hAnsi="Verdana"/>
          <w:sz w:val="20"/>
        </w:rPr>
        <w:t>Where a gain on bargain purchase is identified, AASB</w:t>
      </w:r>
      <w:r w:rsidR="009C736E">
        <w:rPr>
          <w:rFonts w:ascii="Verdana" w:hAnsi="Verdana"/>
          <w:sz w:val="20"/>
        </w:rPr>
        <w:t xml:space="preserve"> </w:t>
      </w:r>
      <w:r w:rsidR="0042203C" w:rsidRPr="00566C64">
        <w:rPr>
          <w:rFonts w:ascii="Verdana" w:hAnsi="Verdana"/>
          <w:sz w:val="20"/>
        </w:rPr>
        <w:t>3</w:t>
      </w:r>
      <w:r w:rsidR="00CD1363" w:rsidRPr="00566C64">
        <w:rPr>
          <w:rFonts w:ascii="Verdana" w:hAnsi="Verdana"/>
          <w:sz w:val="20"/>
        </w:rPr>
        <w:t>.36</w:t>
      </w:r>
      <w:r w:rsidR="0042203C" w:rsidRPr="00566C64">
        <w:rPr>
          <w:rFonts w:ascii="Verdana" w:hAnsi="Verdana"/>
          <w:sz w:val="20"/>
        </w:rPr>
        <w:t xml:space="preserve"> requires the parent entity to review whether:</w:t>
      </w:r>
    </w:p>
    <w:p w14:paraId="6FA68E92" w14:textId="77777777" w:rsidR="007827EF" w:rsidRPr="00566C64" w:rsidRDefault="007827EF" w:rsidP="0022267C">
      <w:pPr>
        <w:ind w:firstLine="0"/>
        <w:jc w:val="left"/>
        <w:rPr>
          <w:rFonts w:ascii="Verdana" w:hAnsi="Verdana"/>
          <w:sz w:val="20"/>
        </w:rPr>
      </w:pPr>
    </w:p>
    <w:p w14:paraId="3984268A" w14:textId="4BB7FE32" w:rsidR="0042203C" w:rsidRPr="00566C64" w:rsidRDefault="00E1294C" w:rsidP="00E1294C">
      <w:pPr>
        <w:numPr>
          <w:ilvl w:val="0"/>
          <w:numId w:val="33"/>
        </w:numPr>
        <w:jc w:val="left"/>
        <w:rPr>
          <w:rFonts w:ascii="Verdana" w:hAnsi="Verdana"/>
          <w:sz w:val="20"/>
        </w:rPr>
      </w:pPr>
      <w:r>
        <w:rPr>
          <w:rFonts w:ascii="Verdana" w:hAnsi="Verdana"/>
          <w:sz w:val="20"/>
        </w:rPr>
        <w:t>A</w:t>
      </w:r>
      <w:r w:rsidR="0042203C" w:rsidRPr="00566C64">
        <w:rPr>
          <w:rFonts w:ascii="Verdana" w:hAnsi="Verdana"/>
          <w:sz w:val="20"/>
        </w:rPr>
        <w:t>ll the identifiable assets acquired and liabilities assumed were identified and recognised;</w:t>
      </w:r>
    </w:p>
    <w:p w14:paraId="1DC7420B" w14:textId="67ED3DA7" w:rsidR="0042203C" w:rsidRPr="00566C64" w:rsidRDefault="00E1294C" w:rsidP="0022267C">
      <w:pPr>
        <w:numPr>
          <w:ilvl w:val="0"/>
          <w:numId w:val="33"/>
        </w:numPr>
        <w:jc w:val="left"/>
        <w:rPr>
          <w:rFonts w:ascii="Verdana" w:hAnsi="Verdana"/>
          <w:sz w:val="20"/>
        </w:rPr>
      </w:pPr>
      <w:r>
        <w:rPr>
          <w:rFonts w:ascii="Verdana" w:hAnsi="Verdana"/>
          <w:sz w:val="20"/>
        </w:rPr>
        <w:t>T</w:t>
      </w:r>
      <w:r w:rsidR="0042203C" w:rsidRPr="00566C64">
        <w:rPr>
          <w:rFonts w:ascii="Verdana" w:hAnsi="Verdana"/>
          <w:sz w:val="20"/>
        </w:rPr>
        <w:t>he identifiable assets and liabilities were correctly measured at their fair value at acquisition date;</w:t>
      </w:r>
    </w:p>
    <w:p w14:paraId="003D6589" w14:textId="443FABDE" w:rsidR="0042203C" w:rsidRPr="00566C64" w:rsidRDefault="00E1294C" w:rsidP="0022267C">
      <w:pPr>
        <w:numPr>
          <w:ilvl w:val="0"/>
          <w:numId w:val="33"/>
        </w:numPr>
        <w:jc w:val="left"/>
        <w:rPr>
          <w:rFonts w:ascii="Verdana" w:hAnsi="Verdana"/>
          <w:sz w:val="20"/>
        </w:rPr>
      </w:pPr>
      <w:r>
        <w:rPr>
          <w:rFonts w:ascii="Verdana" w:hAnsi="Verdana"/>
          <w:sz w:val="20"/>
        </w:rPr>
        <w:t>T</w:t>
      </w:r>
      <w:r w:rsidR="0042203C" w:rsidRPr="00566C64">
        <w:rPr>
          <w:rFonts w:ascii="Verdana" w:hAnsi="Verdana"/>
          <w:sz w:val="20"/>
        </w:rPr>
        <w:t>he cost of investment in subsidiary has been correctly valued;</w:t>
      </w:r>
    </w:p>
    <w:p w14:paraId="4E6CDB76" w14:textId="758239CA" w:rsidR="0042203C" w:rsidRPr="00566C64" w:rsidRDefault="00E1294C" w:rsidP="0022267C">
      <w:pPr>
        <w:numPr>
          <w:ilvl w:val="0"/>
          <w:numId w:val="33"/>
        </w:numPr>
        <w:jc w:val="left"/>
        <w:rPr>
          <w:rFonts w:ascii="Verdana" w:hAnsi="Verdana"/>
          <w:sz w:val="20"/>
        </w:rPr>
      </w:pPr>
      <w:r>
        <w:rPr>
          <w:rFonts w:ascii="Verdana" w:hAnsi="Verdana"/>
          <w:sz w:val="20"/>
        </w:rPr>
        <w:t>A</w:t>
      </w:r>
      <w:r w:rsidR="0042203C" w:rsidRPr="00566C64">
        <w:rPr>
          <w:rFonts w:ascii="Verdana" w:hAnsi="Verdana"/>
          <w:sz w:val="20"/>
        </w:rPr>
        <w:t>ny non-controlling interest in the subsidiary has been correctly valued; and</w:t>
      </w:r>
    </w:p>
    <w:p w14:paraId="412C1B87" w14:textId="2B72D2CC" w:rsidR="0042203C" w:rsidRPr="00566C64" w:rsidRDefault="00E1294C" w:rsidP="0022267C">
      <w:pPr>
        <w:numPr>
          <w:ilvl w:val="0"/>
          <w:numId w:val="33"/>
        </w:numPr>
        <w:jc w:val="left"/>
        <w:rPr>
          <w:rFonts w:ascii="Verdana" w:hAnsi="Verdana"/>
          <w:sz w:val="20"/>
        </w:rPr>
      </w:pPr>
      <w:r>
        <w:rPr>
          <w:rFonts w:ascii="Verdana" w:hAnsi="Verdana"/>
          <w:sz w:val="20"/>
        </w:rPr>
        <w:t>W</w:t>
      </w:r>
      <w:r w:rsidR="0042203C" w:rsidRPr="00566C64">
        <w:rPr>
          <w:rFonts w:ascii="Verdana" w:hAnsi="Verdana"/>
          <w:sz w:val="20"/>
        </w:rPr>
        <w:t xml:space="preserve">here control of the subsidiary is achieved via several equity purchases </w:t>
      </w:r>
      <w:r w:rsidR="0015353B" w:rsidRPr="00566C64">
        <w:rPr>
          <w:rFonts w:ascii="Verdana" w:hAnsi="Verdana"/>
          <w:sz w:val="20"/>
        </w:rPr>
        <w:t>on different dates, the parent’</w:t>
      </w:r>
      <w:r w:rsidR="0042203C" w:rsidRPr="00566C64">
        <w:rPr>
          <w:rFonts w:ascii="Verdana" w:hAnsi="Verdana"/>
          <w:sz w:val="20"/>
        </w:rPr>
        <w:t>s equity in the subsidiary purchased prior to acquisition date has been correctly measured at fair value at acquisition date.</w:t>
      </w:r>
    </w:p>
    <w:p w14:paraId="4F033666" w14:textId="77777777" w:rsidR="00E1294C" w:rsidRDefault="00E1294C" w:rsidP="0022267C">
      <w:pPr>
        <w:ind w:firstLine="0"/>
        <w:jc w:val="left"/>
        <w:rPr>
          <w:rFonts w:ascii="Verdana" w:hAnsi="Verdana"/>
          <w:sz w:val="20"/>
        </w:rPr>
      </w:pPr>
    </w:p>
    <w:p w14:paraId="5428F437" w14:textId="2D5FCB33" w:rsidR="00483A4F" w:rsidRPr="00566C64" w:rsidRDefault="0042203C" w:rsidP="0022267C">
      <w:pPr>
        <w:ind w:firstLine="0"/>
        <w:jc w:val="left"/>
        <w:rPr>
          <w:rFonts w:ascii="Verdana" w:hAnsi="Verdana"/>
          <w:sz w:val="20"/>
        </w:rPr>
      </w:pPr>
      <w:r w:rsidRPr="00566C64">
        <w:rPr>
          <w:rFonts w:ascii="Verdana" w:hAnsi="Verdana"/>
          <w:sz w:val="20"/>
        </w:rPr>
        <w:t>If</w:t>
      </w:r>
      <w:r w:rsidR="004432A0" w:rsidRPr="00566C64">
        <w:rPr>
          <w:rFonts w:ascii="Verdana" w:hAnsi="Verdana"/>
          <w:sz w:val="20"/>
        </w:rPr>
        <w:t xml:space="preserve"> a gain on bargain purchase remains</w:t>
      </w:r>
      <w:r w:rsidR="00F00466" w:rsidRPr="00EB2DCE">
        <w:rPr>
          <w:rFonts w:ascii="Verdana" w:hAnsi="Verdana"/>
          <w:sz w:val="20"/>
        </w:rPr>
        <w:t xml:space="preserve"> </w:t>
      </w:r>
      <w:r w:rsidR="00F00466" w:rsidRPr="00566C64">
        <w:rPr>
          <w:rFonts w:ascii="Verdana" w:hAnsi="Verdana"/>
          <w:sz w:val="20"/>
        </w:rPr>
        <w:t>after conducting the review required by AASB</w:t>
      </w:r>
      <w:r w:rsidR="00F00466">
        <w:rPr>
          <w:rFonts w:ascii="Verdana" w:hAnsi="Verdana"/>
          <w:sz w:val="20"/>
        </w:rPr>
        <w:t xml:space="preserve"> </w:t>
      </w:r>
      <w:r w:rsidR="00F00466" w:rsidRPr="00566C64">
        <w:rPr>
          <w:rFonts w:ascii="Verdana" w:hAnsi="Verdana"/>
          <w:sz w:val="20"/>
        </w:rPr>
        <w:t>3.36</w:t>
      </w:r>
      <w:r w:rsidR="004432A0" w:rsidRPr="00566C64">
        <w:rPr>
          <w:rFonts w:ascii="Verdana" w:hAnsi="Verdana"/>
          <w:sz w:val="20"/>
        </w:rPr>
        <w:t xml:space="preserve">, </w:t>
      </w:r>
      <w:r w:rsidR="00FF6982" w:rsidRPr="00566C64">
        <w:rPr>
          <w:rFonts w:ascii="Verdana" w:hAnsi="Verdana"/>
          <w:sz w:val="20"/>
        </w:rPr>
        <w:t>AASB</w:t>
      </w:r>
      <w:r w:rsidR="009C736E">
        <w:rPr>
          <w:rFonts w:ascii="Verdana" w:hAnsi="Verdana"/>
          <w:sz w:val="20"/>
        </w:rPr>
        <w:t xml:space="preserve"> </w:t>
      </w:r>
      <w:r w:rsidR="00FF6982" w:rsidRPr="00566C64">
        <w:rPr>
          <w:rFonts w:ascii="Verdana" w:hAnsi="Verdana"/>
          <w:sz w:val="20"/>
        </w:rPr>
        <w:t>3</w:t>
      </w:r>
      <w:r w:rsidR="00CD1363" w:rsidRPr="00566C64">
        <w:rPr>
          <w:rFonts w:ascii="Verdana" w:hAnsi="Verdana"/>
          <w:sz w:val="20"/>
        </w:rPr>
        <w:t>.34</w:t>
      </w:r>
      <w:r w:rsidR="00FF6982" w:rsidRPr="00566C64">
        <w:rPr>
          <w:rFonts w:ascii="Verdana" w:hAnsi="Verdana"/>
          <w:sz w:val="20"/>
        </w:rPr>
        <w:t xml:space="preserve"> requires </w:t>
      </w:r>
      <w:r w:rsidR="004432A0" w:rsidRPr="00566C64">
        <w:rPr>
          <w:rFonts w:ascii="Verdana" w:hAnsi="Verdana"/>
          <w:sz w:val="20"/>
        </w:rPr>
        <w:t xml:space="preserve">the </w:t>
      </w:r>
      <w:r w:rsidR="00FF6982" w:rsidRPr="00566C64">
        <w:rPr>
          <w:rFonts w:ascii="Verdana" w:hAnsi="Verdana"/>
          <w:sz w:val="20"/>
        </w:rPr>
        <w:t>g</w:t>
      </w:r>
      <w:r w:rsidR="00483A4F" w:rsidRPr="00566C64">
        <w:rPr>
          <w:rFonts w:ascii="Verdana" w:hAnsi="Verdana"/>
          <w:sz w:val="20"/>
        </w:rPr>
        <w:t xml:space="preserve">ain on bargain purchase </w:t>
      </w:r>
      <w:r w:rsidR="00FF6982" w:rsidRPr="00566C64">
        <w:rPr>
          <w:rFonts w:ascii="Verdana" w:hAnsi="Verdana"/>
          <w:sz w:val="20"/>
        </w:rPr>
        <w:t>to be recognised as a</w:t>
      </w:r>
      <w:r w:rsidR="00483A4F" w:rsidRPr="00566C64">
        <w:rPr>
          <w:rFonts w:ascii="Verdana" w:hAnsi="Verdana"/>
          <w:sz w:val="20"/>
        </w:rPr>
        <w:t xml:space="preserve"> gain</w:t>
      </w:r>
      <w:r w:rsidR="00E65806" w:rsidRPr="00566C64">
        <w:rPr>
          <w:rFonts w:ascii="Verdana" w:hAnsi="Verdana"/>
          <w:sz w:val="20"/>
        </w:rPr>
        <w:t xml:space="preserve"> on acquisition date,</w:t>
      </w:r>
      <w:r w:rsidR="00483A4F" w:rsidRPr="00566C64">
        <w:rPr>
          <w:rFonts w:ascii="Verdana" w:hAnsi="Verdana"/>
          <w:sz w:val="20"/>
        </w:rPr>
        <w:t xml:space="preserve"> in </w:t>
      </w:r>
      <w:r w:rsidR="004432A0" w:rsidRPr="00566C64">
        <w:rPr>
          <w:rFonts w:ascii="Verdana" w:hAnsi="Verdana"/>
          <w:sz w:val="20"/>
        </w:rPr>
        <w:t>the consolidated statement</w:t>
      </w:r>
      <w:r w:rsidR="00FB3729" w:rsidRPr="00566C64">
        <w:rPr>
          <w:rFonts w:ascii="Verdana" w:hAnsi="Verdana"/>
          <w:sz w:val="20"/>
        </w:rPr>
        <w:t xml:space="preserve"> of comprehensive </w:t>
      </w:r>
      <w:r w:rsidR="00FB3729" w:rsidRPr="00566C64">
        <w:rPr>
          <w:rFonts w:ascii="Verdana" w:hAnsi="Verdana"/>
          <w:sz w:val="20"/>
        </w:rPr>
        <w:lastRenderedPageBreak/>
        <w:t>income</w:t>
      </w:r>
      <w:r w:rsidR="004432A0" w:rsidRPr="00566C64">
        <w:rPr>
          <w:rFonts w:ascii="Verdana" w:hAnsi="Verdana"/>
          <w:sz w:val="20"/>
        </w:rPr>
        <w:t>.</w:t>
      </w:r>
    </w:p>
    <w:p w14:paraId="422DCA95" w14:textId="77777777" w:rsidR="00483A4F" w:rsidRPr="00566C64" w:rsidRDefault="00483A4F" w:rsidP="0022267C">
      <w:pPr>
        <w:ind w:firstLine="0"/>
        <w:jc w:val="left"/>
        <w:rPr>
          <w:rFonts w:ascii="Verdana" w:hAnsi="Verdana"/>
          <w:sz w:val="20"/>
        </w:rPr>
      </w:pPr>
    </w:p>
    <w:p w14:paraId="71C17F7B" w14:textId="3CA66B69" w:rsidR="00FB6473" w:rsidRPr="00566C64" w:rsidRDefault="00FB6473" w:rsidP="0022267C">
      <w:pPr>
        <w:ind w:firstLine="0"/>
        <w:jc w:val="left"/>
        <w:rPr>
          <w:rFonts w:ascii="Verdana" w:hAnsi="Verdana"/>
          <w:b/>
          <w:sz w:val="20"/>
        </w:rPr>
      </w:pPr>
      <w:r w:rsidRPr="00566C64">
        <w:rPr>
          <w:rFonts w:ascii="Verdana" w:hAnsi="Verdana"/>
          <w:b/>
          <w:sz w:val="20"/>
        </w:rPr>
        <w:t>Rationale for the accounting treatment of gain on bargain purchase required by AASB</w:t>
      </w:r>
      <w:r w:rsidR="009C736E">
        <w:rPr>
          <w:rFonts w:ascii="Verdana" w:hAnsi="Verdana"/>
          <w:b/>
          <w:sz w:val="20"/>
        </w:rPr>
        <w:t xml:space="preserve"> </w:t>
      </w:r>
      <w:r w:rsidRPr="00566C64">
        <w:rPr>
          <w:rFonts w:ascii="Verdana" w:hAnsi="Verdana"/>
          <w:b/>
          <w:sz w:val="20"/>
        </w:rPr>
        <w:t>3</w:t>
      </w:r>
    </w:p>
    <w:p w14:paraId="27448B38" w14:textId="57737DE6" w:rsidR="00B36641" w:rsidRPr="00566C64" w:rsidRDefault="00A039DF" w:rsidP="0022267C">
      <w:pPr>
        <w:ind w:firstLine="0"/>
        <w:jc w:val="left"/>
        <w:rPr>
          <w:rFonts w:ascii="Verdana" w:hAnsi="Verdana"/>
          <w:sz w:val="20"/>
        </w:rPr>
      </w:pPr>
      <w:r w:rsidRPr="00566C64">
        <w:rPr>
          <w:rFonts w:ascii="Verdana" w:hAnsi="Verdana"/>
          <w:sz w:val="20"/>
        </w:rPr>
        <w:t>The requirement of AASB</w:t>
      </w:r>
      <w:r w:rsidR="009C736E">
        <w:rPr>
          <w:rFonts w:ascii="Verdana" w:hAnsi="Verdana"/>
          <w:sz w:val="20"/>
        </w:rPr>
        <w:t xml:space="preserve"> </w:t>
      </w:r>
      <w:r w:rsidRPr="00566C64">
        <w:rPr>
          <w:rFonts w:ascii="Verdana" w:hAnsi="Verdana"/>
          <w:sz w:val="20"/>
        </w:rPr>
        <w:t>3 to review the calculation of a gain on bargain purchase, where a gain</w:t>
      </w:r>
      <w:r w:rsidR="00E4347A" w:rsidRPr="00566C64">
        <w:rPr>
          <w:rFonts w:ascii="Verdana" w:hAnsi="Verdana"/>
          <w:sz w:val="20"/>
        </w:rPr>
        <w:t xml:space="preserve"> on bargain purchase</w:t>
      </w:r>
      <w:r w:rsidRPr="00566C64">
        <w:rPr>
          <w:rFonts w:ascii="Verdana" w:hAnsi="Verdana"/>
          <w:sz w:val="20"/>
        </w:rPr>
        <w:t xml:space="preserve"> is identified, is most likely </w:t>
      </w:r>
      <w:r w:rsidR="00E4347A" w:rsidRPr="00566C64">
        <w:rPr>
          <w:rFonts w:ascii="Verdana" w:hAnsi="Verdana"/>
          <w:sz w:val="20"/>
        </w:rPr>
        <w:t xml:space="preserve">attributable to </w:t>
      </w:r>
      <w:r w:rsidRPr="00566C64">
        <w:rPr>
          <w:rFonts w:ascii="Verdana" w:hAnsi="Verdana"/>
          <w:sz w:val="20"/>
        </w:rPr>
        <w:t xml:space="preserve">the </w:t>
      </w:r>
      <w:r w:rsidR="00E4347A" w:rsidRPr="00566C64">
        <w:rPr>
          <w:rFonts w:ascii="Verdana" w:hAnsi="Verdana"/>
          <w:sz w:val="20"/>
        </w:rPr>
        <w:t xml:space="preserve">very low </w:t>
      </w:r>
      <w:r w:rsidRPr="00566C64">
        <w:rPr>
          <w:rFonts w:ascii="Verdana" w:hAnsi="Verdana"/>
          <w:sz w:val="20"/>
        </w:rPr>
        <w:t xml:space="preserve">probability of </w:t>
      </w:r>
      <w:r w:rsidR="00E4347A" w:rsidRPr="00566C64">
        <w:rPr>
          <w:rFonts w:ascii="Verdana" w:hAnsi="Verdana"/>
          <w:sz w:val="20"/>
        </w:rPr>
        <w:t xml:space="preserve">the </w:t>
      </w:r>
      <w:r w:rsidRPr="00566C64">
        <w:rPr>
          <w:rFonts w:ascii="Verdana" w:hAnsi="Verdana"/>
          <w:sz w:val="20"/>
        </w:rPr>
        <w:t xml:space="preserve">fair value of </w:t>
      </w:r>
      <w:r w:rsidR="00E4347A" w:rsidRPr="00566C64">
        <w:rPr>
          <w:rFonts w:ascii="Verdana" w:hAnsi="Verdana"/>
          <w:sz w:val="20"/>
        </w:rPr>
        <w:t>the</w:t>
      </w:r>
      <w:r w:rsidRPr="00566C64">
        <w:rPr>
          <w:rFonts w:ascii="Verdana" w:hAnsi="Verdana"/>
          <w:sz w:val="20"/>
        </w:rPr>
        <w:t xml:space="preserve"> subsidiary’s net identifiable assets acquired by the parent exceed</w:t>
      </w:r>
      <w:r w:rsidR="00E4347A" w:rsidRPr="00566C64">
        <w:rPr>
          <w:rFonts w:ascii="Verdana" w:hAnsi="Verdana"/>
          <w:sz w:val="20"/>
        </w:rPr>
        <w:t xml:space="preserve">ing </w:t>
      </w:r>
      <w:r w:rsidRPr="00566C64">
        <w:rPr>
          <w:rFonts w:ascii="Verdana" w:hAnsi="Verdana"/>
          <w:sz w:val="20"/>
        </w:rPr>
        <w:t>the cost of a parent entity’s investment in a subsidiary</w:t>
      </w:r>
      <w:r w:rsidR="00E4347A" w:rsidRPr="00566C64">
        <w:rPr>
          <w:rFonts w:ascii="Verdana" w:hAnsi="Verdana"/>
          <w:sz w:val="20"/>
        </w:rPr>
        <w:t>.</w:t>
      </w:r>
      <w:r w:rsidR="0072710E" w:rsidRPr="00566C64">
        <w:rPr>
          <w:rFonts w:ascii="Verdana" w:hAnsi="Verdana"/>
          <w:sz w:val="20"/>
        </w:rPr>
        <w:t xml:space="preserve"> </w:t>
      </w:r>
      <w:r w:rsidR="00E4347A" w:rsidRPr="00566C64">
        <w:rPr>
          <w:rFonts w:ascii="Verdana" w:hAnsi="Verdana"/>
          <w:sz w:val="20"/>
        </w:rPr>
        <w:t>No other AASB accounting standard requires calculations to be reassessed.</w:t>
      </w:r>
    </w:p>
    <w:p w14:paraId="0B9DAECD" w14:textId="77777777" w:rsidR="00166CF3" w:rsidRPr="00566C64" w:rsidRDefault="00166CF3" w:rsidP="0022267C">
      <w:pPr>
        <w:ind w:firstLine="0"/>
        <w:jc w:val="left"/>
        <w:rPr>
          <w:rFonts w:ascii="Verdana" w:hAnsi="Verdana"/>
          <w:sz w:val="20"/>
        </w:rPr>
      </w:pPr>
    </w:p>
    <w:p w14:paraId="3B479E94" w14:textId="77777777" w:rsidR="00E4347A" w:rsidRPr="00566C64" w:rsidRDefault="00E4347A" w:rsidP="0022267C">
      <w:pPr>
        <w:ind w:firstLine="0"/>
        <w:jc w:val="left"/>
        <w:rPr>
          <w:rFonts w:ascii="Verdana" w:hAnsi="Verdana"/>
          <w:sz w:val="20"/>
        </w:rPr>
      </w:pPr>
      <w:r w:rsidRPr="00566C64">
        <w:rPr>
          <w:rFonts w:ascii="Verdana" w:hAnsi="Verdana"/>
          <w:sz w:val="20"/>
        </w:rPr>
        <w:t xml:space="preserve">Where the parent entity has been able to acquire its investment in the subsidiary for a cost less than the fair value of the subsidiary’s net identifiable assets acquired, the parent has obtained an immediate gain, which should be recognised in </w:t>
      </w:r>
      <w:r w:rsidR="00E65806" w:rsidRPr="00566C64">
        <w:rPr>
          <w:rFonts w:ascii="Verdana" w:hAnsi="Verdana"/>
          <w:sz w:val="20"/>
        </w:rPr>
        <w:t xml:space="preserve">consolidated </w:t>
      </w:r>
      <w:r w:rsidR="00393827" w:rsidRPr="00566C64">
        <w:rPr>
          <w:rFonts w:ascii="Verdana" w:hAnsi="Verdana"/>
          <w:sz w:val="20"/>
        </w:rPr>
        <w:t>profit or loss</w:t>
      </w:r>
      <w:r w:rsidR="00E65806" w:rsidRPr="00566C64">
        <w:rPr>
          <w:rFonts w:ascii="Verdana" w:hAnsi="Verdana"/>
          <w:sz w:val="20"/>
        </w:rPr>
        <w:t>.</w:t>
      </w:r>
    </w:p>
    <w:p w14:paraId="459B5EC5" w14:textId="77777777" w:rsidR="00E4347A" w:rsidRPr="00566C64" w:rsidRDefault="00E4347A" w:rsidP="0022267C">
      <w:pPr>
        <w:ind w:firstLine="0"/>
        <w:jc w:val="left"/>
        <w:rPr>
          <w:rFonts w:ascii="Verdana" w:hAnsi="Verdana"/>
          <w:sz w:val="20"/>
        </w:rPr>
      </w:pPr>
    </w:p>
    <w:p w14:paraId="748F7E96" w14:textId="77777777" w:rsidR="00566C64" w:rsidRDefault="00566C64" w:rsidP="0022267C">
      <w:pPr>
        <w:ind w:firstLine="0"/>
        <w:jc w:val="left"/>
        <w:rPr>
          <w:rFonts w:ascii="Verdana" w:hAnsi="Verdana"/>
          <w:b/>
          <w:sz w:val="20"/>
        </w:rPr>
      </w:pPr>
    </w:p>
    <w:p w14:paraId="3FF82439" w14:textId="40801E8C" w:rsidR="00E22522" w:rsidRPr="00B84BA4" w:rsidRDefault="00E22522" w:rsidP="0022267C">
      <w:pPr>
        <w:ind w:firstLine="0"/>
        <w:jc w:val="left"/>
        <w:rPr>
          <w:rFonts w:ascii="Verdana" w:hAnsi="Verdana"/>
          <w:b/>
          <w:i/>
          <w:sz w:val="20"/>
        </w:rPr>
      </w:pPr>
      <w:r w:rsidRPr="0022267C">
        <w:rPr>
          <w:rFonts w:ascii="Verdana" w:hAnsi="Verdana"/>
          <w:b/>
          <w:i/>
          <w:sz w:val="20"/>
        </w:rPr>
        <w:t>Q2.9</w:t>
      </w:r>
      <w:r w:rsidRPr="006A7D68">
        <w:rPr>
          <w:rFonts w:ascii="Verdana" w:hAnsi="Verdana"/>
          <w:b/>
          <w:i/>
          <w:sz w:val="20"/>
        </w:rPr>
        <w:t xml:space="preserve"> </w:t>
      </w:r>
      <w:r w:rsidR="0047081A" w:rsidRPr="0022267C">
        <w:rPr>
          <w:rFonts w:ascii="Verdana" w:hAnsi="Verdana"/>
          <w:b/>
          <w:i/>
          <w:sz w:val="20"/>
        </w:rPr>
        <w:t>Investment elimination</w:t>
      </w:r>
      <w:r w:rsidR="00B36641" w:rsidRPr="0022267C">
        <w:rPr>
          <w:rFonts w:ascii="Verdana" w:hAnsi="Verdana"/>
          <w:b/>
          <w:i/>
          <w:sz w:val="20"/>
        </w:rPr>
        <w:t xml:space="preserve"> entry</w:t>
      </w:r>
      <w:r w:rsidR="0015353B" w:rsidRPr="006A7D68">
        <w:rPr>
          <w:rFonts w:ascii="Verdana" w:hAnsi="Verdana"/>
          <w:b/>
          <w:i/>
          <w:sz w:val="20"/>
        </w:rPr>
        <w:t xml:space="preserve"> (S</w:t>
      </w:r>
      <w:r w:rsidR="0047081A" w:rsidRPr="006A7D68">
        <w:rPr>
          <w:rFonts w:ascii="Verdana" w:hAnsi="Verdana"/>
          <w:b/>
          <w:i/>
          <w:sz w:val="20"/>
        </w:rPr>
        <w:t>ection 2.3)</w:t>
      </w:r>
    </w:p>
    <w:p w14:paraId="2D926F8E" w14:textId="77777777" w:rsidR="00E22522" w:rsidRPr="00566C64" w:rsidRDefault="00E22522" w:rsidP="0022267C">
      <w:pPr>
        <w:ind w:firstLine="0"/>
        <w:jc w:val="left"/>
        <w:rPr>
          <w:rFonts w:ascii="Verdana" w:hAnsi="Verdana"/>
          <w:sz w:val="20"/>
        </w:rPr>
      </w:pPr>
    </w:p>
    <w:p w14:paraId="65CE740C" w14:textId="77777777" w:rsidR="0047081A" w:rsidRPr="00566C64" w:rsidRDefault="0047081A" w:rsidP="0022267C">
      <w:pPr>
        <w:ind w:firstLine="0"/>
        <w:jc w:val="left"/>
        <w:rPr>
          <w:rFonts w:ascii="Verdana" w:hAnsi="Verdana"/>
          <w:b/>
          <w:sz w:val="20"/>
        </w:rPr>
      </w:pPr>
      <w:r w:rsidRPr="00566C64">
        <w:rPr>
          <w:rFonts w:ascii="Verdana" w:hAnsi="Verdana"/>
          <w:b/>
          <w:sz w:val="20"/>
        </w:rPr>
        <w:t>Investment elimination entry</w:t>
      </w:r>
    </w:p>
    <w:p w14:paraId="3C46EBEB" w14:textId="71E66E87" w:rsidR="0047081A" w:rsidRPr="00566C64" w:rsidRDefault="001C0B58" w:rsidP="0022267C">
      <w:pPr>
        <w:ind w:firstLine="0"/>
        <w:jc w:val="left"/>
        <w:rPr>
          <w:rFonts w:ascii="Verdana" w:hAnsi="Verdana"/>
          <w:sz w:val="20"/>
        </w:rPr>
      </w:pPr>
      <w:r w:rsidRPr="00566C64">
        <w:rPr>
          <w:rFonts w:ascii="Verdana" w:hAnsi="Verdana"/>
          <w:sz w:val="20"/>
        </w:rPr>
        <w:t>The investment elimination entry refers to the consolidation worksheet adjusting entry which eliminates the parent entity’s investment in subsidiary asset against the pre-acquisition equity of the subsidiary acquired by the parent on acquisition date.</w:t>
      </w:r>
      <w:r w:rsidR="0072710E" w:rsidRPr="00566C64">
        <w:rPr>
          <w:rFonts w:ascii="Verdana" w:hAnsi="Verdana"/>
          <w:sz w:val="20"/>
        </w:rPr>
        <w:t xml:space="preserve"> </w:t>
      </w:r>
      <w:r w:rsidRPr="00566C64">
        <w:rPr>
          <w:rFonts w:ascii="Verdana" w:hAnsi="Verdana"/>
          <w:sz w:val="20"/>
        </w:rPr>
        <w:t xml:space="preserve">Any difference between </w:t>
      </w:r>
      <w:r w:rsidR="00692E34" w:rsidRPr="00566C64">
        <w:rPr>
          <w:rFonts w:ascii="Verdana" w:hAnsi="Verdana"/>
          <w:sz w:val="20"/>
        </w:rPr>
        <w:t xml:space="preserve">the cost of the parent’s investment in subsidiary and the </w:t>
      </w:r>
      <w:r w:rsidR="009E1DA8" w:rsidRPr="00566C64">
        <w:rPr>
          <w:rFonts w:ascii="Verdana" w:hAnsi="Verdana"/>
          <w:sz w:val="20"/>
        </w:rPr>
        <w:t xml:space="preserve">fair value of the subsidiary’s </w:t>
      </w:r>
      <w:r w:rsidR="00692E34" w:rsidRPr="00566C64">
        <w:rPr>
          <w:rFonts w:ascii="Verdana" w:hAnsi="Verdana"/>
          <w:sz w:val="20"/>
        </w:rPr>
        <w:t>equity acquired by the parent on acquisition date is recognised as either goodwill or gain on bargain purchase.</w:t>
      </w:r>
    </w:p>
    <w:p w14:paraId="07D55E02" w14:textId="77777777" w:rsidR="001C0B58" w:rsidRPr="00566C64" w:rsidRDefault="001C0B58" w:rsidP="0022267C">
      <w:pPr>
        <w:ind w:firstLine="0"/>
        <w:jc w:val="left"/>
        <w:rPr>
          <w:rFonts w:ascii="Verdana" w:hAnsi="Verdana"/>
          <w:sz w:val="20"/>
        </w:rPr>
      </w:pPr>
    </w:p>
    <w:p w14:paraId="1F8418B8" w14:textId="77777777" w:rsidR="0047081A" w:rsidRPr="00566C64" w:rsidRDefault="00C17CB0" w:rsidP="0022267C">
      <w:pPr>
        <w:ind w:firstLine="0"/>
        <w:jc w:val="left"/>
        <w:rPr>
          <w:rFonts w:ascii="Verdana" w:hAnsi="Verdana"/>
          <w:b/>
          <w:sz w:val="20"/>
        </w:rPr>
      </w:pPr>
      <w:r w:rsidRPr="00566C64">
        <w:rPr>
          <w:rFonts w:ascii="Verdana" w:hAnsi="Verdana"/>
          <w:b/>
          <w:sz w:val="20"/>
        </w:rPr>
        <w:t>Repeating investment elimination entry in successive reporting periods</w:t>
      </w:r>
    </w:p>
    <w:p w14:paraId="29B501D8" w14:textId="13745B46" w:rsidR="001D6741" w:rsidRPr="00566C64" w:rsidRDefault="00692E34" w:rsidP="0022267C">
      <w:pPr>
        <w:ind w:firstLine="0"/>
        <w:jc w:val="left"/>
        <w:rPr>
          <w:rFonts w:ascii="Verdana" w:hAnsi="Verdana"/>
          <w:sz w:val="20"/>
        </w:rPr>
      </w:pPr>
      <w:r w:rsidRPr="00566C64">
        <w:rPr>
          <w:rFonts w:ascii="Verdana" w:hAnsi="Verdana"/>
          <w:sz w:val="20"/>
        </w:rPr>
        <w:t>The investment elimination entry is repeated in consolidation worksheets in each successive reporting period because consolidation worksheet adjusting entries do not carry forward from one reporting period to the next</w:t>
      </w:r>
      <w:r w:rsidR="00C034D0" w:rsidRPr="00566C64">
        <w:rPr>
          <w:rFonts w:ascii="Verdana" w:hAnsi="Verdana"/>
          <w:sz w:val="20"/>
        </w:rPr>
        <w:t xml:space="preserve">, as they are </w:t>
      </w:r>
      <w:r w:rsidR="001D6741" w:rsidRPr="00566C64">
        <w:rPr>
          <w:rFonts w:ascii="Verdana" w:hAnsi="Verdana"/>
          <w:sz w:val="20"/>
        </w:rPr>
        <w:t>not posted to the accounts of either the parent entity or its subsidiaries.</w:t>
      </w:r>
      <w:r w:rsidR="0072710E" w:rsidRPr="00566C64">
        <w:rPr>
          <w:rFonts w:ascii="Verdana" w:hAnsi="Verdana"/>
          <w:sz w:val="20"/>
        </w:rPr>
        <w:t xml:space="preserve"> </w:t>
      </w:r>
      <w:r w:rsidR="001D6741" w:rsidRPr="00566C64">
        <w:rPr>
          <w:rFonts w:ascii="Verdana" w:hAnsi="Verdana"/>
          <w:sz w:val="20"/>
        </w:rPr>
        <w:t xml:space="preserve">At each </w:t>
      </w:r>
      <w:r w:rsidR="003C5C9C" w:rsidRPr="00566C64">
        <w:rPr>
          <w:rFonts w:ascii="Verdana" w:hAnsi="Verdana"/>
          <w:sz w:val="20"/>
        </w:rPr>
        <w:t>reporting/</w:t>
      </w:r>
      <w:r w:rsidR="001D6741" w:rsidRPr="00566C64">
        <w:rPr>
          <w:rFonts w:ascii="Verdana" w:hAnsi="Verdana"/>
          <w:sz w:val="20"/>
        </w:rPr>
        <w:t>consolidation date, the consolidation commences with the accounts of the parent entity and its subsidiaries at that date</w:t>
      </w:r>
      <w:r w:rsidR="00BD5132">
        <w:rPr>
          <w:rFonts w:ascii="Verdana" w:hAnsi="Verdana"/>
          <w:sz w:val="20"/>
        </w:rPr>
        <w:t xml:space="preserve">, </w:t>
      </w:r>
      <w:r w:rsidR="001D6741" w:rsidRPr="00566C64">
        <w:rPr>
          <w:rFonts w:ascii="Verdana" w:hAnsi="Verdana"/>
          <w:sz w:val="20"/>
        </w:rPr>
        <w:t>which do not include the consolidation adjusting entries of previous reporting periods.</w:t>
      </w:r>
      <w:r w:rsidR="0072710E" w:rsidRPr="00566C64">
        <w:rPr>
          <w:rFonts w:ascii="Verdana" w:hAnsi="Verdana"/>
          <w:sz w:val="20"/>
        </w:rPr>
        <w:t xml:space="preserve"> </w:t>
      </w:r>
      <w:r w:rsidR="001D6741" w:rsidRPr="00566C64">
        <w:rPr>
          <w:rFonts w:ascii="Verdana" w:hAnsi="Verdana"/>
          <w:sz w:val="20"/>
        </w:rPr>
        <w:t>Where consolidation worksheet adjusting entries from the previous reporting period are still relevant in the current reporting period, they are repeated in the current period consolidation.</w:t>
      </w:r>
    </w:p>
    <w:p w14:paraId="20147B63" w14:textId="77777777" w:rsidR="001D6741" w:rsidRPr="00566C64" w:rsidRDefault="001D6741" w:rsidP="0022267C">
      <w:pPr>
        <w:ind w:firstLine="0"/>
        <w:jc w:val="left"/>
        <w:rPr>
          <w:rFonts w:ascii="Verdana" w:hAnsi="Verdana"/>
          <w:sz w:val="20"/>
        </w:rPr>
      </w:pPr>
    </w:p>
    <w:p w14:paraId="4CCE361E" w14:textId="71DE54A8" w:rsidR="00692E34" w:rsidRPr="00566C64" w:rsidRDefault="00C034D0" w:rsidP="0022267C">
      <w:pPr>
        <w:ind w:firstLine="0"/>
        <w:jc w:val="left"/>
        <w:rPr>
          <w:rFonts w:ascii="Verdana" w:hAnsi="Verdana"/>
          <w:sz w:val="20"/>
        </w:rPr>
      </w:pPr>
      <w:r w:rsidRPr="00566C64">
        <w:rPr>
          <w:rFonts w:ascii="Verdana" w:hAnsi="Verdana"/>
          <w:sz w:val="20"/>
        </w:rPr>
        <w:t>The group as a whole has no separate accounting records, and in particular has no ledger.</w:t>
      </w:r>
      <w:r w:rsidR="0072710E" w:rsidRPr="00566C64">
        <w:rPr>
          <w:rFonts w:ascii="Verdana" w:hAnsi="Verdana"/>
          <w:sz w:val="20"/>
        </w:rPr>
        <w:t xml:space="preserve"> </w:t>
      </w:r>
      <w:r w:rsidRPr="00566C64">
        <w:rPr>
          <w:rFonts w:ascii="Verdana" w:hAnsi="Verdana"/>
          <w:sz w:val="20"/>
        </w:rPr>
        <w:t>Consolidation worksheet adjusting entries are prepared at the end of each reporting period and posted to the consolidation worksheet, which is used to prepare consolidated financial statements.</w:t>
      </w:r>
      <w:r w:rsidR="0072710E" w:rsidRPr="00566C64">
        <w:rPr>
          <w:rFonts w:ascii="Verdana" w:hAnsi="Verdana"/>
          <w:sz w:val="20"/>
        </w:rPr>
        <w:t xml:space="preserve"> </w:t>
      </w:r>
    </w:p>
    <w:p w14:paraId="1DFEFCBC" w14:textId="77777777" w:rsidR="001C0B58" w:rsidRPr="00566C64" w:rsidRDefault="001C0B58" w:rsidP="0022267C">
      <w:pPr>
        <w:ind w:firstLine="0"/>
        <w:jc w:val="left"/>
        <w:rPr>
          <w:rFonts w:ascii="Verdana" w:hAnsi="Verdana"/>
          <w:sz w:val="20"/>
        </w:rPr>
      </w:pPr>
    </w:p>
    <w:p w14:paraId="5A3277FC" w14:textId="77777777" w:rsidR="001C0B58" w:rsidRPr="00566C64" w:rsidRDefault="001C0B58" w:rsidP="0022267C">
      <w:pPr>
        <w:ind w:firstLine="0"/>
        <w:jc w:val="left"/>
        <w:rPr>
          <w:rFonts w:ascii="Verdana" w:hAnsi="Verdana"/>
          <w:b/>
          <w:sz w:val="20"/>
        </w:rPr>
      </w:pPr>
      <w:r w:rsidRPr="00566C64">
        <w:rPr>
          <w:rFonts w:ascii="Verdana" w:hAnsi="Verdana"/>
          <w:b/>
          <w:sz w:val="20"/>
        </w:rPr>
        <w:t>Events which cause the investment elimination entry to alter from one reporting period to the next</w:t>
      </w:r>
    </w:p>
    <w:p w14:paraId="5D31E785" w14:textId="1C55F23F" w:rsidR="001C0B58" w:rsidRPr="00566C64" w:rsidRDefault="00687652" w:rsidP="0022267C">
      <w:pPr>
        <w:ind w:firstLine="0"/>
        <w:jc w:val="left"/>
        <w:rPr>
          <w:rFonts w:ascii="Verdana" w:hAnsi="Verdana"/>
          <w:sz w:val="20"/>
        </w:rPr>
      </w:pPr>
      <w:r w:rsidRPr="00566C64">
        <w:rPr>
          <w:rFonts w:ascii="Verdana" w:hAnsi="Verdana"/>
          <w:sz w:val="20"/>
        </w:rPr>
        <w:t xml:space="preserve">The investment elimination entry in the current reporting period will differ from the investment elimination entry in </w:t>
      </w:r>
      <w:r w:rsidR="00BD5132">
        <w:rPr>
          <w:rFonts w:ascii="Verdana" w:hAnsi="Verdana"/>
          <w:sz w:val="20"/>
        </w:rPr>
        <w:t xml:space="preserve">the </w:t>
      </w:r>
      <w:r w:rsidRPr="00566C64">
        <w:rPr>
          <w:rFonts w:ascii="Verdana" w:hAnsi="Verdana"/>
          <w:sz w:val="20"/>
        </w:rPr>
        <w:t xml:space="preserve">preceding reporting period, where pre-acquisition retained earnings has been transferred to a reserve, or where a bonus share issue has capitalised </w:t>
      </w:r>
      <w:r w:rsidR="001435E9" w:rsidRPr="00566C64">
        <w:rPr>
          <w:rFonts w:ascii="Verdana" w:hAnsi="Verdana"/>
          <w:sz w:val="20"/>
        </w:rPr>
        <w:t xml:space="preserve">part of </w:t>
      </w:r>
      <w:r w:rsidRPr="00566C64">
        <w:rPr>
          <w:rFonts w:ascii="Verdana" w:hAnsi="Verdana"/>
          <w:sz w:val="20"/>
        </w:rPr>
        <w:t>pre-acquisition equity.</w:t>
      </w:r>
    </w:p>
    <w:p w14:paraId="5E8BC583" w14:textId="77777777" w:rsidR="00687652" w:rsidRPr="00566C64" w:rsidRDefault="00687652" w:rsidP="0022267C">
      <w:pPr>
        <w:ind w:firstLine="0"/>
        <w:jc w:val="left"/>
        <w:rPr>
          <w:rFonts w:ascii="Verdana" w:hAnsi="Verdana"/>
          <w:sz w:val="20"/>
        </w:rPr>
      </w:pPr>
    </w:p>
    <w:p w14:paraId="33251785" w14:textId="4F3F633E" w:rsidR="00687652" w:rsidRPr="00566C64" w:rsidRDefault="00687652" w:rsidP="0022267C">
      <w:pPr>
        <w:ind w:firstLine="0"/>
        <w:jc w:val="left"/>
        <w:rPr>
          <w:rFonts w:ascii="Verdana" w:hAnsi="Verdana"/>
          <w:sz w:val="20"/>
        </w:rPr>
      </w:pPr>
      <w:r w:rsidRPr="00566C64">
        <w:rPr>
          <w:rFonts w:ascii="Verdana" w:hAnsi="Verdana"/>
          <w:sz w:val="20"/>
        </w:rPr>
        <w:t>The transfer of pre-acquisition retained profits to a reserve, and a bonus share issue funded from pre-acquisition equity, ha</w:t>
      </w:r>
      <w:r w:rsidR="00BD5132">
        <w:rPr>
          <w:rFonts w:ascii="Verdana" w:hAnsi="Verdana"/>
          <w:sz w:val="20"/>
        </w:rPr>
        <w:t>ve</w:t>
      </w:r>
      <w:r w:rsidRPr="00566C64">
        <w:rPr>
          <w:rFonts w:ascii="Verdana" w:hAnsi="Verdana"/>
          <w:sz w:val="20"/>
        </w:rPr>
        <w:t xml:space="preserve"> the effect of transferring </w:t>
      </w:r>
      <w:r w:rsidR="001435E9" w:rsidRPr="00566C64">
        <w:rPr>
          <w:rFonts w:ascii="Verdana" w:hAnsi="Verdana"/>
          <w:sz w:val="20"/>
        </w:rPr>
        <w:t xml:space="preserve">part of </w:t>
      </w:r>
      <w:r w:rsidRPr="00566C64">
        <w:rPr>
          <w:rFonts w:ascii="Verdana" w:hAnsi="Verdana"/>
          <w:sz w:val="20"/>
        </w:rPr>
        <w:t>pre-acquisition equity from one equity account of the subsidiary to another equity account of the subsidiary.</w:t>
      </w:r>
      <w:r w:rsidR="0072710E" w:rsidRPr="00566C64">
        <w:rPr>
          <w:rFonts w:ascii="Verdana" w:hAnsi="Verdana"/>
          <w:sz w:val="20"/>
        </w:rPr>
        <w:t xml:space="preserve"> </w:t>
      </w:r>
      <w:r w:rsidR="001435E9" w:rsidRPr="00566C64">
        <w:rPr>
          <w:rFonts w:ascii="Verdana" w:hAnsi="Verdana"/>
          <w:sz w:val="20"/>
        </w:rPr>
        <w:t xml:space="preserve">The transfer of part of pre-acquisition equity from one equity account to another equity account will require corresponding changes in the amounts debited (or credited) to these equity accounts in the investment </w:t>
      </w:r>
      <w:r w:rsidR="001435E9" w:rsidRPr="00566C64">
        <w:rPr>
          <w:rFonts w:ascii="Verdana" w:hAnsi="Verdana"/>
          <w:sz w:val="20"/>
        </w:rPr>
        <w:lastRenderedPageBreak/>
        <w:t>elimination entry.</w:t>
      </w:r>
      <w:r w:rsidR="0072710E" w:rsidRPr="00566C64">
        <w:rPr>
          <w:rFonts w:ascii="Verdana" w:hAnsi="Verdana"/>
          <w:sz w:val="20"/>
        </w:rPr>
        <w:t xml:space="preserve"> </w:t>
      </w:r>
      <w:r w:rsidR="001435E9" w:rsidRPr="00566C64">
        <w:rPr>
          <w:rFonts w:ascii="Verdana" w:hAnsi="Verdana"/>
          <w:sz w:val="20"/>
        </w:rPr>
        <w:t xml:space="preserve">The investment elimination entry must reflect the classification of pre-acquisition equity at </w:t>
      </w:r>
      <w:r w:rsidR="003C5C9C" w:rsidRPr="00566C64">
        <w:rPr>
          <w:rFonts w:ascii="Verdana" w:hAnsi="Verdana"/>
          <w:sz w:val="20"/>
        </w:rPr>
        <w:t>reporting/</w:t>
      </w:r>
      <w:r w:rsidR="001435E9" w:rsidRPr="00566C64">
        <w:rPr>
          <w:rFonts w:ascii="Verdana" w:hAnsi="Verdana"/>
          <w:sz w:val="20"/>
        </w:rPr>
        <w:t>consolidation date</w:t>
      </w:r>
      <w:r w:rsidR="00032730" w:rsidRPr="00566C64">
        <w:rPr>
          <w:rFonts w:ascii="Verdana" w:hAnsi="Verdana"/>
          <w:sz w:val="20"/>
        </w:rPr>
        <w:t xml:space="preserve">, rather than the classification in the preceding reporting period (or </w:t>
      </w:r>
      <w:r w:rsidR="00065E1D" w:rsidRPr="00566C64">
        <w:rPr>
          <w:rFonts w:ascii="Verdana" w:hAnsi="Verdana"/>
          <w:sz w:val="20"/>
        </w:rPr>
        <w:t xml:space="preserve">at </w:t>
      </w:r>
      <w:r w:rsidR="00032730" w:rsidRPr="00566C64">
        <w:rPr>
          <w:rFonts w:ascii="Verdana" w:hAnsi="Verdana"/>
          <w:sz w:val="20"/>
        </w:rPr>
        <w:t>acquisition date).</w:t>
      </w:r>
    </w:p>
    <w:p w14:paraId="3104167E" w14:textId="77777777" w:rsidR="00687652" w:rsidRPr="00566C64" w:rsidRDefault="00687652" w:rsidP="0022267C">
      <w:pPr>
        <w:ind w:firstLine="0"/>
        <w:jc w:val="left"/>
        <w:rPr>
          <w:rFonts w:ascii="Verdana" w:hAnsi="Verdana"/>
          <w:sz w:val="20"/>
        </w:rPr>
      </w:pPr>
    </w:p>
    <w:p w14:paraId="04DFBD10" w14:textId="77777777" w:rsidR="00032730" w:rsidRPr="00566C64" w:rsidRDefault="00032730" w:rsidP="0022267C">
      <w:pPr>
        <w:ind w:firstLine="0"/>
        <w:jc w:val="left"/>
        <w:rPr>
          <w:rFonts w:ascii="Verdana" w:hAnsi="Verdana"/>
          <w:sz w:val="20"/>
        </w:rPr>
      </w:pPr>
    </w:p>
    <w:p w14:paraId="1664C7C3" w14:textId="4B1297DE" w:rsidR="00741FD5" w:rsidRPr="00B84BA4" w:rsidRDefault="00741FD5" w:rsidP="0022267C">
      <w:pPr>
        <w:ind w:firstLine="0"/>
        <w:jc w:val="left"/>
        <w:rPr>
          <w:rFonts w:ascii="Verdana" w:hAnsi="Verdana"/>
          <w:b/>
          <w:i/>
          <w:sz w:val="20"/>
        </w:rPr>
      </w:pPr>
      <w:r w:rsidRPr="0022267C">
        <w:rPr>
          <w:rFonts w:ascii="Verdana" w:hAnsi="Verdana"/>
          <w:b/>
          <w:i/>
          <w:sz w:val="20"/>
        </w:rPr>
        <w:t>Q2.10</w:t>
      </w:r>
      <w:r w:rsidRPr="00B84BA4">
        <w:rPr>
          <w:rFonts w:ascii="Verdana" w:hAnsi="Verdana"/>
          <w:b/>
          <w:i/>
          <w:sz w:val="20"/>
        </w:rPr>
        <w:t xml:space="preserve"> </w:t>
      </w:r>
      <w:r w:rsidRPr="0022267C">
        <w:rPr>
          <w:rFonts w:ascii="Verdana" w:hAnsi="Verdana"/>
          <w:b/>
          <w:i/>
          <w:sz w:val="20"/>
        </w:rPr>
        <w:t>Dividends</w:t>
      </w:r>
      <w:r w:rsidR="00F43A7E" w:rsidRPr="00B84BA4">
        <w:rPr>
          <w:rFonts w:ascii="Verdana" w:hAnsi="Verdana"/>
          <w:b/>
          <w:i/>
          <w:sz w:val="20"/>
        </w:rPr>
        <w:t xml:space="preserve"> (Section 2.3.3)</w:t>
      </w:r>
    </w:p>
    <w:p w14:paraId="3350391D" w14:textId="77777777" w:rsidR="00E22522" w:rsidRPr="00566C64" w:rsidRDefault="00E22522" w:rsidP="0022267C">
      <w:pPr>
        <w:ind w:firstLine="0"/>
        <w:jc w:val="left"/>
        <w:rPr>
          <w:rFonts w:ascii="Verdana" w:hAnsi="Verdana"/>
          <w:sz w:val="20"/>
        </w:rPr>
      </w:pPr>
    </w:p>
    <w:p w14:paraId="27ABECFF" w14:textId="77777777" w:rsidR="0047081A" w:rsidRPr="00566C64" w:rsidRDefault="0047081A" w:rsidP="0022267C">
      <w:pPr>
        <w:ind w:firstLine="0"/>
        <w:jc w:val="left"/>
        <w:rPr>
          <w:rFonts w:ascii="Verdana" w:hAnsi="Verdana"/>
          <w:b/>
          <w:sz w:val="20"/>
        </w:rPr>
      </w:pPr>
      <w:r w:rsidRPr="00566C64">
        <w:rPr>
          <w:rFonts w:ascii="Verdana" w:hAnsi="Verdana"/>
          <w:b/>
          <w:sz w:val="20"/>
        </w:rPr>
        <w:t>Cum-dividend</w:t>
      </w:r>
    </w:p>
    <w:p w14:paraId="09AFB5DA" w14:textId="295CD843" w:rsidR="007A56BF" w:rsidRPr="00566C64" w:rsidRDefault="008E6570" w:rsidP="0022267C">
      <w:pPr>
        <w:ind w:firstLine="0"/>
        <w:jc w:val="left"/>
        <w:rPr>
          <w:rFonts w:ascii="Verdana" w:hAnsi="Verdana"/>
          <w:sz w:val="20"/>
        </w:rPr>
      </w:pPr>
      <w:r w:rsidRPr="00566C64">
        <w:rPr>
          <w:rFonts w:ascii="Verdana" w:hAnsi="Verdana"/>
          <w:sz w:val="20"/>
        </w:rPr>
        <w:t xml:space="preserve">If shares in a new subsidiary are acquired </w:t>
      </w:r>
      <w:r w:rsidRPr="004C7EBC">
        <w:rPr>
          <w:rFonts w:ascii="Verdana" w:hAnsi="Verdana"/>
          <w:i/>
          <w:sz w:val="20"/>
        </w:rPr>
        <w:t>cum</w:t>
      </w:r>
      <w:r w:rsidR="004C7EBC" w:rsidRPr="0022267C">
        <w:rPr>
          <w:rFonts w:ascii="Verdana" w:hAnsi="Verdana"/>
          <w:i/>
          <w:sz w:val="20"/>
        </w:rPr>
        <w:t>-</w:t>
      </w:r>
      <w:r w:rsidRPr="004C7EBC">
        <w:rPr>
          <w:rFonts w:ascii="Verdana" w:hAnsi="Verdana"/>
          <w:i/>
          <w:sz w:val="20"/>
        </w:rPr>
        <w:t>dividend</w:t>
      </w:r>
      <w:r w:rsidRPr="00566C64">
        <w:rPr>
          <w:rFonts w:ascii="Verdana" w:hAnsi="Verdana"/>
          <w:sz w:val="20"/>
        </w:rPr>
        <w:t xml:space="preserve">, </w:t>
      </w:r>
      <w:r w:rsidR="007A56BF" w:rsidRPr="00566C64">
        <w:rPr>
          <w:rFonts w:ascii="Verdana" w:hAnsi="Verdana"/>
          <w:sz w:val="20"/>
        </w:rPr>
        <w:t xml:space="preserve">the </w:t>
      </w:r>
      <w:r w:rsidR="00741FD5" w:rsidRPr="00566C64">
        <w:rPr>
          <w:rFonts w:ascii="Verdana" w:hAnsi="Verdana"/>
          <w:sz w:val="20"/>
        </w:rPr>
        <w:t xml:space="preserve">right to </w:t>
      </w:r>
      <w:r w:rsidR="00C51846" w:rsidRPr="00566C64">
        <w:rPr>
          <w:rFonts w:ascii="Verdana" w:hAnsi="Verdana"/>
          <w:sz w:val="20"/>
        </w:rPr>
        <w:t xml:space="preserve">receive </w:t>
      </w:r>
      <w:r w:rsidRPr="00566C64">
        <w:rPr>
          <w:rFonts w:ascii="Verdana" w:hAnsi="Verdana"/>
          <w:sz w:val="20"/>
        </w:rPr>
        <w:t>the</w:t>
      </w:r>
      <w:r w:rsidR="00741FD5" w:rsidRPr="00566C64">
        <w:rPr>
          <w:rFonts w:ascii="Verdana" w:hAnsi="Verdana"/>
          <w:sz w:val="20"/>
        </w:rPr>
        <w:t xml:space="preserve"> dividend declared but not paid </w:t>
      </w:r>
      <w:r w:rsidR="00C51846" w:rsidRPr="00566C64">
        <w:rPr>
          <w:rFonts w:ascii="Verdana" w:hAnsi="Verdana"/>
          <w:sz w:val="20"/>
        </w:rPr>
        <w:t xml:space="preserve">by the subsidiary at acquisition date </w:t>
      </w:r>
      <w:r w:rsidR="00741FD5" w:rsidRPr="00566C64">
        <w:rPr>
          <w:rFonts w:ascii="Verdana" w:hAnsi="Verdana"/>
          <w:sz w:val="20"/>
        </w:rPr>
        <w:t xml:space="preserve">accrues to the </w:t>
      </w:r>
      <w:r w:rsidR="00C51846" w:rsidRPr="00566C64">
        <w:rPr>
          <w:rFonts w:ascii="Verdana" w:hAnsi="Verdana"/>
          <w:sz w:val="20"/>
        </w:rPr>
        <w:t>new shareholder of the subsidiary, the parent entity.</w:t>
      </w:r>
      <w:r w:rsidR="0072710E" w:rsidRPr="00566C64">
        <w:rPr>
          <w:rFonts w:ascii="Verdana" w:hAnsi="Verdana"/>
          <w:sz w:val="20"/>
        </w:rPr>
        <w:t xml:space="preserve"> </w:t>
      </w:r>
      <w:r w:rsidRPr="00566C64">
        <w:rPr>
          <w:rFonts w:ascii="Verdana" w:hAnsi="Verdana"/>
          <w:sz w:val="20"/>
        </w:rPr>
        <w:t>The dividend declared but not yet paid by the subsidiary at acquisition date forms part of what is purchased by the new parent entity.</w:t>
      </w:r>
    </w:p>
    <w:p w14:paraId="34E01D0D" w14:textId="77777777" w:rsidR="007A56BF" w:rsidRPr="00566C64" w:rsidRDefault="007A56BF" w:rsidP="0022267C">
      <w:pPr>
        <w:ind w:firstLine="0"/>
        <w:jc w:val="left"/>
        <w:rPr>
          <w:rFonts w:ascii="Verdana" w:hAnsi="Verdana"/>
          <w:sz w:val="20"/>
        </w:rPr>
      </w:pPr>
    </w:p>
    <w:p w14:paraId="14C73FB0" w14:textId="77777777" w:rsidR="0047081A" w:rsidRPr="00566C64" w:rsidRDefault="0047081A" w:rsidP="0022267C">
      <w:pPr>
        <w:ind w:firstLine="0"/>
        <w:jc w:val="left"/>
        <w:rPr>
          <w:rFonts w:ascii="Verdana" w:hAnsi="Verdana"/>
          <w:b/>
          <w:sz w:val="20"/>
        </w:rPr>
      </w:pPr>
      <w:r w:rsidRPr="00566C64">
        <w:rPr>
          <w:rFonts w:ascii="Verdana" w:hAnsi="Verdana"/>
          <w:b/>
          <w:sz w:val="20"/>
        </w:rPr>
        <w:t>Ex-dividend</w:t>
      </w:r>
    </w:p>
    <w:p w14:paraId="3AE2ECC0" w14:textId="00645E65" w:rsidR="008E6570" w:rsidRPr="00566C64" w:rsidRDefault="00C51846" w:rsidP="0022267C">
      <w:pPr>
        <w:ind w:firstLine="0"/>
        <w:jc w:val="left"/>
        <w:rPr>
          <w:rFonts w:ascii="Verdana" w:hAnsi="Verdana"/>
          <w:sz w:val="20"/>
        </w:rPr>
      </w:pPr>
      <w:r w:rsidRPr="00566C64">
        <w:rPr>
          <w:rFonts w:ascii="Verdana" w:hAnsi="Verdana"/>
          <w:sz w:val="20"/>
        </w:rPr>
        <w:t>Alternatively, i</w:t>
      </w:r>
      <w:r w:rsidR="00741FD5" w:rsidRPr="00566C64">
        <w:rPr>
          <w:rFonts w:ascii="Verdana" w:hAnsi="Verdana"/>
          <w:sz w:val="20"/>
        </w:rPr>
        <w:t xml:space="preserve">f shares in a </w:t>
      </w:r>
      <w:r w:rsidR="007A56BF" w:rsidRPr="00566C64">
        <w:rPr>
          <w:rFonts w:ascii="Verdana" w:hAnsi="Verdana"/>
          <w:sz w:val="20"/>
        </w:rPr>
        <w:t>new subsidiary</w:t>
      </w:r>
      <w:r w:rsidR="00741FD5" w:rsidRPr="00566C64">
        <w:rPr>
          <w:rFonts w:ascii="Verdana" w:hAnsi="Verdana"/>
          <w:sz w:val="20"/>
        </w:rPr>
        <w:t xml:space="preserve"> are acquired </w:t>
      </w:r>
      <w:r w:rsidR="00741FD5" w:rsidRPr="004C7EBC">
        <w:rPr>
          <w:rFonts w:ascii="Verdana" w:hAnsi="Verdana"/>
          <w:i/>
          <w:sz w:val="20"/>
        </w:rPr>
        <w:t>ex</w:t>
      </w:r>
      <w:r w:rsidR="004C7EBC" w:rsidRPr="0022267C">
        <w:rPr>
          <w:rFonts w:ascii="Verdana" w:hAnsi="Verdana"/>
          <w:i/>
          <w:sz w:val="20"/>
        </w:rPr>
        <w:t>-</w:t>
      </w:r>
      <w:r w:rsidR="00741FD5" w:rsidRPr="004C7EBC">
        <w:rPr>
          <w:rFonts w:ascii="Verdana" w:hAnsi="Verdana"/>
          <w:i/>
          <w:sz w:val="20"/>
        </w:rPr>
        <w:t>div</w:t>
      </w:r>
      <w:r w:rsidR="007A56BF" w:rsidRPr="004C7EBC">
        <w:rPr>
          <w:rFonts w:ascii="Verdana" w:hAnsi="Verdana"/>
          <w:i/>
          <w:sz w:val="20"/>
        </w:rPr>
        <w:t>idend</w:t>
      </w:r>
      <w:r w:rsidR="00741FD5" w:rsidRPr="00566C64">
        <w:rPr>
          <w:rFonts w:ascii="Verdana" w:hAnsi="Verdana"/>
          <w:sz w:val="20"/>
        </w:rPr>
        <w:t xml:space="preserve">, right to </w:t>
      </w:r>
      <w:r w:rsidR="008E6570" w:rsidRPr="00566C64">
        <w:rPr>
          <w:rFonts w:ascii="Verdana" w:hAnsi="Verdana"/>
          <w:sz w:val="20"/>
        </w:rPr>
        <w:t xml:space="preserve">receive the dividend </w:t>
      </w:r>
      <w:r w:rsidR="00741FD5" w:rsidRPr="00566C64">
        <w:rPr>
          <w:rFonts w:ascii="Verdana" w:hAnsi="Verdana"/>
          <w:sz w:val="20"/>
        </w:rPr>
        <w:t xml:space="preserve">declared but not paid </w:t>
      </w:r>
      <w:r w:rsidRPr="00566C64">
        <w:rPr>
          <w:rFonts w:ascii="Verdana" w:hAnsi="Verdana"/>
          <w:sz w:val="20"/>
        </w:rPr>
        <w:t xml:space="preserve">by the subsidiary at acquisition date </w:t>
      </w:r>
      <w:r w:rsidR="00741FD5" w:rsidRPr="00566C64">
        <w:rPr>
          <w:rFonts w:ascii="Verdana" w:hAnsi="Verdana"/>
          <w:sz w:val="20"/>
        </w:rPr>
        <w:t xml:space="preserve">remains with the </w:t>
      </w:r>
      <w:r w:rsidRPr="00566C64">
        <w:rPr>
          <w:rFonts w:ascii="Verdana" w:hAnsi="Verdana"/>
          <w:sz w:val="20"/>
        </w:rPr>
        <w:t xml:space="preserve">former </w:t>
      </w:r>
      <w:r w:rsidR="00741FD5" w:rsidRPr="00566C64">
        <w:rPr>
          <w:rFonts w:ascii="Verdana" w:hAnsi="Verdana"/>
          <w:sz w:val="20"/>
        </w:rPr>
        <w:t xml:space="preserve">shareholders of the </w:t>
      </w:r>
      <w:r w:rsidR="008E6570" w:rsidRPr="00566C64">
        <w:rPr>
          <w:rFonts w:ascii="Verdana" w:hAnsi="Verdana"/>
          <w:sz w:val="20"/>
        </w:rPr>
        <w:t>subsidiary.</w:t>
      </w:r>
      <w:r w:rsidR="0072710E" w:rsidRPr="00566C64">
        <w:rPr>
          <w:rFonts w:ascii="Verdana" w:hAnsi="Verdana"/>
          <w:sz w:val="20"/>
        </w:rPr>
        <w:t xml:space="preserve"> </w:t>
      </w:r>
      <w:r w:rsidR="008E6570" w:rsidRPr="00566C64">
        <w:rPr>
          <w:rFonts w:ascii="Verdana" w:hAnsi="Verdana"/>
          <w:sz w:val="20"/>
        </w:rPr>
        <w:t>The dividend declared but not yet paid by the subsidiary at acquisition date, is not purchased by the new parent entity.</w:t>
      </w:r>
    </w:p>
    <w:p w14:paraId="2EA142DD" w14:textId="77777777" w:rsidR="008E6570" w:rsidRPr="00566C64" w:rsidRDefault="008E6570" w:rsidP="0022267C">
      <w:pPr>
        <w:ind w:firstLine="0"/>
        <w:jc w:val="left"/>
        <w:rPr>
          <w:rFonts w:ascii="Verdana" w:hAnsi="Verdana"/>
          <w:sz w:val="20"/>
        </w:rPr>
      </w:pPr>
    </w:p>
    <w:p w14:paraId="7B8EEC34" w14:textId="77777777" w:rsidR="00566C64" w:rsidRDefault="00566C64" w:rsidP="0022267C">
      <w:pPr>
        <w:ind w:firstLine="0"/>
        <w:jc w:val="left"/>
        <w:rPr>
          <w:rFonts w:ascii="Verdana" w:hAnsi="Verdana"/>
          <w:b/>
          <w:sz w:val="20"/>
        </w:rPr>
      </w:pPr>
    </w:p>
    <w:p w14:paraId="35087184" w14:textId="0DA69D71" w:rsidR="00B6679D" w:rsidRPr="00B84BA4" w:rsidRDefault="00B6679D" w:rsidP="0022267C">
      <w:pPr>
        <w:ind w:firstLine="0"/>
        <w:jc w:val="left"/>
        <w:rPr>
          <w:rFonts w:ascii="Verdana" w:hAnsi="Verdana"/>
          <w:b/>
          <w:i/>
          <w:sz w:val="20"/>
        </w:rPr>
      </w:pPr>
      <w:r w:rsidRPr="0022267C">
        <w:rPr>
          <w:rFonts w:ascii="Verdana" w:hAnsi="Verdana"/>
          <w:b/>
          <w:i/>
          <w:sz w:val="20"/>
        </w:rPr>
        <w:t>Q2.11</w:t>
      </w:r>
      <w:r w:rsidRPr="00B84BA4">
        <w:rPr>
          <w:rFonts w:ascii="Verdana" w:hAnsi="Verdana"/>
          <w:b/>
          <w:i/>
          <w:sz w:val="20"/>
        </w:rPr>
        <w:t xml:space="preserve"> </w:t>
      </w:r>
      <w:r w:rsidRPr="0022267C">
        <w:rPr>
          <w:rFonts w:ascii="Verdana" w:hAnsi="Verdana"/>
          <w:b/>
          <w:i/>
          <w:sz w:val="20"/>
        </w:rPr>
        <w:t>Accounting periods and accounting policies</w:t>
      </w:r>
      <w:r w:rsidRPr="00B84BA4">
        <w:rPr>
          <w:rFonts w:ascii="Verdana" w:hAnsi="Verdana"/>
          <w:b/>
          <w:i/>
          <w:sz w:val="20"/>
        </w:rPr>
        <w:t xml:space="preserve"> (Section 2.2.4)</w:t>
      </w:r>
    </w:p>
    <w:p w14:paraId="1FF79AB7" w14:textId="77777777" w:rsidR="00B6679D" w:rsidRPr="00566C64" w:rsidRDefault="00B6679D" w:rsidP="0022267C">
      <w:pPr>
        <w:ind w:firstLine="0"/>
        <w:jc w:val="left"/>
        <w:rPr>
          <w:rFonts w:ascii="Verdana" w:hAnsi="Verdana"/>
          <w:sz w:val="20"/>
        </w:rPr>
      </w:pPr>
    </w:p>
    <w:p w14:paraId="78F71613" w14:textId="2585F5BA" w:rsidR="009A6CE7" w:rsidRPr="00A33194" w:rsidRDefault="009A6CE7" w:rsidP="0022267C">
      <w:pPr>
        <w:numPr>
          <w:ilvl w:val="0"/>
          <w:numId w:val="37"/>
        </w:numPr>
        <w:jc w:val="left"/>
        <w:rPr>
          <w:rFonts w:ascii="Verdana" w:hAnsi="Verdana"/>
          <w:sz w:val="20"/>
        </w:rPr>
      </w:pPr>
      <w:r w:rsidRPr="00A33194">
        <w:rPr>
          <w:rFonts w:ascii="Verdana" w:hAnsi="Verdana"/>
          <w:sz w:val="20"/>
        </w:rPr>
        <w:t xml:space="preserve">Different </w:t>
      </w:r>
      <w:r w:rsidR="00257D07" w:rsidRPr="00A33194">
        <w:rPr>
          <w:rFonts w:ascii="Verdana" w:hAnsi="Verdana"/>
          <w:sz w:val="20"/>
        </w:rPr>
        <w:t>r</w:t>
      </w:r>
      <w:r w:rsidRPr="00A33194">
        <w:rPr>
          <w:rFonts w:ascii="Verdana" w:hAnsi="Verdana"/>
          <w:sz w:val="20"/>
        </w:rPr>
        <w:t>eporting dates of Gisela Ltd and Joao Ltd</w:t>
      </w:r>
    </w:p>
    <w:p w14:paraId="3A16CE90" w14:textId="3A91F6A9" w:rsidR="009A6CE7" w:rsidRPr="00566C64" w:rsidRDefault="00531EF1" w:rsidP="006F5149">
      <w:pPr>
        <w:ind w:left="360" w:firstLine="0"/>
        <w:jc w:val="left"/>
        <w:rPr>
          <w:rFonts w:ascii="Verdana" w:hAnsi="Verdana"/>
          <w:sz w:val="20"/>
        </w:rPr>
      </w:pPr>
      <w:r w:rsidRPr="00566C64">
        <w:rPr>
          <w:rFonts w:ascii="Verdana" w:hAnsi="Verdana"/>
          <w:sz w:val="20"/>
        </w:rPr>
        <w:t xml:space="preserve">The </w:t>
      </w:r>
      <w:r w:rsidRPr="00566C64">
        <w:rPr>
          <w:rFonts w:ascii="Verdana" w:hAnsi="Verdana"/>
          <w:i/>
          <w:iCs/>
          <w:sz w:val="20"/>
        </w:rPr>
        <w:t>Corporations Act</w:t>
      </w:r>
      <w:r w:rsidR="00FE4BA6">
        <w:rPr>
          <w:rFonts w:ascii="Verdana" w:hAnsi="Verdana"/>
          <w:i/>
          <w:iCs/>
          <w:sz w:val="20"/>
        </w:rPr>
        <w:t xml:space="preserve"> 2011</w:t>
      </w:r>
      <w:r w:rsidRPr="00566C64">
        <w:rPr>
          <w:rFonts w:ascii="Verdana" w:hAnsi="Verdana"/>
          <w:i/>
          <w:iCs/>
          <w:sz w:val="20"/>
        </w:rPr>
        <w:t xml:space="preserve"> </w:t>
      </w:r>
      <w:r w:rsidRPr="00566C64">
        <w:rPr>
          <w:rFonts w:ascii="Verdana" w:hAnsi="Verdana"/>
          <w:sz w:val="20"/>
        </w:rPr>
        <w:t xml:space="preserve">s. 323D(3) requires a parent entity that must prepare consolidated financial statements to do whatever is necessary to ensure that the financial years of all subsidiaries have the same financial year period as the parent entity. Synchronisation of financial years must occur within 12 months of acquiring a subsidiary. To assist with synchronisation, the financial year of a newly acquired subsidiary may be extended or shortened, but cannot be longer than 18 months (s. 323D(4)). </w:t>
      </w:r>
      <w:r w:rsidR="009A6CE7" w:rsidRPr="00566C64">
        <w:rPr>
          <w:rFonts w:ascii="Verdana" w:hAnsi="Verdana"/>
          <w:sz w:val="20"/>
        </w:rPr>
        <w:t>The</w:t>
      </w:r>
      <w:r w:rsidRPr="00566C64">
        <w:rPr>
          <w:rFonts w:ascii="Verdana" w:hAnsi="Verdana"/>
          <w:sz w:val="20"/>
        </w:rPr>
        <w:t>refore</w:t>
      </w:r>
      <w:r w:rsidR="00AF2816">
        <w:rPr>
          <w:rFonts w:ascii="Verdana" w:hAnsi="Verdana"/>
          <w:sz w:val="20"/>
        </w:rPr>
        <w:t>,</w:t>
      </w:r>
      <w:r w:rsidRPr="00566C64">
        <w:rPr>
          <w:rFonts w:ascii="Verdana" w:hAnsi="Verdana"/>
          <w:sz w:val="20"/>
        </w:rPr>
        <w:t xml:space="preserve"> the</w:t>
      </w:r>
      <w:r w:rsidR="009A6CE7" w:rsidRPr="00566C64">
        <w:rPr>
          <w:rFonts w:ascii="Verdana" w:hAnsi="Verdana"/>
          <w:sz w:val="20"/>
        </w:rPr>
        <w:t xml:space="preserve"> </w:t>
      </w:r>
      <w:r w:rsidR="007E7D0E" w:rsidRPr="00566C64">
        <w:rPr>
          <w:rFonts w:ascii="Verdana" w:hAnsi="Verdana"/>
          <w:i/>
          <w:iCs/>
          <w:sz w:val="20"/>
        </w:rPr>
        <w:t xml:space="preserve">Corporations Act </w:t>
      </w:r>
      <w:r w:rsidR="007E7D0E" w:rsidRPr="00566C64">
        <w:rPr>
          <w:rFonts w:ascii="Verdana" w:hAnsi="Verdana"/>
          <w:iCs/>
          <w:sz w:val="20"/>
        </w:rPr>
        <w:t>requires that the</w:t>
      </w:r>
      <w:r w:rsidR="007E7D0E" w:rsidRPr="00566C64">
        <w:rPr>
          <w:rFonts w:ascii="Verdana" w:hAnsi="Verdana"/>
          <w:i/>
          <w:iCs/>
          <w:sz w:val="20"/>
        </w:rPr>
        <w:t xml:space="preserve"> </w:t>
      </w:r>
      <w:r w:rsidRPr="00566C64">
        <w:rPr>
          <w:rFonts w:ascii="Verdana" w:hAnsi="Verdana"/>
          <w:sz w:val="20"/>
        </w:rPr>
        <w:t>r</w:t>
      </w:r>
      <w:r w:rsidR="009A6CE7" w:rsidRPr="00566C64">
        <w:rPr>
          <w:rFonts w:ascii="Verdana" w:hAnsi="Verdana"/>
          <w:sz w:val="20"/>
        </w:rPr>
        <w:t xml:space="preserve">eporting </w:t>
      </w:r>
      <w:r w:rsidRPr="00566C64">
        <w:rPr>
          <w:rFonts w:ascii="Verdana" w:hAnsi="Verdana"/>
          <w:sz w:val="20"/>
        </w:rPr>
        <w:t>d</w:t>
      </w:r>
      <w:r w:rsidR="009A6CE7" w:rsidRPr="00566C64">
        <w:rPr>
          <w:rFonts w:ascii="Verdana" w:hAnsi="Verdana"/>
          <w:sz w:val="20"/>
        </w:rPr>
        <w:t xml:space="preserve">ate of </w:t>
      </w:r>
      <w:r w:rsidRPr="00566C64">
        <w:rPr>
          <w:rFonts w:ascii="Verdana" w:hAnsi="Verdana"/>
          <w:sz w:val="20"/>
        </w:rPr>
        <w:t>Joao</w:t>
      </w:r>
      <w:r w:rsidR="009A6CE7" w:rsidRPr="00566C64">
        <w:rPr>
          <w:rFonts w:ascii="Verdana" w:hAnsi="Verdana"/>
          <w:sz w:val="20"/>
        </w:rPr>
        <w:t xml:space="preserve"> Ltd be changed to 30 June so that the reporting date and financial year of </w:t>
      </w:r>
      <w:r w:rsidRPr="00566C64">
        <w:rPr>
          <w:rFonts w:ascii="Verdana" w:hAnsi="Verdana"/>
          <w:sz w:val="20"/>
        </w:rPr>
        <w:t>Joao</w:t>
      </w:r>
      <w:r w:rsidR="009A6CE7" w:rsidRPr="00566C64">
        <w:rPr>
          <w:rFonts w:ascii="Verdana" w:hAnsi="Verdana"/>
          <w:sz w:val="20"/>
        </w:rPr>
        <w:t xml:space="preserve"> Ltd coincides with the reporting date and financial year of its new parent entity, </w:t>
      </w:r>
      <w:r w:rsidRPr="00566C64">
        <w:rPr>
          <w:rFonts w:ascii="Verdana" w:hAnsi="Verdana"/>
          <w:sz w:val="20"/>
        </w:rPr>
        <w:t>Gisela</w:t>
      </w:r>
      <w:r w:rsidR="009A6CE7" w:rsidRPr="00566C64">
        <w:rPr>
          <w:rFonts w:ascii="Verdana" w:hAnsi="Verdana"/>
          <w:sz w:val="20"/>
        </w:rPr>
        <w:t xml:space="preserve"> Ltd.</w:t>
      </w:r>
    </w:p>
    <w:p w14:paraId="17FF474D" w14:textId="77777777" w:rsidR="009A6CE7" w:rsidRPr="00566C64" w:rsidRDefault="009A6CE7" w:rsidP="0022267C">
      <w:pPr>
        <w:ind w:firstLine="0"/>
        <w:jc w:val="left"/>
        <w:rPr>
          <w:rFonts w:ascii="Verdana" w:hAnsi="Verdana"/>
          <w:iCs/>
          <w:sz w:val="20"/>
        </w:rPr>
      </w:pPr>
    </w:p>
    <w:p w14:paraId="375F1869" w14:textId="48D38C14" w:rsidR="009A6CE7" w:rsidRPr="00A33194" w:rsidRDefault="00257D07" w:rsidP="0022267C">
      <w:pPr>
        <w:numPr>
          <w:ilvl w:val="0"/>
          <w:numId w:val="37"/>
        </w:numPr>
        <w:jc w:val="left"/>
        <w:rPr>
          <w:rFonts w:ascii="Verdana" w:hAnsi="Verdana"/>
          <w:sz w:val="20"/>
        </w:rPr>
      </w:pPr>
      <w:r w:rsidRPr="00A33194">
        <w:rPr>
          <w:rFonts w:ascii="Verdana" w:hAnsi="Verdana"/>
          <w:sz w:val="20"/>
        </w:rPr>
        <w:t>D</w:t>
      </w:r>
      <w:r w:rsidR="009A6CE7" w:rsidRPr="00A33194">
        <w:rPr>
          <w:rFonts w:ascii="Verdana" w:hAnsi="Verdana"/>
          <w:sz w:val="20"/>
        </w:rPr>
        <w:t xml:space="preserve">ifferences </w:t>
      </w:r>
      <w:r w:rsidRPr="00A33194">
        <w:rPr>
          <w:rFonts w:ascii="Verdana" w:hAnsi="Verdana"/>
          <w:sz w:val="20"/>
        </w:rPr>
        <w:t>a</w:t>
      </w:r>
      <w:r w:rsidR="009A6CE7" w:rsidRPr="00A33194">
        <w:rPr>
          <w:rFonts w:ascii="Verdana" w:hAnsi="Verdana"/>
          <w:sz w:val="20"/>
        </w:rPr>
        <w:t xml:space="preserve">ccounting </w:t>
      </w:r>
      <w:r w:rsidRPr="00A33194">
        <w:rPr>
          <w:rFonts w:ascii="Verdana" w:hAnsi="Verdana"/>
          <w:sz w:val="20"/>
        </w:rPr>
        <w:t>p</w:t>
      </w:r>
      <w:r w:rsidR="009A6CE7" w:rsidRPr="00A33194">
        <w:rPr>
          <w:rFonts w:ascii="Verdana" w:hAnsi="Verdana"/>
          <w:sz w:val="20"/>
        </w:rPr>
        <w:t xml:space="preserve">olicies of </w:t>
      </w:r>
      <w:r w:rsidRPr="00A33194">
        <w:rPr>
          <w:rFonts w:ascii="Verdana" w:hAnsi="Verdana"/>
          <w:sz w:val="20"/>
        </w:rPr>
        <w:t>Gisela Ltd and Joao Ltd for valuation of land</w:t>
      </w:r>
    </w:p>
    <w:p w14:paraId="563839E7" w14:textId="18CB9D7A" w:rsidR="00B32DB5" w:rsidRPr="00566C64" w:rsidRDefault="009A6CE7" w:rsidP="006F5149">
      <w:pPr>
        <w:widowControl/>
        <w:autoSpaceDE w:val="0"/>
        <w:autoSpaceDN w:val="0"/>
        <w:adjustRightInd w:val="0"/>
        <w:ind w:left="360" w:firstLine="0"/>
        <w:jc w:val="left"/>
        <w:rPr>
          <w:rFonts w:ascii="Verdana" w:hAnsi="Verdana"/>
          <w:sz w:val="20"/>
        </w:rPr>
      </w:pPr>
      <w:r w:rsidRPr="00566C64">
        <w:rPr>
          <w:rFonts w:ascii="Verdana" w:hAnsi="Verdana"/>
          <w:sz w:val="20"/>
        </w:rPr>
        <w:t>AASB</w:t>
      </w:r>
      <w:r w:rsidR="009C736E">
        <w:rPr>
          <w:rFonts w:ascii="Verdana" w:hAnsi="Verdana"/>
          <w:sz w:val="20"/>
        </w:rPr>
        <w:t xml:space="preserve"> </w:t>
      </w:r>
      <w:r w:rsidRPr="00566C64">
        <w:rPr>
          <w:rFonts w:ascii="Verdana" w:hAnsi="Verdana"/>
          <w:sz w:val="20"/>
        </w:rPr>
        <w:t xml:space="preserve">10.19 requires </w:t>
      </w:r>
      <w:r w:rsidR="007E7D0E" w:rsidRPr="00566C64">
        <w:rPr>
          <w:rFonts w:ascii="Verdana" w:hAnsi="Verdana"/>
          <w:sz w:val="20"/>
        </w:rPr>
        <w:t>c</w:t>
      </w:r>
      <w:r w:rsidRPr="00566C64">
        <w:rPr>
          <w:rFonts w:ascii="Verdana" w:hAnsi="Verdana"/>
          <w:sz w:val="20"/>
        </w:rPr>
        <w:t xml:space="preserve">onsolidated </w:t>
      </w:r>
      <w:r w:rsidR="007E7D0E" w:rsidRPr="00566C64">
        <w:rPr>
          <w:rFonts w:ascii="Verdana" w:hAnsi="Verdana"/>
          <w:sz w:val="20"/>
        </w:rPr>
        <w:t>f</w:t>
      </w:r>
      <w:r w:rsidRPr="00566C64">
        <w:rPr>
          <w:rFonts w:ascii="Verdana" w:hAnsi="Verdana"/>
          <w:sz w:val="20"/>
        </w:rPr>
        <w:t xml:space="preserve">inancial </w:t>
      </w:r>
      <w:r w:rsidR="007E7D0E" w:rsidRPr="00566C64">
        <w:rPr>
          <w:rFonts w:ascii="Verdana" w:hAnsi="Verdana"/>
          <w:sz w:val="20"/>
        </w:rPr>
        <w:t>s</w:t>
      </w:r>
      <w:r w:rsidRPr="00566C64">
        <w:rPr>
          <w:rFonts w:ascii="Verdana" w:hAnsi="Verdana"/>
          <w:sz w:val="20"/>
        </w:rPr>
        <w:t>tatements to be prepared using uniform accounting policies for similar transactions and other events in similar circumstances.</w:t>
      </w:r>
      <w:r w:rsidR="007E7D0E" w:rsidRPr="00566C64">
        <w:rPr>
          <w:rFonts w:ascii="Verdana" w:hAnsi="Verdana"/>
          <w:snapToGrid/>
          <w:sz w:val="20"/>
          <w:lang w:eastAsia="en-AU"/>
        </w:rPr>
        <w:t xml:space="preserve"> Groups are required to apply consistent accounting policies for similar transactions and events, except where permitted by AASB standards (AASB</w:t>
      </w:r>
      <w:r w:rsidR="009C736E">
        <w:rPr>
          <w:rFonts w:ascii="Verdana" w:hAnsi="Verdana"/>
          <w:snapToGrid/>
          <w:sz w:val="20"/>
          <w:lang w:eastAsia="en-AU"/>
        </w:rPr>
        <w:t xml:space="preserve"> </w:t>
      </w:r>
      <w:r w:rsidR="007E7D0E" w:rsidRPr="00566C64">
        <w:rPr>
          <w:rFonts w:ascii="Verdana" w:hAnsi="Verdana"/>
          <w:snapToGrid/>
          <w:sz w:val="20"/>
          <w:lang w:eastAsia="en-AU"/>
        </w:rPr>
        <w:t xml:space="preserve">108.13). An entity may apply different accounting policies </w:t>
      </w:r>
      <w:r w:rsidR="00AF2816" w:rsidRPr="00566C64">
        <w:rPr>
          <w:rFonts w:ascii="Verdana" w:hAnsi="Verdana"/>
          <w:snapToGrid/>
          <w:sz w:val="20"/>
          <w:lang w:eastAsia="en-AU"/>
        </w:rPr>
        <w:t>provid</w:t>
      </w:r>
      <w:r w:rsidR="00AF2816">
        <w:rPr>
          <w:rFonts w:ascii="Verdana" w:hAnsi="Verdana"/>
          <w:snapToGrid/>
          <w:sz w:val="20"/>
          <w:lang w:eastAsia="en-AU"/>
        </w:rPr>
        <w:t>ed</w:t>
      </w:r>
      <w:r w:rsidR="00AF2816" w:rsidRPr="00566C64">
        <w:rPr>
          <w:rFonts w:ascii="Verdana" w:hAnsi="Verdana"/>
          <w:snapToGrid/>
          <w:sz w:val="20"/>
          <w:lang w:eastAsia="en-AU"/>
        </w:rPr>
        <w:t xml:space="preserve"> </w:t>
      </w:r>
      <w:r w:rsidR="007E7D0E" w:rsidRPr="00566C64">
        <w:rPr>
          <w:rFonts w:ascii="Verdana" w:hAnsi="Verdana"/>
          <w:snapToGrid/>
          <w:sz w:val="20"/>
          <w:lang w:eastAsia="en-AU"/>
        </w:rPr>
        <w:t>that the differences are justified by dissimilar circumstances and events.</w:t>
      </w:r>
      <w:r w:rsidR="00B32DB5" w:rsidRPr="00566C64">
        <w:rPr>
          <w:rFonts w:ascii="Verdana" w:hAnsi="Verdana"/>
          <w:snapToGrid/>
          <w:sz w:val="20"/>
          <w:lang w:eastAsia="en-AU"/>
        </w:rPr>
        <w:t xml:space="preserve"> </w:t>
      </w:r>
      <w:r w:rsidR="00B32DB5" w:rsidRPr="00566C64">
        <w:rPr>
          <w:rFonts w:ascii="Verdana" w:hAnsi="Verdana"/>
          <w:sz w:val="20"/>
        </w:rPr>
        <w:t>Therefore</w:t>
      </w:r>
      <w:r w:rsidR="00AF2816">
        <w:rPr>
          <w:rFonts w:ascii="Verdana" w:hAnsi="Verdana"/>
          <w:sz w:val="20"/>
        </w:rPr>
        <w:t>,</w:t>
      </w:r>
      <w:r w:rsidR="00B32DB5" w:rsidRPr="00566C64">
        <w:rPr>
          <w:rFonts w:ascii="Verdana" w:hAnsi="Verdana"/>
          <w:sz w:val="20"/>
        </w:rPr>
        <w:t xml:space="preserve"> t</w:t>
      </w:r>
      <w:r w:rsidRPr="00566C64">
        <w:rPr>
          <w:rFonts w:ascii="Verdana" w:hAnsi="Verdana"/>
          <w:sz w:val="20"/>
        </w:rPr>
        <w:t xml:space="preserve">he accounting policy of </w:t>
      </w:r>
      <w:r w:rsidR="00B32DB5" w:rsidRPr="00566C64">
        <w:rPr>
          <w:rFonts w:ascii="Verdana" w:hAnsi="Verdana"/>
          <w:sz w:val="20"/>
        </w:rPr>
        <w:t>Joao</w:t>
      </w:r>
      <w:r w:rsidRPr="00566C64">
        <w:rPr>
          <w:rFonts w:ascii="Verdana" w:hAnsi="Verdana"/>
          <w:sz w:val="20"/>
        </w:rPr>
        <w:t xml:space="preserve"> Ltd relating to the valuation of land must be changed</w:t>
      </w:r>
      <w:r w:rsidR="00647A95" w:rsidRPr="00566C64">
        <w:rPr>
          <w:rFonts w:ascii="Verdana" w:hAnsi="Verdana"/>
          <w:sz w:val="20"/>
        </w:rPr>
        <w:t xml:space="preserve"> to historic cost valuation</w:t>
      </w:r>
      <w:r w:rsidRPr="00566C64">
        <w:rPr>
          <w:rFonts w:ascii="Verdana" w:hAnsi="Verdana"/>
          <w:sz w:val="20"/>
        </w:rPr>
        <w:t xml:space="preserve">, so that </w:t>
      </w:r>
      <w:r w:rsidR="00647A95" w:rsidRPr="00566C64">
        <w:rPr>
          <w:rFonts w:ascii="Verdana" w:hAnsi="Verdana"/>
          <w:sz w:val="20"/>
        </w:rPr>
        <w:t>its</w:t>
      </w:r>
      <w:r w:rsidRPr="00566C64">
        <w:rPr>
          <w:rFonts w:ascii="Verdana" w:hAnsi="Verdana"/>
          <w:sz w:val="20"/>
        </w:rPr>
        <w:t xml:space="preserve"> accounting polic</w:t>
      </w:r>
      <w:r w:rsidR="00647A95" w:rsidRPr="00566C64">
        <w:rPr>
          <w:rFonts w:ascii="Verdana" w:hAnsi="Verdana"/>
          <w:sz w:val="20"/>
        </w:rPr>
        <w:t>y is consistent with Gisela Ltd, and any other subsidiaries in the Gisela Ltd Group.</w:t>
      </w:r>
    </w:p>
    <w:p w14:paraId="461230E1" w14:textId="77777777" w:rsidR="00B32DB5" w:rsidRPr="00566C64" w:rsidRDefault="00B32DB5" w:rsidP="006F5149">
      <w:pPr>
        <w:ind w:left="360" w:firstLine="0"/>
        <w:jc w:val="left"/>
        <w:rPr>
          <w:rFonts w:ascii="Verdana" w:hAnsi="Verdana"/>
          <w:sz w:val="20"/>
        </w:rPr>
      </w:pPr>
    </w:p>
    <w:p w14:paraId="42E9F909" w14:textId="7C75D7C7" w:rsidR="009A6CE7" w:rsidRPr="00566C64" w:rsidRDefault="004B654B" w:rsidP="006F5149">
      <w:pPr>
        <w:ind w:left="360" w:firstLine="0"/>
        <w:jc w:val="left"/>
        <w:rPr>
          <w:rFonts w:ascii="Verdana" w:hAnsi="Verdana"/>
          <w:sz w:val="20"/>
        </w:rPr>
      </w:pPr>
      <w:r w:rsidRPr="00566C64">
        <w:rPr>
          <w:rFonts w:ascii="Verdana" w:hAnsi="Verdana"/>
          <w:sz w:val="20"/>
        </w:rPr>
        <w:t xml:space="preserve">The management of the parent entity will normally act to ensure that consistent accounting policies are used in the separate accounting records of the entities in the group whenever this is possible. However, it </w:t>
      </w:r>
      <w:r w:rsidR="006559C9" w:rsidRPr="00566C64">
        <w:rPr>
          <w:rFonts w:ascii="Verdana" w:hAnsi="Verdana"/>
          <w:sz w:val="20"/>
        </w:rPr>
        <w:t>may</w:t>
      </w:r>
      <w:r w:rsidRPr="00566C64">
        <w:rPr>
          <w:rFonts w:ascii="Verdana" w:hAnsi="Verdana"/>
          <w:sz w:val="20"/>
        </w:rPr>
        <w:t xml:space="preserve"> not </w:t>
      </w:r>
      <w:r w:rsidR="006559C9" w:rsidRPr="00566C64">
        <w:rPr>
          <w:rFonts w:ascii="Verdana" w:hAnsi="Verdana"/>
          <w:sz w:val="20"/>
        </w:rPr>
        <w:t>be</w:t>
      </w:r>
      <w:r w:rsidRPr="00566C64">
        <w:rPr>
          <w:rFonts w:ascii="Verdana" w:hAnsi="Verdana"/>
          <w:sz w:val="20"/>
        </w:rPr>
        <w:t xml:space="preserve"> possible for the parent entity to impose consistent accounting policies on a subsidiary</w:t>
      </w:r>
      <w:r w:rsidR="00AF2816">
        <w:rPr>
          <w:rFonts w:ascii="Verdana" w:hAnsi="Verdana"/>
          <w:sz w:val="20"/>
        </w:rPr>
        <w:t xml:space="preserve"> (e.g., </w:t>
      </w:r>
      <w:r w:rsidRPr="00566C64">
        <w:rPr>
          <w:rFonts w:ascii="Verdana" w:hAnsi="Verdana"/>
          <w:sz w:val="20"/>
        </w:rPr>
        <w:t>a foreign subsidiary that must report in another country</w:t>
      </w:r>
      <w:r w:rsidR="00AF2816">
        <w:rPr>
          <w:rFonts w:ascii="Verdana" w:hAnsi="Verdana"/>
          <w:sz w:val="20"/>
        </w:rPr>
        <w:t>)</w:t>
      </w:r>
      <w:r w:rsidRPr="00566C64">
        <w:rPr>
          <w:rFonts w:ascii="Verdana" w:hAnsi="Verdana"/>
          <w:sz w:val="20"/>
        </w:rPr>
        <w:t xml:space="preserve"> using an accounting policy required by local accounting standards that is not permitted in Australia.</w:t>
      </w:r>
    </w:p>
    <w:p w14:paraId="2503AB2F" w14:textId="77777777" w:rsidR="004B654B" w:rsidRPr="00566C64" w:rsidRDefault="004B654B" w:rsidP="006F5149">
      <w:pPr>
        <w:ind w:left="360" w:firstLine="0"/>
        <w:jc w:val="left"/>
        <w:rPr>
          <w:rFonts w:ascii="Verdana" w:hAnsi="Verdana"/>
          <w:sz w:val="20"/>
        </w:rPr>
      </w:pPr>
    </w:p>
    <w:p w14:paraId="18CAE68B" w14:textId="77777777" w:rsidR="00B4282B" w:rsidRPr="00566C64" w:rsidRDefault="00B4282B" w:rsidP="006F5149">
      <w:pPr>
        <w:ind w:left="360" w:firstLine="0"/>
        <w:jc w:val="left"/>
        <w:rPr>
          <w:rFonts w:ascii="Verdana" w:hAnsi="Verdana"/>
          <w:sz w:val="20"/>
        </w:rPr>
      </w:pPr>
      <w:r w:rsidRPr="00566C64">
        <w:rPr>
          <w:rFonts w:ascii="Verdana" w:hAnsi="Verdana"/>
          <w:sz w:val="20"/>
        </w:rPr>
        <w:t xml:space="preserve">Where a subsidiary adopts different accounting policies from those used in the consolidated financial report for similar transactions or events, and the impact </w:t>
      </w:r>
      <w:r w:rsidRPr="00566C64">
        <w:rPr>
          <w:rFonts w:ascii="Verdana" w:hAnsi="Verdana"/>
          <w:sz w:val="20"/>
        </w:rPr>
        <w:lastRenderedPageBreak/>
        <w:t xml:space="preserve">on the consolidated financial statements is material, then appropriate consolidation adjustments must be made to achieve uniformity when preparing the consolidated financial report (AASB 10B.87). </w:t>
      </w:r>
      <w:r w:rsidR="006559C9" w:rsidRPr="00566C64">
        <w:rPr>
          <w:rFonts w:ascii="Verdana" w:hAnsi="Verdana"/>
          <w:sz w:val="20"/>
        </w:rPr>
        <w:t>If Joao Ltd</w:t>
      </w:r>
      <w:r w:rsidR="00C367EC" w:rsidRPr="00566C64">
        <w:rPr>
          <w:rFonts w:ascii="Verdana" w:hAnsi="Verdana"/>
          <w:sz w:val="20"/>
        </w:rPr>
        <w:t xml:space="preserve"> continues to value land at fair value</w:t>
      </w:r>
      <w:r w:rsidR="006559C9" w:rsidRPr="00566C64">
        <w:rPr>
          <w:rFonts w:ascii="Verdana" w:hAnsi="Verdana"/>
          <w:sz w:val="20"/>
        </w:rPr>
        <w:t xml:space="preserve">, </w:t>
      </w:r>
      <w:r w:rsidRPr="00566C64">
        <w:rPr>
          <w:rFonts w:ascii="Verdana" w:hAnsi="Verdana"/>
          <w:sz w:val="20"/>
        </w:rPr>
        <w:t xml:space="preserve">consolidation adjustments are required to restate Joao Ltd’s land from fair value to historic cost valuation, and eliminate the associated revaluation surplus, deferred tax liability and deferred tax expense, to achieve </w:t>
      </w:r>
      <w:r w:rsidRPr="00566C64">
        <w:rPr>
          <w:rFonts w:ascii="Verdana" w:hAnsi="Verdana"/>
          <w:iCs/>
          <w:sz w:val="20"/>
        </w:rPr>
        <w:t xml:space="preserve">uniformity in the accounting method used to value </w:t>
      </w:r>
      <w:r w:rsidRPr="00566C64">
        <w:rPr>
          <w:rFonts w:ascii="Verdana" w:hAnsi="Verdana"/>
          <w:sz w:val="20"/>
        </w:rPr>
        <w:t>land in the consolidated financial statements of Gisela Ltd Group.</w:t>
      </w:r>
      <w:r w:rsidR="006559C9" w:rsidRPr="00566C64">
        <w:rPr>
          <w:rFonts w:ascii="Verdana" w:hAnsi="Verdana"/>
          <w:sz w:val="20"/>
        </w:rPr>
        <w:t xml:space="preserve"> </w:t>
      </w:r>
      <w:r w:rsidRPr="00566C64">
        <w:rPr>
          <w:rFonts w:ascii="Verdana" w:hAnsi="Verdana"/>
          <w:sz w:val="20"/>
        </w:rPr>
        <w:t>Alternatively, Joao Ltd must prepare a second financial report for consolidation purposes,</w:t>
      </w:r>
      <w:r w:rsidR="006559C9" w:rsidRPr="00566C64">
        <w:rPr>
          <w:rFonts w:ascii="Verdana" w:hAnsi="Verdana"/>
          <w:sz w:val="20"/>
        </w:rPr>
        <w:t xml:space="preserve"> </w:t>
      </w:r>
      <w:r w:rsidRPr="00566C64">
        <w:rPr>
          <w:rFonts w:ascii="Verdana" w:hAnsi="Verdana"/>
          <w:sz w:val="20"/>
        </w:rPr>
        <w:t xml:space="preserve">which </w:t>
      </w:r>
      <w:r w:rsidR="006559C9" w:rsidRPr="00566C64">
        <w:rPr>
          <w:rFonts w:ascii="Verdana" w:hAnsi="Verdana"/>
          <w:sz w:val="20"/>
        </w:rPr>
        <w:t>uses historic cost valuation of land.</w:t>
      </w:r>
    </w:p>
    <w:p w14:paraId="3AFB2C60" w14:textId="77777777" w:rsidR="00B4282B" w:rsidRPr="00566C64" w:rsidRDefault="00B4282B" w:rsidP="0022267C">
      <w:pPr>
        <w:ind w:firstLine="0"/>
        <w:jc w:val="left"/>
        <w:rPr>
          <w:rFonts w:ascii="Verdana" w:hAnsi="Verdana"/>
          <w:sz w:val="20"/>
        </w:rPr>
      </w:pPr>
    </w:p>
    <w:p w14:paraId="50E23C76" w14:textId="77777777" w:rsidR="00C367EC" w:rsidRPr="00566C64" w:rsidRDefault="00C367EC" w:rsidP="0022267C">
      <w:pPr>
        <w:ind w:firstLine="0"/>
        <w:jc w:val="left"/>
        <w:rPr>
          <w:rFonts w:ascii="Verdana" w:hAnsi="Verdana"/>
          <w:sz w:val="20"/>
        </w:rPr>
      </w:pPr>
    </w:p>
    <w:p w14:paraId="12364FB0" w14:textId="72A4D8EB" w:rsidR="00E22522" w:rsidRPr="00B84BA4" w:rsidRDefault="008635C5" w:rsidP="0022267C">
      <w:pPr>
        <w:ind w:firstLine="0"/>
        <w:jc w:val="left"/>
        <w:rPr>
          <w:rFonts w:ascii="Verdana" w:hAnsi="Verdana"/>
          <w:b/>
          <w:i/>
          <w:sz w:val="20"/>
        </w:rPr>
      </w:pPr>
      <w:r w:rsidRPr="0022267C">
        <w:rPr>
          <w:rFonts w:ascii="Verdana" w:hAnsi="Verdana"/>
          <w:b/>
          <w:i/>
          <w:sz w:val="20"/>
        </w:rPr>
        <w:t>Q2.1</w:t>
      </w:r>
      <w:r w:rsidR="00B6679D" w:rsidRPr="0022267C">
        <w:rPr>
          <w:rFonts w:ascii="Verdana" w:hAnsi="Verdana"/>
          <w:b/>
          <w:i/>
          <w:sz w:val="20"/>
        </w:rPr>
        <w:t>2</w:t>
      </w:r>
      <w:r w:rsidR="00E22522" w:rsidRPr="00B84BA4">
        <w:rPr>
          <w:rFonts w:ascii="Verdana" w:hAnsi="Verdana"/>
          <w:b/>
          <w:i/>
          <w:sz w:val="20"/>
        </w:rPr>
        <w:t xml:space="preserve"> </w:t>
      </w:r>
      <w:r w:rsidR="00E22522" w:rsidRPr="0022267C">
        <w:rPr>
          <w:rFonts w:ascii="Verdana" w:hAnsi="Verdana"/>
          <w:b/>
          <w:i/>
          <w:sz w:val="20"/>
        </w:rPr>
        <w:t>Intra</w:t>
      </w:r>
      <w:r w:rsidR="00ED60C7" w:rsidRPr="0022267C">
        <w:rPr>
          <w:rFonts w:ascii="Verdana" w:hAnsi="Verdana"/>
          <w:b/>
          <w:i/>
          <w:sz w:val="20"/>
        </w:rPr>
        <w:t xml:space="preserve">group </w:t>
      </w:r>
      <w:r w:rsidR="00E22522" w:rsidRPr="0022267C">
        <w:rPr>
          <w:rFonts w:ascii="Verdana" w:hAnsi="Verdana"/>
          <w:b/>
          <w:i/>
          <w:sz w:val="20"/>
        </w:rPr>
        <w:t>transactions</w:t>
      </w:r>
      <w:r w:rsidR="00ED60C7" w:rsidRPr="00B84BA4">
        <w:rPr>
          <w:rFonts w:ascii="Verdana" w:hAnsi="Verdana"/>
          <w:b/>
          <w:i/>
          <w:sz w:val="20"/>
        </w:rPr>
        <w:t xml:space="preserve"> (Sections 2.4 and 2.5)</w:t>
      </w:r>
    </w:p>
    <w:p w14:paraId="489BDE17" w14:textId="77777777" w:rsidR="00E22522" w:rsidRPr="00566C64" w:rsidRDefault="00E22522" w:rsidP="0022267C">
      <w:pPr>
        <w:ind w:firstLine="0"/>
        <w:jc w:val="left"/>
        <w:rPr>
          <w:rFonts w:ascii="Verdana" w:hAnsi="Verdana"/>
          <w:sz w:val="20"/>
        </w:rPr>
      </w:pPr>
    </w:p>
    <w:p w14:paraId="1EA3F951" w14:textId="4FE3ED0C" w:rsidR="00ED60C7" w:rsidRPr="00566C64" w:rsidRDefault="00ED60C7" w:rsidP="0022267C">
      <w:pPr>
        <w:ind w:firstLine="0"/>
        <w:jc w:val="left"/>
        <w:rPr>
          <w:rFonts w:ascii="Verdana" w:hAnsi="Verdana"/>
          <w:b/>
          <w:sz w:val="20"/>
        </w:rPr>
      </w:pPr>
      <w:r w:rsidRPr="00566C64">
        <w:rPr>
          <w:rFonts w:ascii="Verdana" w:hAnsi="Verdana"/>
          <w:b/>
          <w:sz w:val="20"/>
        </w:rPr>
        <w:t>Consolidation eliminations and adjustments required for the year ending 31 December 20X5</w:t>
      </w:r>
    </w:p>
    <w:p w14:paraId="13A04D8E" w14:textId="77777777" w:rsidR="00ED60C7" w:rsidRPr="00566C64" w:rsidRDefault="00ED60C7" w:rsidP="0022267C">
      <w:pPr>
        <w:ind w:firstLine="0"/>
        <w:jc w:val="left"/>
        <w:rPr>
          <w:rFonts w:ascii="Verdana" w:hAnsi="Verdana"/>
          <w:sz w:val="20"/>
        </w:rPr>
      </w:pPr>
    </w:p>
    <w:p w14:paraId="07CBEBC0" w14:textId="7609B3A8" w:rsidR="00ED60C7" w:rsidRPr="00566C64" w:rsidRDefault="00ED60C7" w:rsidP="0022267C">
      <w:pPr>
        <w:numPr>
          <w:ilvl w:val="0"/>
          <w:numId w:val="38"/>
        </w:numPr>
        <w:jc w:val="left"/>
        <w:rPr>
          <w:rFonts w:ascii="Verdana" w:hAnsi="Verdana"/>
          <w:sz w:val="20"/>
        </w:rPr>
      </w:pPr>
      <w:r w:rsidRPr="00566C64">
        <w:rPr>
          <w:rFonts w:ascii="Verdana" w:hAnsi="Verdana"/>
          <w:sz w:val="20"/>
        </w:rPr>
        <w:t>Elimination of Paredes Ltd’s investment in Carlos Ltd against the pre-acquisition equity of Carlos Ltd acquired on 1 January 20X5 and recognition of goodwill</w:t>
      </w:r>
    </w:p>
    <w:p w14:paraId="1F8F1393" w14:textId="106FDCA5" w:rsidR="00ED60C7" w:rsidRPr="00566C64" w:rsidRDefault="00106FC9" w:rsidP="0022267C">
      <w:pPr>
        <w:ind w:left="357" w:hanging="284"/>
        <w:jc w:val="left"/>
        <w:rPr>
          <w:rFonts w:ascii="Verdana" w:hAnsi="Verdana"/>
          <w:sz w:val="20"/>
        </w:rPr>
      </w:pPr>
      <w:r w:rsidRPr="0022267C">
        <w:rPr>
          <w:rFonts w:ascii="Verdana" w:hAnsi="Verdana"/>
          <w:sz w:val="20"/>
        </w:rPr>
        <w:tab/>
      </w:r>
      <w:r w:rsidR="007946C4" w:rsidRPr="0022267C">
        <w:rPr>
          <w:rFonts w:ascii="Verdana" w:hAnsi="Verdana"/>
          <w:i/>
          <w:sz w:val="20"/>
        </w:rPr>
        <w:t>Explanation</w:t>
      </w:r>
      <w:r w:rsidR="007946C4" w:rsidRPr="00DC216C">
        <w:rPr>
          <w:rFonts w:ascii="Verdana" w:hAnsi="Verdana"/>
          <w:sz w:val="20"/>
        </w:rPr>
        <w:t>:</w:t>
      </w:r>
      <w:r w:rsidR="00733DCC">
        <w:rPr>
          <w:rFonts w:ascii="Verdana" w:hAnsi="Verdana"/>
          <w:sz w:val="20"/>
        </w:rPr>
        <w:t xml:space="preserve"> </w:t>
      </w:r>
      <w:r w:rsidR="00175B37" w:rsidRPr="00566C64">
        <w:rPr>
          <w:rFonts w:ascii="Verdana" w:hAnsi="Verdana"/>
          <w:sz w:val="20"/>
        </w:rPr>
        <w:t xml:space="preserve">It is necessary to eliminate </w:t>
      </w:r>
      <w:r w:rsidR="00AE4C64" w:rsidRPr="00566C64">
        <w:rPr>
          <w:rFonts w:ascii="Verdana" w:hAnsi="Verdana"/>
          <w:sz w:val="20"/>
        </w:rPr>
        <w:t xml:space="preserve">the </w:t>
      </w:r>
      <w:r w:rsidR="00175B37" w:rsidRPr="00566C64">
        <w:rPr>
          <w:rFonts w:ascii="Verdana" w:hAnsi="Verdana"/>
          <w:sz w:val="20"/>
        </w:rPr>
        <w:t xml:space="preserve">parent entity’s investment in subsidiary asset and the portion of the subsidiary’s pre-acquisition equity acquired by the parent because a group cannot recognise an investment in itself as </w:t>
      </w:r>
      <w:r w:rsidR="00931E07" w:rsidRPr="00566C64">
        <w:rPr>
          <w:rFonts w:ascii="Verdana" w:hAnsi="Verdana"/>
          <w:sz w:val="20"/>
        </w:rPr>
        <w:t xml:space="preserve">an asset, nor can a group recognise equity </w:t>
      </w:r>
      <w:r w:rsidR="009008C7" w:rsidRPr="00566C64">
        <w:rPr>
          <w:rFonts w:ascii="Verdana" w:hAnsi="Verdana"/>
          <w:sz w:val="20"/>
        </w:rPr>
        <w:t xml:space="preserve">in itself as equity, </w:t>
      </w:r>
      <w:r w:rsidR="00931E07" w:rsidRPr="00566C64">
        <w:rPr>
          <w:rFonts w:ascii="Verdana" w:hAnsi="Verdana"/>
          <w:sz w:val="20"/>
        </w:rPr>
        <w:t>because this is inconsistent with presenting the group as a single entity in the consolidated financial report.</w:t>
      </w:r>
      <w:r w:rsidR="0072710E" w:rsidRPr="00566C64">
        <w:rPr>
          <w:rFonts w:ascii="Verdana" w:hAnsi="Verdana"/>
          <w:sz w:val="20"/>
        </w:rPr>
        <w:t xml:space="preserve"> </w:t>
      </w:r>
      <w:r w:rsidR="00931E07" w:rsidRPr="00566C64">
        <w:rPr>
          <w:rFonts w:ascii="Verdana" w:hAnsi="Verdana"/>
          <w:sz w:val="20"/>
        </w:rPr>
        <w:t>Th</w:t>
      </w:r>
      <w:r w:rsidR="009008C7" w:rsidRPr="00566C64">
        <w:rPr>
          <w:rFonts w:ascii="Verdana" w:hAnsi="Verdana"/>
          <w:sz w:val="20"/>
        </w:rPr>
        <w:t>e</w:t>
      </w:r>
      <w:r w:rsidR="00931E07" w:rsidRPr="00566C64">
        <w:rPr>
          <w:rFonts w:ascii="Verdana" w:hAnsi="Verdana"/>
          <w:sz w:val="20"/>
        </w:rPr>
        <w:t xml:space="preserve"> elimination of the parent entity’s investment in subsidiary asset also avoids double counting of the subsidiary’s net assets on acquisition date: first</w:t>
      </w:r>
      <w:r w:rsidR="00733DCC">
        <w:rPr>
          <w:rFonts w:ascii="Verdana" w:hAnsi="Verdana"/>
          <w:sz w:val="20"/>
        </w:rPr>
        <w:t>,</w:t>
      </w:r>
      <w:r w:rsidR="00931E07" w:rsidRPr="00566C64">
        <w:rPr>
          <w:rFonts w:ascii="Verdana" w:hAnsi="Verdana"/>
          <w:sz w:val="20"/>
        </w:rPr>
        <w:t xml:space="preserve"> as the assets and liabilities of the subsidiary on acquisition date</w:t>
      </w:r>
      <w:r w:rsidR="00733DCC">
        <w:rPr>
          <w:rFonts w:ascii="Verdana" w:hAnsi="Verdana"/>
          <w:sz w:val="20"/>
        </w:rPr>
        <w:t>;</w:t>
      </w:r>
      <w:r w:rsidR="00931E07" w:rsidRPr="00566C64">
        <w:rPr>
          <w:rFonts w:ascii="Verdana" w:hAnsi="Verdana"/>
          <w:sz w:val="20"/>
        </w:rPr>
        <w:t xml:space="preserve"> and second</w:t>
      </w:r>
      <w:r w:rsidR="00733DCC">
        <w:rPr>
          <w:rFonts w:ascii="Verdana" w:hAnsi="Verdana"/>
          <w:sz w:val="20"/>
        </w:rPr>
        <w:t>,</w:t>
      </w:r>
      <w:r w:rsidR="00931E07" w:rsidRPr="00566C64">
        <w:rPr>
          <w:rFonts w:ascii="Verdana" w:hAnsi="Verdana"/>
          <w:sz w:val="20"/>
        </w:rPr>
        <w:t xml:space="preserve"> as the investment in subsidiary asset.</w:t>
      </w:r>
      <w:r w:rsidR="0072710E" w:rsidRPr="00566C64">
        <w:rPr>
          <w:rFonts w:ascii="Verdana" w:hAnsi="Verdana"/>
          <w:sz w:val="20"/>
        </w:rPr>
        <w:t xml:space="preserve"> </w:t>
      </w:r>
      <w:r w:rsidR="009008C7" w:rsidRPr="00566C64">
        <w:rPr>
          <w:rFonts w:ascii="Verdana" w:hAnsi="Verdana"/>
          <w:sz w:val="20"/>
        </w:rPr>
        <w:t>The elimination of the subsidiary’s pre-acquisition equity is necessary because a group can only earn profits from an investment, after the investment occurs.</w:t>
      </w:r>
    </w:p>
    <w:p w14:paraId="4EEEB968" w14:textId="77777777" w:rsidR="007946C4" w:rsidRPr="00566C64" w:rsidRDefault="007946C4" w:rsidP="004A05A8">
      <w:pPr>
        <w:ind w:firstLine="0"/>
        <w:jc w:val="left"/>
        <w:rPr>
          <w:rFonts w:ascii="Verdana" w:hAnsi="Verdana"/>
          <w:sz w:val="20"/>
        </w:rPr>
      </w:pPr>
    </w:p>
    <w:p w14:paraId="374B9DCD" w14:textId="29BE118B" w:rsidR="00ED60C7" w:rsidRDefault="00F7748F" w:rsidP="0022267C">
      <w:pPr>
        <w:numPr>
          <w:ilvl w:val="0"/>
          <w:numId w:val="38"/>
        </w:numPr>
        <w:jc w:val="left"/>
        <w:rPr>
          <w:rFonts w:ascii="Verdana" w:hAnsi="Verdana"/>
          <w:sz w:val="20"/>
        </w:rPr>
      </w:pPr>
      <w:r w:rsidRPr="00566C64">
        <w:rPr>
          <w:rFonts w:ascii="Verdana" w:hAnsi="Verdana"/>
          <w:sz w:val="20"/>
        </w:rPr>
        <w:t>Elimination of intra</w:t>
      </w:r>
      <w:r w:rsidR="00ED60C7" w:rsidRPr="00566C64">
        <w:rPr>
          <w:rFonts w:ascii="Verdana" w:hAnsi="Verdana"/>
          <w:sz w:val="20"/>
        </w:rPr>
        <w:t xml:space="preserve">group dividend </w:t>
      </w:r>
      <w:r w:rsidRPr="00566C64">
        <w:rPr>
          <w:rFonts w:ascii="Verdana" w:hAnsi="Verdana"/>
          <w:sz w:val="20"/>
        </w:rPr>
        <w:t>revenue and intra</w:t>
      </w:r>
      <w:r w:rsidR="00ED60C7" w:rsidRPr="00566C64">
        <w:rPr>
          <w:rFonts w:ascii="Verdana" w:hAnsi="Verdana"/>
          <w:sz w:val="20"/>
        </w:rPr>
        <w:t>group dividend declared</w:t>
      </w:r>
    </w:p>
    <w:p w14:paraId="535B8CAA" w14:textId="389441BC" w:rsidR="00ED60C7" w:rsidRPr="00566C64" w:rsidRDefault="007946C4" w:rsidP="0022267C">
      <w:pPr>
        <w:ind w:left="357" w:firstLine="0"/>
        <w:rPr>
          <w:rFonts w:ascii="Verdana" w:hAnsi="Verdana"/>
          <w:sz w:val="20"/>
        </w:rPr>
      </w:pPr>
      <w:r w:rsidRPr="0022267C">
        <w:rPr>
          <w:rFonts w:ascii="Verdana" w:hAnsi="Verdana"/>
          <w:i/>
          <w:sz w:val="20"/>
        </w:rPr>
        <w:t>Explanation</w:t>
      </w:r>
      <w:r w:rsidRPr="00DC216C">
        <w:rPr>
          <w:rFonts w:ascii="Verdana" w:hAnsi="Verdana"/>
          <w:sz w:val="20"/>
        </w:rPr>
        <w:t>:</w:t>
      </w:r>
      <w:r w:rsidR="00733DCC" w:rsidRPr="0022267C">
        <w:rPr>
          <w:rFonts w:ascii="Verdana" w:hAnsi="Verdana"/>
          <w:i/>
          <w:sz w:val="20"/>
        </w:rPr>
        <w:t xml:space="preserve"> </w:t>
      </w:r>
      <w:r w:rsidRPr="00566C64">
        <w:rPr>
          <w:rFonts w:ascii="Verdana" w:hAnsi="Verdana"/>
          <w:sz w:val="20"/>
        </w:rPr>
        <w:t>It is necessary to eliminate the effect o</w:t>
      </w:r>
      <w:r w:rsidR="00733DCC">
        <w:rPr>
          <w:rFonts w:ascii="Verdana" w:hAnsi="Verdana"/>
          <w:sz w:val="20"/>
        </w:rPr>
        <w:t>f</w:t>
      </w:r>
      <w:r w:rsidRPr="00566C64">
        <w:rPr>
          <w:rFonts w:ascii="Verdana" w:hAnsi="Verdana"/>
          <w:sz w:val="20"/>
        </w:rPr>
        <w:t xml:space="preserve"> intragroup dividends upon consolidation, since a group cannot pay dividends to itself.</w:t>
      </w:r>
      <w:r w:rsidR="0072710E" w:rsidRPr="00566C64">
        <w:rPr>
          <w:rFonts w:ascii="Verdana" w:hAnsi="Verdana"/>
          <w:sz w:val="20"/>
        </w:rPr>
        <w:t xml:space="preserve"> </w:t>
      </w:r>
      <w:r w:rsidRPr="00566C64">
        <w:rPr>
          <w:rFonts w:ascii="Verdana" w:hAnsi="Verdana"/>
          <w:sz w:val="20"/>
        </w:rPr>
        <w:t>The dividend revenue is not a valid revenue of the group because no revenue is derived by the group from an external party.</w:t>
      </w:r>
      <w:r w:rsidR="0072710E" w:rsidRPr="00566C64">
        <w:rPr>
          <w:rFonts w:ascii="Verdana" w:hAnsi="Verdana"/>
          <w:sz w:val="20"/>
        </w:rPr>
        <w:t xml:space="preserve"> </w:t>
      </w:r>
      <w:r w:rsidRPr="00566C64">
        <w:rPr>
          <w:rFonts w:ascii="Verdana" w:hAnsi="Verdana"/>
          <w:sz w:val="20"/>
        </w:rPr>
        <w:t xml:space="preserve">Similarly, dividend </w:t>
      </w:r>
      <w:r w:rsidR="00230EE6" w:rsidRPr="00566C64">
        <w:rPr>
          <w:rFonts w:ascii="Verdana" w:hAnsi="Verdana"/>
          <w:sz w:val="20"/>
        </w:rPr>
        <w:t>declared</w:t>
      </w:r>
      <w:r w:rsidRPr="00566C64">
        <w:rPr>
          <w:rFonts w:ascii="Verdana" w:hAnsi="Verdana"/>
          <w:sz w:val="20"/>
        </w:rPr>
        <w:t xml:space="preserve"> is not a valid profit distribution of the group because no dividend</w:t>
      </w:r>
      <w:r w:rsidR="00175B37" w:rsidRPr="00566C64">
        <w:rPr>
          <w:rFonts w:ascii="Verdana" w:hAnsi="Verdana"/>
          <w:sz w:val="20"/>
        </w:rPr>
        <w:t xml:space="preserve"> was</w:t>
      </w:r>
      <w:r w:rsidRPr="00566C64">
        <w:rPr>
          <w:rFonts w:ascii="Verdana" w:hAnsi="Verdana"/>
          <w:sz w:val="20"/>
        </w:rPr>
        <w:t xml:space="preserve"> distributed by the group to shareholders external to the group.</w:t>
      </w:r>
    </w:p>
    <w:p w14:paraId="7A302867" w14:textId="77777777" w:rsidR="00ED60C7" w:rsidRPr="00566C64" w:rsidRDefault="00ED60C7" w:rsidP="0022267C">
      <w:pPr>
        <w:ind w:firstLine="0"/>
        <w:jc w:val="left"/>
        <w:rPr>
          <w:rFonts w:ascii="Verdana" w:hAnsi="Verdana"/>
          <w:sz w:val="20"/>
        </w:rPr>
      </w:pPr>
    </w:p>
    <w:p w14:paraId="248ADEAC" w14:textId="6B6FF35B" w:rsidR="00ED60C7" w:rsidRPr="00566C64" w:rsidRDefault="00ED60C7" w:rsidP="0022267C">
      <w:pPr>
        <w:numPr>
          <w:ilvl w:val="0"/>
          <w:numId w:val="38"/>
        </w:numPr>
        <w:jc w:val="left"/>
        <w:rPr>
          <w:rFonts w:ascii="Verdana" w:hAnsi="Verdana"/>
          <w:sz w:val="20"/>
        </w:rPr>
      </w:pPr>
      <w:r w:rsidRPr="00566C64">
        <w:rPr>
          <w:rFonts w:ascii="Verdana" w:hAnsi="Verdana"/>
          <w:sz w:val="20"/>
        </w:rPr>
        <w:t xml:space="preserve">Elimination of </w:t>
      </w:r>
      <w:r w:rsidR="0066240C" w:rsidRPr="00566C64">
        <w:rPr>
          <w:rFonts w:ascii="Verdana" w:hAnsi="Verdana"/>
          <w:sz w:val="20"/>
        </w:rPr>
        <w:t xml:space="preserve">intragroup </w:t>
      </w:r>
      <w:r w:rsidRPr="00566C64">
        <w:rPr>
          <w:rFonts w:ascii="Verdana" w:hAnsi="Verdana"/>
          <w:sz w:val="20"/>
        </w:rPr>
        <w:t xml:space="preserve">dividend receivable and </w:t>
      </w:r>
      <w:r w:rsidR="0066240C" w:rsidRPr="00566C64">
        <w:rPr>
          <w:rFonts w:ascii="Verdana" w:hAnsi="Verdana"/>
          <w:sz w:val="20"/>
        </w:rPr>
        <w:t xml:space="preserve">intragroup </w:t>
      </w:r>
      <w:r w:rsidRPr="00566C64">
        <w:rPr>
          <w:rFonts w:ascii="Verdana" w:hAnsi="Verdana"/>
          <w:sz w:val="20"/>
        </w:rPr>
        <w:t>dividend payable</w:t>
      </w:r>
    </w:p>
    <w:p w14:paraId="08D05DDE" w14:textId="40D7D787" w:rsidR="00175B37" w:rsidRPr="00566C64" w:rsidRDefault="007946C4" w:rsidP="0022267C">
      <w:pPr>
        <w:ind w:left="357" w:firstLine="0"/>
        <w:jc w:val="left"/>
        <w:rPr>
          <w:rFonts w:ascii="Verdana" w:hAnsi="Verdana"/>
          <w:sz w:val="20"/>
        </w:rPr>
      </w:pPr>
      <w:r w:rsidRPr="0022267C">
        <w:rPr>
          <w:rFonts w:ascii="Verdana" w:hAnsi="Verdana"/>
          <w:i/>
          <w:sz w:val="20"/>
        </w:rPr>
        <w:t>Explanation</w:t>
      </w:r>
      <w:r w:rsidRPr="00DC216C">
        <w:rPr>
          <w:rFonts w:ascii="Verdana" w:hAnsi="Verdana"/>
          <w:sz w:val="20"/>
        </w:rPr>
        <w:t>:</w:t>
      </w:r>
      <w:r w:rsidR="00733DCC" w:rsidRPr="0022267C">
        <w:rPr>
          <w:rFonts w:ascii="Verdana" w:hAnsi="Verdana"/>
          <w:i/>
          <w:sz w:val="20"/>
        </w:rPr>
        <w:t xml:space="preserve"> </w:t>
      </w:r>
      <w:r w:rsidR="00175B37" w:rsidRPr="00566C64">
        <w:rPr>
          <w:rFonts w:ascii="Verdana" w:hAnsi="Verdana"/>
          <w:sz w:val="20"/>
        </w:rPr>
        <w:t>It is necessary to eliminate the intragroup balances owing upon consolidation, since a group cannot owe dividends to itself.</w:t>
      </w:r>
      <w:r w:rsidR="0072710E" w:rsidRPr="00566C64">
        <w:rPr>
          <w:rFonts w:ascii="Verdana" w:hAnsi="Verdana"/>
          <w:sz w:val="20"/>
        </w:rPr>
        <w:t xml:space="preserve"> </w:t>
      </w:r>
      <w:r w:rsidR="00175B37" w:rsidRPr="00566C64">
        <w:rPr>
          <w:rFonts w:ascii="Verdana" w:hAnsi="Verdana"/>
          <w:sz w:val="20"/>
        </w:rPr>
        <w:t>The dividend receivable is not a valid asset of the group because no asset is receivable by the group from an external party.</w:t>
      </w:r>
      <w:r w:rsidR="0072710E" w:rsidRPr="00566C64">
        <w:rPr>
          <w:rFonts w:ascii="Verdana" w:hAnsi="Verdana"/>
          <w:sz w:val="20"/>
        </w:rPr>
        <w:t xml:space="preserve"> </w:t>
      </w:r>
      <w:r w:rsidR="00175B37" w:rsidRPr="00566C64">
        <w:rPr>
          <w:rFonts w:ascii="Verdana" w:hAnsi="Verdana"/>
          <w:sz w:val="20"/>
        </w:rPr>
        <w:t>Similarly, dividend payable is not a valid liability of the group because no dividend is payable by the group to an external party.</w:t>
      </w:r>
    </w:p>
    <w:p w14:paraId="3CADCA1E" w14:textId="7539DC13" w:rsidR="00ED60C7" w:rsidRDefault="00ED60C7" w:rsidP="004A05A8">
      <w:pPr>
        <w:ind w:firstLine="0"/>
        <w:jc w:val="left"/>
        <w:rPr>
          <w:rFonts w:ascii="Verdana" w:hAnsi="Verdana"/>
          <w:sz w:val="20"/>
        </w:rPr>
      </w:pPr>
    </w:p>
    <w:p w14:paraId="47BCB78B" w14:textId="77777777" w:rsidR="00ED6B36" w:rsidRDefault="00ED6B36" w:rsidP="004A05A8">
      <w:pPr>
        <w:ind w:firstLine="0"/>
        <w:jc w:val="left"/>
        <w:rPr>
          <w:rFonts w:ascii="Verdana" w:hAnsi="Verdana"/>
          <w:sz w:val="20"/>
        </w:rPr>
      </w:pPr>
    </w:p>
    <w:p w14:paraId="722FAAC6" w14:textId="73BD7D33" w:rsidR="008635C5" w:rsidRPr="00B84BA4" w:rsidRDefault="001916BE" w:rsidP="0022267C">
      <w:pPr>
        <w:ind w:firstLine="0"/>
        <w:jc w:val="left"/>
        <w:rPr>
          <w:rFonts w:ascii="Verdana" w:hAnsi="Verdana"/>
          <w:b/>
          <w:i/>
          <w:sz w:val="20"/>
        </w:rPr>
      </w:pPr>
      <w:r>
        <w:rPr>
          <w:rFonts w:ascii="Verdana" w:hAnsi="Verdana"/>
          <w:b/>
          <w:i/>
          <w:sz w:val="20"/>
        </w:rPr>
        <w:br w:type="page"/>
      </w:r>
      <w:r w:rsidR="008635C5" w:rsidRPr="0022267C">
        <w:rPr>
          <w:rFonts w:ascii="Verdana" w:hAnsi="Verdana"/>
          <w:b/>
          <w:i/>
          <w:sz w:val="20"/>
        </w:rPr>
        <w:lastRenderedPageBreak/>
        <w:t>Q2</w:t>
      </w:r>
      <w:r w:rsidR="003011AA" w:rsidRPr="0022267C">
        <w:rPr>
          <w:rFonts w:ascii="Verdana" w:hAnsi="Verdana"/>
          <w:b/>
          <w:i/>
          <w:sz w:val="20"/>
        </w:rPr>
        <w:t>.</w:t>
      </w:r>
      <w:r w:rsidR="008635C5" w:rsidRPr="0022267C">
        <w:rPr>
          <w:rFonts w:ascii="Verdana" w:hAnsi="Verdana"/>
          <w:b/>
          <w:i/>
          <w:sz w:val="20"/>
        </w:rPr>
        <w:t>1</w:t>
      </w:r>
      <w:r w:rsidR="00CF43AA" w:rsidRPr="0022267C">
        <w:rPr>
          <w:rFonts w:ascii="Verdana" w:hAnsi="Verdana"/>
          <w:b/>
          <w:i/>
          <w:sz w:val="20"/>
        </w:rPr>
        <w:t>3</w:t>
      </w:r>
      <w:r w:rsidR="00F7748F" w:rsidRPr="00B84BA4">
        <w:rPr>
          <w:rFonts w:ascii="Verdana" w:hAnsi="Verdana"/>
          <w:b/>
          <w:i/>
          <w:sz w:val="20"/>
        </w:rPr>
        <w:t xml:space="preserve"> </w:t>
      </w:r>
      <w:r w:rsidR="008635C5" w:rsidRPr="0022267C">
        <w:rPr>
          <w:rFonts w:ascii="Verdana" w:hAnsi="Verdana"/>
          <w:b/>
          <w:i/>
          <w:sz w:val="20"/>
        </w:rPr>
        <w:t>Goodwill</w:t>
      </w:r>
      <w:r w:rsidR="00703BD7" w:rsidRPr="0022267C">
        <w:rPr>
          <w:rFonts w:ascii="Verdana" w:hAnsi="Verdana"/>
          <w:b/>
          <w:i/>
          <w:sz w:val="20"/>
        </w:rPr>
        <w:t xml:space="preserve"> or gain on bargain purchase</w:t>
      </w:r>
      <w:r w:rsidR="00703BD7" w:rsidRPr="00B84BA4">
        <w:rPr>
          <w:rFonts w:ascii="Verdana" w:hAnsi="Verdana"/>
          <w:b/>
          <w:i/>
          <w:sz w:val="20"/>
        </w:rPr>
        <w:t xml:space="preserve"> (Section 2.4)</w:t>
      </w:r>
    </w:p>
    <w:p w14:paraId="29B771E1" w14:textId="77777777" w:rsidR="008635C5" w:rsidRPr="00566C64" w:rsidRDefault="008635C5" w:rsidP="0022267C">
      <w:pPr>
        <w:ind w:firstLine="0"/>
        <w:jc w:val="left"/>
        <w:rPr>
          <w:rFonts w:ascii="Verdana" w:hAnsi="Verdana"/>
          <w:sz w:val="20"/>
        </w:rPr>
      </w:pPr>
    </w:p>
    <w:p w14:paraId="7D9899A1" w14:textId="33743E6B" w:rsidR="00703BD7" w:rsidRPr="00566C64" w:rsidRDefault="00703BD7" w:rsidP="0022267C">
      <w:pPr>
        <w:ind w:firstLine="0"/>
        <w:jc w:val="left"/>
        <w:rPr>
          <w:rFonts w:ascii="Verdana" w:hAnsi="Verdana"/>
          <w:b/>
          <w:sz w:val="20"/>
        </w:rPr>
      </w:pPr>
      <w:r w:rsidRPr="00566C64">
        <w:rPr>
          <w:rFonts w:ascii="Verdana" w:hAnsi="Verdana"/>
          <w:b/>
          <w:sz w:val="20"/>
        </w:rPr>
        <w:t>Goodwill or gain on bargain purchase as at 1 July 20X7</w:t>
      </w:r>
    </w:p>
    <w:p w14:paraId="624AADF9" w14:textId="77777777" w:rsidR="00703BD7" w:rsidRPr="00566C64" w:rsidRDefault="00703BD7" w:rsidP="0022267C">
      <w:pPr>
        <w:ind w:firstLine="0"/>
        <w:jc w:val="left"/>
        <w:rPr>
          <w:rFonts w:ascii="Verdana" w:hAnsi="Verdana"/>
          <w:sz w:val="20"/>
        </w:rPr>
      </w:pPr>
    </w:p>
    <w:p w14:paraId="6601064B" w14:textId="0D8B69B0" w:rsidR="00703BD7" w:rsidRPr="00566C64" w:rsidRDefault="00703BD7" w:rsidP="00703BD7">
      <w:pPr>
        <w:ind w:firstLine="0"/>
        <w:rPr>
          <w:rFonts w:ascii="Verdana" w:hAnsi="Verdana"/>
          <w:b/>
          <w:sz w:val="20"/>
        </w:rPr>
      </w:pPr>
      <w:r w:rsidRPr="00566C64">
        <w:rPr>
          <w:rFonts w:ascii="Verdana" w:hAnsi="Verdana"/>
          <w:b/>
          <w:sz w:val="20"/>
        </w:rPr>
        <w:t>Acquisition analysis</w:t>
      </w:r>
    </w:p>
    <w:tbl>
      <w:tblPr>
        <w:tblW w:w="0" w:type="auto"/>
        <w:tblLook w:val="01E0" w:firstRow="1" w:lastRow="1" w:firstColumn="1" w:lastColumn="1" w:noHBand="0" w:noVBand="0"/>
      </w:tblPr>
      <w:tblGrid>
        <w:gridCol w:w="6205"/>
        <w:gridCol w:w="962"/>
        <w:gridCol w:w="1362"/>
      </w:tblGrid>
      <w:tr w:rsidR="00703BD7" w:rsidRPr="00566C64" w14:paraId="081D3A82" w14:textId="77777777" w:rsidTr="00703BD7">
        <w:trPr>
          <w:trHeight w:val="255"/>
        </w:trPr>
        <w:tc>
          <w:tcPr>
            <w:tcW w:w="7282" w:type="dxa"/>
            <w:tcBorders>
              <w:top w:val="single" w:sz="4" w:space="0" w:color="auto"/>
            </w:tcBorders>
            <w:shd w:val="clear" w:color="auto" w:fill="auto"/>
          </w:tcPr>
          <w:p w14:paraId="505B471C" w14:textId="77777777" w:rsidR="00703BD7" w:rsidRPr="00566C64" w:rsidRDefault="00703BD7" w:rsidP="00703BD7">
            <w:pPr>
              <w:ind w:firstLine="0"/>
              <w:rPr>
                <w:rFonts w:ascii="Verdana" w:hAnsi="Verdana"/>
                <w:i/>
                <w:sz w:val="20"/>
              </w:rPr>
            </w:pPr>
            <w:r w:rsidRPr="00566C64">
              <w:rPr>
                <w:rFonts w:ascii="Verdana" w:hAnsi="Verdana"/>
                <w:i/>
                <w:sz w:val="20"/>
              </w:rPr>
              <w:t>Cost of acquisition of investment in Fate Ltd</w:t>
            </w:r>
          </w:p>
        </w:tc>
        <w:tc>
          <w:tcPr>
            <w:tcW w:w="1133" w:type="dxa"/>
            <w:tcBorders>
              <w:top w:val="single" w:sz="4" w:space="0" w:color="auto"/>
            </w:tcBorders>
          </w:tcPr>
          <w:p w14:paraId="58C3CB2C" w14:textId="77777777" w:rsidR="00703BD7" w:rsidRPr="00566C64" w:rsidRDefault="00703BD7" w:rsidP="00703BD7">
            <w:pPr>
              <w:ind w:firstLine="0"/>
              <w:jc w:val="right"/>
              <w:rPr>
                <w:rFonts w:ascii="Verdana" w:hAnsi="Verdana"/>
                <w:i/>
                <w:sz w:val="20"/>
              </w:rPr>
            </w:pPr>
          </w:p>
        </w:tc>
        <w:tc>
          <w:tcPr>
            <w:tcW w:w="1205" w:type="dxa"/>
            <w:tcBorders>
              <w:top w:val="single" w:sz="4" w:space="0" w:color="auto"/>
            </w:tcBorders>
            <w:shd w:val="clear" w:color="auto" w:fill="auto"/>
          </w:tcPr>
          <w:p w14:paraId="6A563431" w14:textId="77777777" w:rsidR="00703BD7" w:rsidRPr="00381501" w:rsidRDefault="00703BD7" w:rsidP="006559C9">
            <w:pPr>
              <w:ind w:firstLine="0"/>
              <w:jc w:val="center"/>
              <w:rPr>
                <w:rFonts w:ascii="Verdana" w:hAnsi="Verdana"/>
                <w:b/>
                <w:sz w:val="20"/>
              </w:rPr>
            </w:pPr>
            <w:r w:rsidRPr="00381501">
              <w:rPr>
                <w:rFonts w:ascii="Verdana" w:hAnsi="Verdana"/>
                <w:b/>
                <w:sz w:val="20"/>
              </w:rPr>
              <w:t>$</w:t>
            </w:r>
          </w:p>
        </w:tc>
      </w:tr>
      <w:tr w:rsidR="00703BD7" w:rsidRPr="00566C64" w14:paraId="1765DF23" w14:textId="77777777" w:rsidTr="00703BD7">
        <w:trPr>
          <w:trHeight w:val="255"/>
        </w:trPr>
        <w:tc>
          <w:tcPr>
            <w:tcW w:w="7282" w:type="dxa"/>
            <w:shd w:val="clear" w:color="auto" w:fill="auto"/>
          </w:tcPr>
          <w:p w14:paraId="645A469F" w14:textId="77777777" w:rsidR="00703BD7" w:rsidRPr="00566C64" w:rsidRDefault="00703BD7" w:rsidP="00703BD7">
            <w:pPr>
              <w:ind w:firstLine="0"/>
              <w:rPr>
                <w:rFonts w:ascii="Verdana" w:hAnsi="Verdana"/>
                <w:sz w:val="20"/>
              </w:rPr>
            </w:pPr>
            <w:r w:rsidRPr="00566C64">
              <w:rPr>
                <w:rFonts w:ascii="Verdana" w:hAnsi="Verdana"/>
                <w:sz w:val="20"/>
              </w:rPr>
              <w:t>Fair value of purchase consideration for 100% of Fate Ltd’s equity</w:t>
            </w:r>
            <w:r w:rsidR="00A53BC8" w:rsidRPr="00566C64">
              <w:rPr>
                <w:rFonts w:ascii="Verdana" w:hAnsi="Verdana"/>
                <w:b/>
                <w:sz w:val="20"/>
                <w:vertAlign w:val="superscript"/>
              </w:rPr>
              <w:t>1</w:t>
            </w:r>
          </w:p>
        </w:tc>
        <w:tc>
          <w:tcPr>
            <w:tcW w:w="1133" w:type="dxa"/>
          </w:tcPr>
          <w:p w14:paraId="765420D8" w14:textId="77777777" w:rsidR="00703BD7" w:rsidRPr="00566C64" w:rsidRDefault="00703BD7" w:rsidP="00703BD7">
            <w:pPr>
              <w:ind w:firstLine="0"/>
              <w:jc w:val="right"/>
              <w:rPr>
                <w:rFonts w:ascii="Verdana" w:hAnsi="Verdana"/>
                <w:sz w:val="20"/>
              </w:rPr>
            </w:pPr>
          </w:p>
        </w:tc>
        <w:tc>
          <w:tcPr>
            <w:tcW w:w="1205" w:type="dxa"/>
            <w:shd w:val="clear" w:color="auto" w:fill="auto"/>
          </w:tcPr>
          <w:p w14:paraId="147CEB91" w14:textId="2BF5825A" w:rsidR="00703BD7" w:rsidRPr="00566C64" w:rsidRDefault="00703BD7" w:rsidP="00703BD7">
            <w:pPr>
              <w:ind w:firstLine="0"/>
              <w:jc w:val="right"/>
              <w:rPr>
                <w:rFonts w:ascii="Verdana" w:hAnsi="Verdana"/>
                <w:sz w:val="20"/>
              </w:rPr>
            </w:pPr>
            <w:r w:rsidRPr="00566C64">
              <w:rPr>
                <w:rFonts w:ascii="Verdana" w:hAnsi="Verdana"/>
                <w:sz w:val="20"/>
              </w:rPr>
              <w:t>3</w:t>
            </w:r>
            <w:r w:rsidR="004A05A8">
              <w:rPr>
                <w:rFonts w:ascii="Verdana" w:hAnsi="Verdana"/>
                <w:sz w:val="20"/>
              </w:rPr>
              <w:t> </w:t>
            </w:r>
            <w:r w:rsidRPr="00566C64">
              <w:rPr>
                <w:rFonts w:ascii="Verdana" w:hAnsi="Verdana"/>
                <w:sz w:val="20"/>
              </w:rPr>
              <w:t>200</w:t>
            </w:r>
            <w:r w:rsidR="004A05A8">
              <w:rPr>
                <w:rFonts w:ascii="Verdana" w:hAnsi="Verdana"/>
                <w:sz w:val="20"/>
              </w:rPr>
              <w:t> </w:t>
            </w:r>
            <w:r w:rsidRPr="00566C64">
              <w:rPr>
                <w:rFonts w:ascii="Verdana" w:hAnsi="Verdana"/>
                <w:sz w:val="20"/>
              </w:rPr>
              <w:t>000</w:t>
            </w:r>
          </w:p>
        </w:tc>
      </w:tr>
      <w:tr w:rsidR="00703BD7" w:rsidRPr="00566C64" w14:paraId="47256519" w14:textId="77777777" w:rsidTr="00703BD7">
        <w:trPr>
          <w:trHeight w:val="255"/>
        </w:trPr>
        <w:tc>
          <w:tcPr>
            <w:tcW w:w="7282" w:type="dxa"/>
            <w:shd w:val="clear" w:color="auto" w:fill="auto"/>
          </w:tcPr>
          <w:p w14:paraId="3A2E03CD" w14:textId="049689CB" w:rsidR="00703BD7" w:rsidRPr="00566C64" w:rsidRDefault="00703BD7" w:rsidP="00703BD7">
            <w:pPr>
              <w:ind w:firstLine="0"/>
              <w:rPr>
                <w:rFonts w:ascii="Verdana" w:hAnsi="Verdana"/>
                <w:i/>
                <w:sz w:val="20"/>
              </w:rPr>
            </w:pPr>
            <w:r w:rsidRPr="00566C64">
              <w:rPr>
                <w:rFonts w:ascii="Verdana" w:hAnsi="Verdana"/>
                <w:i/>
                <w:sz w:val="20"/>
              </w:rPr>
              <w:t xml:space="preserve">Less </w:t>
            </w:r>
            <w:r w:rsidR="004B447E" w:rsidRPr="0022267C">
              <w:rPr>
                <w:rFonts w:ascii="Verdana" w:hAnsi="Verdana"/>
                <w:sz w:val="20"/>
              </w:rPr>
              <w:t>F</w:t>
            </w:r>
            <w:r w:rsidRPr="0022267C">
              <w:rPr>
                <w:rFonts w:ascii="Verdana" w:hAnsi="Verdana"/>
                <w:sz w:val="20"/>
              </w:rPr>
              <w:t>air value of identifiable net assets of Fate Ltd</w:t>
            </w:r>
          </w:p>
        </w:tc>
        <w:tc>
          <w:tcPr>
            <w:tcW w:w="1133" w:type="dxa"/>
          </w:tcPr>
          <w:p w14:paraId="1254B142" w14:textId="77777777" w:rsidR="00703BD7" w:rsidRPr="00566C64" w:rsidRDefault="00703BD7" w:rsidP="00703BD7">
            <w:pPr>
              <w:ind w:firstLine="0"/>
              <w:jc w:val="right"/>
              <w:rPr>
                <w:rFonts w:ascii="Verdana" w:hAnsi="Verdana"/>
                <w:i/>
                <w:sz w:val="20"/>
              </w:rPr>
            </w:pPr>
          </w:p>
        </w:tc>
        <w:tc>
          <w:tcPr>
            <w:tcW w:w="1205" w:type="dxa"/>
            <w:shd w:val="clear" w:color="auto" w:fill="auto"/>
          </w:tcPr>
          <w:p w14:paraId="5620E606" w14:textId="77777777" w:rsidR="00703BD7" w:rsidRPr="00566C64" w:rsidRDefault="00703BD7" w:rsidP="00703BD7">
            <w:pPr>
              <w:ind w:firstLine="0"/>
              <w:jc w:val="right"/>
              <w:rPr>
                <w:rFonts w:ascii="Verdana" w:hAnsi="Verdana"/>
                <w:i/>
                <w:sz w:val="20"/>
              </w:rPr>
            </w:pPr>
          </w:p>
        </w:tc>
      </w:tr>
      <w:tr w:rsidR="00703BD7" w:rsidRPr="00566C64" w14:paraId="6CD02CE4" w14:textId="77777777" w:rsidTr="00703BD7">
        <w:trPr>
          <w:trHeight w:val="255"/>
        </w:trPr>
        <w:tc>
          <w:tcPr>
            <w:tcW w:w="7282" w:type="dxa"/>
            <w:shd w:val="clear" w:color="auto" w:fill="auto"/>
          </w:tcPr>
          <w:p w14:paraId="00A43FA9" w14:textId="77777777" w:rsidR="00703BD7" w:rsidRPr="00566C64" w:rsidRDefault="00703BD7" w:rsidP="00703BD7">
            <w:pPr>
              <w:ind w:firstLine="0"/>
              <w:rPr>
                <w:rFonts w:ascii="Verdana" w:hAnsi="Verdana"/>
                <w:sz w:val="20"/>
              </w:rPr>
            </w:pPr>
            <w:r w:rsidRPr="00566C64">
              <w:rPr>
                <w:rFonts w:ascii="Verdana" w:hAnsi="Verdana"/>
                <w:sz w:val="20"/>
              </w:rPr>
              <w:t>Recorded value of equity (equals carrying amount of identifiable net assets)</w:t>
            </w:r>
          </w:p>
        </w:tc>
        <w:tc>
          <w:tcPr>
            <w:tcW w:w="1133" w:type="dxa"/>
          </w:tcPr>
          <w:p w14:paraId="382AE620" w14:textId="77777777" w:rsidR="00703BD7" w:rsidRPr="00566C64" w:rsidRDefault="00703BD7" w:rsidP="00703BD7">
            <w:pPr>
              <w:ind w:firstLine="0"/>
              <w:jc w:val="right"/>
              <w:rPr>
                <w:rFonts w:ascii="Verdana" w:hAnsi="Verdana"/>
                <w:sz w:val="20"/>
              </w:rPr>
            </w:pPr>
          </w:p>
        </w:tc>
        <w:tc>
          <w:tcPr>
            <w:tcW w:w="1205" w:type="dxa"/>
            <w:shd w:val="clear" w:color="auto" w:fill="auto"/>
          </w:tcPr>
          <w:p w14:paraId="60CB2826" w14:textId="5736F348" w:rsidR="00703BD7" w:rsidRPr="00566C64" w:rsidRDefault="00703BD7" w:rsidP="00703BD7">
            <w:pPr>
              <w:ind w:firstLine="0"/>
              <w:jc w:val="right"/>
              <w:rPr>
                <w:rFonts w:ascii="Verdana" w:hAnsi="Verdana"/>
                <w:sz w:val="20"/>
                <w:u w:val="single"/>
              </w:rPr>
            </w:pPr>
            <w:r w:rsidRPr="00566C64">
              <w:rPr>
                <w:rFonts w:ascii="Verdana" w:hAnsi="Verdana"/>
                <w:sz w:val="20"/>
                <w:u w:val="single"/>
              </w:rPr>
              <w:t>3</w:t>
            </w:r>
            <w:r w:rsidR="004A05A8">
              <w:rPr>
                <w:rFonts w:ascii="Verdana" w:hAnsi="Verdana"/>
                <w:sz w:val="20"/>
              </w:rPr>
              <w:t> </w:t>
            </w:r>
            <w:r w:rsidRPr="00566C64">
              <w:rPr>
                <w:rFonts w:ascii="Verdana" w:hAnsi="Verdana"/>
                <w:sz w:val="20"/>
                <w:u w:val="single"/>
              </w:rPr>
              <w:t>500</w:t>
            </w:r>
            <w:r w:rsidR="004A05A8">
              <w:rPr>
                <w:rFonts w:ascii="Verdana" w:hAnsi="Verdana"/>
                <w:sz w:val="20"/>
              </w:rPr>
              <w:t> </w:t>
            </w:r>
            <w:r w:rsidRPr="00566C64">
              <w:rPr>
                <w:rFonts w:ascii="Verdana" w:hAnsi="Verdana"/>
                <w:sz w:val="20"/>
                <w:u w:val="single"/>
              </w:rPr>
              <w:t>000</w:t>
            </w:r>
          </w:p>
        </w:tc>
      </w:tr>
      <w:tr w:rsidR="00703BD7" w:rsidRPr="00566C64" w14:paraId="153DA8CD" w14:textId="77777777" w:rsidTr="00703BD7">
        <w:trPr>
          <w:trHeight w:val="255"/>
        </w:trPr>
        <w:tc>
          <w:tcPr>
            <w:tcW w:w="7282" w:type="dxa"/>
            <w:shd w:val="clear" w:color="auto" w:fill="auto"/>
          </w:tcPr>
          <w:p w14:paraId="09572709" w14:textId="4C7BB656" w:rsidR="00703BD7" w:rsidRPr="00566C64" w:rsidRDefault="00703BD7" w:rsidP="00703BD7">
            <w:pPr>
              <w:ind w:firstLine="0"/>
              <w:rPr>
                <w:rFonts w:ascii="Verdana" w:hAnsi="Verdana"/>
                <w:sz w:val="20"/>
              </w:rPr>
            </w:pPr>
            <w:r w:rsidRPr="0022267C">
              <w:rPr>
                <w:rFonts w:ascii="Verdana" w:hAnsi="Verdana"/>
                <w:i/>
                <w:sz w:val="20"/>
              </w:rPr>
              <w:t>Add</w:t>
            </w:r>
            <w:r w:rsidR="00996D3D" w:rsidRPr="0022267C">
              <w:rPr>
                <w:rFonts w:ascii="Verdana" w:hAnsi="Verdana"/>
                <w:i/>
                <w:sz w:val="20"/>
              </w:rPr>
              <w:t xml:space="preserve"> (</w:t>
            </w:r>
            <w:r w:rsidRPr="0022267C">
              <w:rPr>
                <w:rFonts w:ascii="Verdana" w:hAnsi="Verdana"/>
                <w:i/>
                <w:sz w:val="20"/>
              </w:rPr>
              <w:t>subtract</w:t>
            </w:r>
            <w:r w:rsidR="00996D3D" w:rsidRPr="0022267C">
              <w:rPr>
                <w:rFonts w:ascii="Verdana" w:hAnsi="Verdana"/>
                <w:i/>
                <w:sz w:val="20"/>
              </w:rPr>
              <w:t>)</w:t>
            </w:r>
            <w:r w:rsidRPr="00566C64">
              <w:rPr>
                <w:rFonts w:ascii="Verdana" w:hAnsi="Verdana"/>
                <w:sz w:val="20"/>
              </w:rPr>
              <w:t xml:space="preserve"> </w:t>
            </w:r>
            <w:r w:rsidR="00996D3D">
              <w:rPr>
                <w:rFonts w:ascii="Verdana" w:hAnsi="Verdana"/>
                <w:sz w:val="20"/>
              </w:rPr>
              <w:t>F</w:t>
            </w:r>
            <w:r w:rsidRPr="00566C64">
              <w:rPr>
                <w:rFonts w:ascii="Verdana" w:hAnsi="Verdana"/>
                <w:sz w:val="20"/>
              </w:rPr>
              <w:t>air value adjustments to identifiable net assets</w:t>
            </w:r>
          </w:p>
        </w:tc>
        <w:tc>
          <w:tcPr>
            <w:tcW w:w="1133" w:type="dxa"/>
          </w:tcPr>
          <w:p w14:paraId="6F812FA7" w14:textId="77777777" w:rsidR="00703BD7" w:rsidRPr="00566C64" w:rsidRDefault="00703BD7" w:rsidP="00703BD7">
            <w:pPr>
              <w:ind w:firstLine="0"/>
              <w:jc w:val="right"/>
              <w:rPr>
                <w:rFonts w:ascii="Verdana" w:hAnsi="Verdana"/>
                <w:sz w:val="20"/>
              </w:rPr>
            </w:pPr>
          </w:p>
        </w:tc>
        <w:tc>
          <w:tcPr>
            <w:tcW w:w="1205" w:type="dxa"/>
            <w:shd w:val="clear" w:color="auto" w:fill="auto"/>
          </w:tcPr>
          <w:p w14:paraId="4A0DFA07" w14:textId="410EDA55" w:rsidR="00703BD7" w:rsidRPr="00566C64" w:rsidRDefault="0072710E" w:rsidP="00703BD7">
            <w:pPr>
              <w:ind w:firstLine="0"/>
              <w:jc w:val="right"/>
              <w:rPr>
                <w:rFonts w:ascii="Verdana" w:hAnsi="Verdana"/>
                <w:sz w:val="20"/>
                <w:u w:val="single"/>
              </w:rPr>
            </w:pPr>
            <w:r w:rsidRPr="00566C64">
              <w:rPr>
                <w:rFonts w:ascii="Verdana" w:hAnsi="Verdana"/>
                <w:sz w:val="20"/>
                <w:u w:val="single"/>
              </w:rPr>
              <w:t xml:space="preserve"> </w:t>
            </w:r>
            <w:r w:rsidR="00977EA8">
              <w:rPr>
                <w:rFonts w:ascii="Verdana" w:hAnsi="Verdana"/>
                <w:sz w:val="20"/>
                <w:u w:val="single"/>
              </w:rPr>
              <w:t>–</w:t>
            </w:r>
          </w:p>
        </w:tc>
      </w:tr>
      <w:tr w:rsidR="00703BD7" w:rsidRPr="00566C64" w14:paraId="577B27E6" w14:textId="77777777" w:rsidTr="00703BD7">
        <w:trPr>
          <w:trHeight w:val="255"/>
        </w:trPr>
        <w:tc>
          <w:tcPr>
            <w:tcW w:w="7282" w:type="dxa"/>
            <w:shd w:val="clear" w:color="auto" w:fill="auto"/>
          </w:tcPr>
          <w:p w14:paraId="7981742C" w14:textId="77777777" w:rsidR="00703BD7" w:rsidRPr="00566C64" w:rsidRDefault="00703BD7" w:rsidP="00703BD7">
            <w:pPr>
              <w:ind w:firstLine="0"/>
              <w:rPr>
                <w:rFonts w:ascii="Verdana" w:hAnsi="Verdana"/>
                <w:sz w:val="20"/>
              </w:rPr>
            </w:pPr>
            <w:r w:rsidRPr="00566C64">
              <w:rPr>
                <w:rFonts w:ascii="Verdana" w:hAnsi="Verdana"/>
                <w:sz w:val="20"/>
              </w:rPr>
              <w:t>Fair value of identifiable net assets of Fate Ltd acquired</w:t>
            </w:r>
          </w:p>
        </w:tc>
        <w:tc>
          <w:tcPr>
            <w:tcW w:w="1133" w:type="dxa"/>
          </w:tcPr>
          <w:p w14:paraId="7652A28F" w14:textId="77777777" w:rsidR="00703BD7" w:rsidRPr="00566C64" w:rsidRDefault="00703BD7" w:rsidP="00703BD7">
            <w:pPr>
              <w:ind w:firstLine="0"/>
              <w:jc w:val="right"/>
              <w:rPr>
                <w:rFonts w:ascii="Verdana" w:hAnsi="Verdana"/>
                <w:sz w:val="20"/>
              </w:rPr>
            </w:pPr>
          </w:p>
        </w:tc>
        <w:tc>
          <w:tcPr>
            <w:tcW w:w="1205" w:type="dxa"/>
            <w:shd w:val="clear" w:color="auto" w:fill="auto"/>
          </w:tcPr>
          <w:p w14:paraId="5B333B6A" w14:textId="7127EE74" w:rsidR="00703BD7" w:rsidRPr="00566C64" w:rsidRDefault="00703BD7" w:rsidP="00703BD7">
            <w:pPr>
              <w:ind w:firstLine="0"/>
              <w:jc w:val="right"/>
              <w:rPr>
                <w:rFonts w:ascii="Verdana" w:hAnsi="Verdana"/>
                <w:sz w:val="20"/>
                <w:u w:val="single"/>
              </w:rPr>
            </w:pPr>
            <w:r w:rsidRPr="00566C64">
              <w:rPr>
                <w:rFonts w:ascii="Verdana" w:hAnsi="Verdana"/>
                <w:sz w:val="20"/>
                <w:u w:val="single"/>
              </w:rPr>
              <w:t>3</w:t>
            </w:r>
            <w:r w:rsidR="004A05A8">
              <w:rPr>
                <w:rFonts w:ascii="Verdana" w:hAnsi="Verdana"/>
                <w:sz w:val="20"/>
              </w:rPr>
              <w:t> </w:t>
            </w:r>
            <w:r w:rsidRPr="00566C64">
              <w:rPr>
                <w:rFonts w:ascii="Verdana" w:hAnsi="Verdana"/>
                <w:sz w:val="20"/>
                <w:u w:val="single"/>
              </w:rPr>
              <w:t>500</w:t>
            </w:r>
            <w:r w:rsidR="004A05A8">
              <w:rPr>
                <w:rFonts w:ascii="Verdana" w:hAnsi="Verdana"/>
                <w:sz w:val="20"/>
              </w:rPr>
              <w:t> </w:t>
            </w:r>
            <w:r w:rsidRPr="00566C64">
              <w:rPr>
                <w:rFonts w:ascii="Verdana" w:hAnsi="Verdana"/>
                <w:sz w:val="20"/>
                <w:u w:val="single"/>
              </w:rPr>
              <w:t>000</w:t>
            </w:r>
          </w:p>
        </w:tc>
      </w:tr>
      <w:tr w:rsidR="00703BD7" w:rsidRPr="00566C64" w14:paraId="590CCE62" w14:textId="77777777" w:rsidTr="00703BD7">
        <w:trPr>
          <w:trHeight w:val="255"/>
        </w:trPr>
        <w:tc>
          <w:tcPr>
            <w:tcW w:w="7282" w:type="dxa"/>
            <w:shd w:val="clear" w:color="auto" w:fill="auto"/>
          </w:tcPr>
          <w:p w14:paraId="2AB68CF4" w14:textId="77777777" w:rsidR="00703BD7" w:rsidRPr="00566C64" w:rsidRDefault="00703BD7" w:rsidP="00703BD7">
            <w:pPr>
              <w:ind w:left="284" w:hanging="284"/>
              <w:rPr>
                <w:rFonts w:ascii="Verdana" w:hAnsi="Verdana"/>
                <w:sz w:val="20"/>
              </w:rPr>
            </w:pPr>
            <w:r w:rsidRPr="00566C64">
              <w:rPr>
                <w:rFonts w:ascii="Verdana" w:hAnsi="Verdana"/>
                <w:b/>
                <w:sz w:val="20"/>
              </w:rPr>
              <w:t>Gain on bargain purchase</w:t>
            </w:r>
            <w:r w:rsidRPr="00566C64">
              <w:rPr>
                <w:rFonts w:ascii="Verdana" w:hAnsi="Verdana"/>
                <w:sz w:val="20"/>
              </w:rPr>
              <w:t>: cost of acquisition &lt; fair value of identifiable net assets</w:t>
            </w:r>
          </w:p>
        </w:tc>
        <w:tc>
          <w:tcPr>
            <w:tcW w:w="1133" w:type="dxa"/>
          </w:tcPr>
          <w:p w14:paraId="384A43C8" w14:textId="77777777" w:rsidR="00703BD7" w:rsidRPr="00566C64" w:rsidRDefault="00703BD7" w:rsidP="00703BD7">
            <w:pPr>
              <w:ind w:firstLine="0"/>
              <w:jc w:val="right"/>
              <w:rPr>
                <w:rFonts w:ascii="Verdana" w:hAnsi="Verdana"/>
                <w:sz w:val="20"/>
              </w:rPr>
            </w:pPr>
          </w:p>
        </w:tc>
        <w:tc>
          <w:tcPr>
            <w:tcW w:w="1205" w:type="dxa"/>
            <w:shd w:val="clear" w:color="auto" w:fill="auto"/>
          </w:tcPr>
          <w:p w14:paraId="14173304" w14:textId="23F3C90F" w:rsidR="00703BD7" w:rsidRPr="00566C64" w:rsidRDefault="00703BD7" w:rsidP="00703BD7">
            <w:pPr>
              <w:ind w:firstLine="0"/>
              <w:jc w:val="right"/>
              <w:rPr>
                <w:rFonts w:ascii="Verdana" w:hAnsi="Verdana"/>
                <w:sz w:val="20"/>
              </w:rPr>
            </w:pPr>
            <w:r w:rsidRPr="00566C64">
              <w:rPr>
                <w:rFonts w:ascii="Verdana" w:hAnsi="Verdana"/>
                <w:sz w:val="20"/>
              </w:rPr>
              <w:t>(300</w:t>
            </w:r>
            <w:r w:rsidR="004A05A8">
              <w:rPr>
                <w:rFonts w:ascii="Verdana" w:hAnsi="Verdana"/>
                <w:sz w:val="20"/>
              </w:rPr>
              <w:t> </w:t>
            </w:r>
            <w:r w:rsidRPr="00566C64">
              <w:rPr>
                <w:rFonts w:ascii="Verdana" w:hAnsi="Verdana"/>
                <w:sz w:val="20"/>
              </w:rPr>
              <w:t>000)</w:t>
            </w:r>
          </w:p>
        </w:tc>
      </w:tr>
      <w:tr w:rsidR="00703BD7" w:rsidRPr="00566C64" w14:paraId="5753D4B2" w14:textId="77777777" w:rsidTr="00703BD7">
        <w:trPr>
          <w:trHeight w:val="255"/>
        </w:trPr>
        <w:tc>
          <w:tcPr>
            <w:tcW w:w="7282" w:type="dxa"/>
            <w:tcBorders>
              <w:bottom w:val="single" w:sz="4" w:space="0" w:color="auto"/>
            </w:tcBorders>
            <w:shd w:val="clear" w:color="auto" w:fill="auto"/>
          </w:tcPr>
          <w:p w14:paraId="5B566CB4" w14:textId="77777777" w:rsidR="00703BD7" w:rsidRPr="00566C64" w:rsidRDefault="00703BD7" w:rsidP="00703BD7">
            <w:pPr>
              <w:ind w:firstLine="0"/>
              <w:rPr>
                <w:rFonts w:ascii="Verdana" w:hAnsi="Verdana"/>
                <w:sz w:val="20"/>
              </w:rPr>
            </w:pPr>
          </w:p>
        </w:tc>
        <w:tc>
          <w:tcPr>
            <w:tcW w:w="1133" w:type="dxa"/>
            <w:tcBorders>
              <w:bottom w:val="single" w:sz="4" w:space="0" w:color="auto"/>
            </w:tcBorders>
          </w:tcPr>
          <w:p w14:paraId="1D950CD6" w14:textId="77777777" w:rsidR="00703BD7" w:rsidRPr="00566C64" w:rsidRDefault="00703BD7" w:rsidP="00703BD7">
            <w:pPr>
              <w:ind w:firstLine="0"/>
              <w:jc w:val="right"/>
              <w:rPr>
                <w:rFonts w:ascii="Verdana" w:hAnsi="Verdana"/>
                <w:sz w:val="20"/>
              </w:rPr>
            </w:pPr>
          </w:p>
        </w:tc>
        <w:tc>
          <w:tcPr>
            <w:tcW w:w="1205" w:type="dxa"/>
            <w:tcBorders>
              <w:bottom w:val="single" w:sz="4" w:space="0" w:color="auto"/>
            </w:tcBorders>
            <w:shd w:val="clear" w:color="auto" w:fill="auto"/>
          </w:tcPr>
          <w:p w14:paraId="7A1A203E" w14:textId="77777777" w:rsidR="00703BD7" w:rsidRPr="00566C64" w:rsidRDefault="00703BD7" w:rsidP="00703BD7">
            <w:pPr>
              <w:ind w:firstLine="0"/>
              <w:jc w:val="right"/>
              <w:rPr>
                <w:rFonts w:ascii="Verdana" w:hAnsi="Verdana"/>
                <w:sz w:val="20"/>
              </w:rPr>
            </w:pPr>
            <w:r w:rsidRPr="00566C64">
              <w:rPr>
                <w:rFonts w:ascii="Verdana" w:hAnsi="Verdana"/>
                <w:sz w:val="20"/>
              </w:rPr>
              <w:t>=======</w:t>
            </w:r>
          </w:p>
        </w:tc>
      </w:tr>
    </w:tbl>
    <w:p w14:paraId="46139957" w14:textId="77777777" w:rsidR="00A95146" w:rsidRPr="00566C64" w:rsidRDefault="00A95146" w:rsidP="0022267C">
      <w:pPr>
        <w:ind w:firstLine="0"/>
        <w:jc w:val="left"/>
        <w:rPr>
          <w:rFonts w:ascii="Verdana" w:hAnsi="Verdana"/>
          <w:b/>
          <w:sz w:val="20"/>
        </w:rPr>
      </w:pPr>
      <w:r w:rsidRPr="00566C64">
        <w:rPr>
          <w:rFonts w:ascii="Verdana" w:hAnsi="Verdana"/>
          <w:b/>
          <w:sz w:val="20"/>
        </w:rPr>
        <w:t>Note:</w:t>
      </w:r>
    </w:p>
    <w:p w14:paraId="78EE6EED" w14:textId="56F971DF" w:rsidR="00A95146" w:rsidRDefault="00A95146" w:rsidP="00625A8C">
      <w:pPr>
        <w:pBdr>
          <w:bottom w:val="single" w:sz="4" w:space="1" w:color="auto"/>
        </w:pBdr>
        <w:tabs>
          <w:tab w:val="left" w:pos="284"/>
        </w:tabs>
        <w:ind w:left="284" w:hanging="284"/>
        <w:jc w:val="left"/>
        <w:rPr>
          <w:rFonts w:ascii="Verdana" w:hAnsi="Verdana"/>
          <w:sz w:val="20"/>
        </w:rPr>
      </w:pPr>
      <w:r w:rsidRPr="0022267C">
        <w:rPr>
          <w:rFonts w:ascii="Verdana" w:hAnsi="Verdana"/>
          <w:b/>
          <w:sz w:val="20"/>
        </w:rPr>
        <w:t>1</w:t>
      </w:r>
      <w:r w:rsidRPr="00566C64">
        <w:rPr>
          <w:rFonts w:ascii="Verdana" w:hAnsi="Verdana"/>
          <w:sz w:val="20"/>
        </w:rPr>
        <w:tab/>
        <w:t>The cost of acquisition of Destiny Ltd’s investment in Fate Ltd does not include acquisition</w:t>
      </w:r>
      <w:r w:rsidR="00A679BE">
        <w:rPr>
          <w:rFonts w:ascii="Verdana" w:hAnsi="Verdana"/>
          <w:sz w:val="20"/>
        </w:rPr>
        <w:t>-</w:t>
      </w:r>
      <w:r w:rsidRPr="00566C64">
        <w:rPr>
          <w:rFonts w:ascii="Verdana" w:hAnsi="Verdana"/>
          <w:sz w:val="20"/>
        </w:rPr>
        <w:t>related costs incurred by Destiny Ltd:</w:t>
      </w:r>
      <w:r w:rsidR="0072710E" w:rsidRPr="00566C64">
        <w:rPr>
          <w:rFonts w:ascii="Verdana" w:hAnsi="Verdana"/>
          <w:sz w:val="20"/>
        </w:rPr>
        <w:t xml:space="preserve"> </w:t>
      </w:r>
      <w:r w:rsidRPr="00566C64">
        <w:rPr>
          <w:rFonts w:ascii="Verdana" w:hAnsi="Verdana"/>
          <w:sz w:val="20"/>
        </w:rPr>
        <w:t>legal costs ($90</w:t>
      </w:r>
      <w:r w:rsidR="00B84BA4">
        <w:rPr>
          <w:rFonts w:ascii="Verdana" w:hAnsi="Verdana"/>
          <w:sz w:val="20"/>
        </w:rPr>
        <w:t> </w:t>
      </w:r>
      <w:r w:rsidRPr="00566C64">
        <w:rPr>
          <w:rFonts w:ascii="Verdana" w:hAnsi="Verdana"/>
          <w:sz w:val="20"/>
        </w:rPr>
        <w:t>000).</w:t>
      </w:r>
    </w:p>
    <w:p w14:paraId="3A9249FC" w14:textId="77777777" w:rsidR="00625A8C" w:rsidRPr="00566C64" w:rsidRDefault="00625A8C" w:rsidP="00625A8C">
      <w:pPr>
        <w:pBdr>
          <w:bottom w:val="single" w:sz="4" w:space="1" w:color="auto"/>
        </w:pBdr>
        <w:tabs>
          <w:tab w:val="left" w:pos="284"/>
        </w:tabs>
        <w:ind w:left="284" w:hanging="284"/>
        <w:jc w:val="left"/>
        <w:rPr>
          <w:rFonts w:ascii="Verdana" w:hAnsi="Verdana"/>
          <w:sz w:val="20"/>
        </w:rPr>
      </w:pPr>
    </w:p>
    <w:p w14:paraId="3A1CC058" w14:textId="77777777" w:rsidR="00A95146" w:rsidRPr="00566C64" w:rsidRDefault="00A95146" w:rsidP="00A95146">
      <w:pPr>
        <w:ind w:firstLine="0"/>
        <w:rPr>
          <w:rFonts w:ascii="Verdana" w:hAnsi="Verdana"/>
          <w:sz w:val="20"/>
        </w:rPr>
      </w:pPr>
    </w:p>
    <w:p w14:paraId="7C0BBC05" w14:textId="07FFCC3E" w:rsidR="00703BD7" w:rsidRPr="00566C64" w:rsidRDefault="00703BD7" w:rsidP="00F7748F">
      <w:pPr>
        <w:ind w:left="426" w:hanging="426"/>
        <w:rPr>
          <w:rFonts w:ascii="Verdana" w:hAnsi="Verdana"/>
          <w:b/>
          <w:sz w:val="20"/>
        </w:rPr>
      </w:pPr>
      <w:r w:rsidRPr="00566C64">
        <w:rPr>
          <w:rFonts w:ascii="Verdana" w:hAnsi="Verdana"/>
          <w:b/>
          <w:sz w:val="20"/>
        </w:rPr>
        <w:t>Goodwill or gain on bargain purchase as at 5 July 20X7</w:t>
      </w:r>
    </w:p>
    <w:p w14:paraId="6938F3AA" w14:textId="77777777" w:rsidR="00703BD7" w:rsidRPr="00566C64" w:rsidRDefault="00703BD7" w:rsidP="00703BD7">
      <w:pPr>
        <w:ind w:firstLine="0"/>
        <w:rPr>
          <w:rFonts w:ascii="Verdana" w:hAnsi="Verdana"/>
          <w:sz w:val="20"/>
        </w:rPr>
      </w:pPr>
    </w:p>
    <w:p w14:paraId="48E8B7AB" w14:textId="7B4B089D" w:rsidR="00703BD7" w:rsidRPr="00566C64" w:rsidRDefault="00703BD7" w:rsidP="00703BD7">
      <w:pPr>
        <w:ind w:firstLine="0"/>
        <w:rPr>
          <w:rFonts w:ascii="Verdana" w:hAnsi="Verdana"/>
          <w:b/>
          <w:sz w:val="20"/>
        </w:rPr>
      </w:pPr>
      <w:r w:rsidRPr="00566C64">
        <w:rPr>
          <w:rFonts w:ascii="Verdana" w:hAnsi="Verdana"/>
          <w:b/>
          <w:sz w:val="20"/>
        </w:rPr>
        <w:t>Acquisition analysis</w:t>
      </w:r>
    </w:p>
    <w:tbl>
      <w:tblPr>
        <w:tblW w:w="8472" w:type="dxa"/>
        <w:tblLayout w:type="fixed"/>
        <w:tblLook w:val="01E0" w:firstRow="1" w:lastRow="1" w:firstColumn="1" w:lastColumn="1" w:noHBand="0" w:noVBand="0"/>
      </w:tblPr>
      <w:tblGrid>
        <w:gridCol w:w="5637"/>
        <w:gridCol w:w="1417"/>
        <w:gridCol w:w="1418"/>
      </w:tblGrid>
      <w:tr w:rsidR="00703BD7" w:rsidRPr="00566C64" w14:paraId="3FD47FC7" w14:textId="77777777" w:rsidTr="00F73FF5">
        <w:trPr>
          <w:trHeight w:val="255"/>
        </w:trPr>
        <w:tc>
          <w:tcPr>
            <w:tcW w:w="5637" w:type="dxa"/>
            <w:tcBorders>
              <w:top w:val="single" w:sz="4" w:space="0" w:color="auto"/>
            </w:tcBorders>
            <w:shd w:val="clear" w:color="auto" w:fill="auto"/>
          </w:tcPr>
          <w:p w14:paraId="22DAFF14" w14:textId="77777777" w:rsidR="00703BD7" w:rsidRPr="00566C64" w:rsidRDefault="00703BD7" w:rsidP="00703BD7">
            <w:pPr>
              <w:ind w:firstLine="0"/>
              <w:rPr>
                <w:rFonts w:ascii="Verdana" w:hAnsi="Verdana"/>
                <w:i/>
                <w:sz w:val="20"/>
              </w:rPr>
            </w:pPr>
            <w:r w:rsidRPr="00566C64">
              <w:rPr>
                <w:rFonts w:ascii="Verdana" w:hAnsi="Verdana"/>
                <w:i/>
                <w:sz w:val="20"/>
              </w:rPr>
              <w:t>Cost of acquisition of investment in Fate Ltd</w:t>
            </w:r>
          </w:p>
        </w:tc>
        <w:tc>
          <w:tcPr>
            <w:tcW w:w="1417" w:type="dxa"/>
            <w:tcBorders>
              <w:top w:val="single" w:sz="4" w:space="0" w:color="auto"/>
            </w:tcBorders>
          </w:tcPr>
          <w:p w14:paraId="46786194" w14:textId="77777777" w:rsidR="00703BD7" w:rsidRPr="00381501" w:rsidRDefault="00703BD7" w:rsidP="006559C9">
            <w:pPr>
              <w:ind w:firstLine="0"/>
              <w:jc w:val="center"/>
              <w:rPr>
                <w:rFonts w:ascii="Verdana" w:hAnsi="Verdana"/>
                <w:b/>
                <w:sz w:val="20"/>
              </w:rPr>
            </w:pPr>
            <w:r w:rsidRPr="00381501">
              <w:rPr>
                <w:rFonts w:ascii="Verdana" w:hAnsi="Verdana"/>
                <w:b/>
                <w:sz w:val="20"/>
              </w:rPr>
              <w:t>$</w:t>
            </w:r>
          </w:p>
        </w:tc>
        <w:tc>
          <w:tcPr>
            <w:tcW w:w="1418" w:type="dxa"/>
            <w:tcBorders>
              <w:top w:val="single" w:sz="4" w:space="0" w:color="auto"/>
            </w:tcBorders>
            <w:shd w:val="clear" w:color="auto" w:fill="auto"/>
          </w:tcPr>
          <w:p w14:paraId="13445744" w14:textId="77777777" w:rsidR="00703BD7" w:rsidRPr="00381501" w:rsidRDefault="00703BD7" w:rsidP="006559C9">
            <w:pPr>
              <w:ind w:firstLine="0"/>
              <w:jc w:val="center"/>
              <w:rPr>
                <w:rFonts w:ascii="Verdana" w:hAnsi="Verdana"/>
                <w:b/>
                <w:sz w:val="20"/>
              </w:rPr>
            </w:pPr>
            <w:r w:rsidRPr="00381501">
              <w:rPr>
                <w:rFonts w:ascii="Verdana" w:hAnsi="Verdana"/>
                <w:b/>
                <w:sz w:val="20"/>
              </w:rPr>
              <w:t>$</w:t>
            </w:r>
          </w:p>
        </w:tc>
      </w:tr>
      <w:tr w:rsidR="00703BD7" w:rsidRPr="00566C64" w14:paraId="3DC26034" w14:textId="77777777" w:rsidTr="00F73FF5">
        <w:trPr>
          <w:trHeight w:val="255"/>
        </w:trPr>
        <w:tc>
          <w:tcPr>
            <w:tcW w:w="5637" w:type="dxa"/>
            <w:shd w:val="clear" w:color="auto" w:fill="auto"/>
          </w:tcPr>
          <w:p w14:paraId="5636D859" w14:textId="77777777" w:rsidR="00703BD7" w:rsidRPr="00566C64" w:rsidRDefault="00703BD7" w:rsidP="00703BD7">
            <w:pPr>
              <w:ind w:firstLine="0"/>
              <w:rPr>
                <w:rFonts w:ascii="Verdana" w:hAnsi="Verdana"/>
                <w:sz w:val="20"/>
              </w:rPr>
            </w:pPr>
            <w:r w:rsidRPr="00566C64">
              <w:rPr>
                <w:rFonts w:ascii="Verdana" w:hAnsi="Verdana"/>
                <w:sz w:val="20"/>
              </w:rPr>
              <w:t>Fair value of purchase consideration for 100% of Fate Ltd’s equity</w:t>
            </w:r>
          </w:p>
        </w:tc>
        <w:tc>
          <w:tcPr>
            <w:tcW w:w="1417" w:type="dxa"/>
          </w:tcPr>
          <w:p w14:paraId="1116AD1F" w14:textId="77777777" w:rsidR="00703BD7" w:rsidRPr="00566C64" w:rsidRDefault="00703BD7" w:rsidP="00703BD7">
            <w:pPr>
              <w:ind w:firstLine="0"/>
              <w:jc w:val="right"/>
              <w:rPr>
                <w:rFonts w:ascii="Verdana" w:hAnsi="Verdana"/>
                <w:sz w:val="20"/>
              </w:rPr>
            </w:pPr>
          </w:p>
        </w:tc>
        <w:tc>
          <w:tcPr>
            <w:tcW w:w="1418" w:type="dxa"/>
            <w:shd w:val="clear" w:color="auto" w:fill="auto"/>
          </w:tcPr>
          <w:p w14:paraId="2DFC291F" w14:textId="0C2E0065" w:rsidR="00703BD7" w:rsidRPr="00566C64" w:rsidRDefault="00703BD7" w:rsidP="00703BD7">
            <w:pPr>
              <w:ind w:firstLine="0"/>
              <w:jc w:val="right"/>
              <w:rPr>
                <w:rFonts w:ascii="Verdana" w:hAnsi="Verdana"/>
                <w:sz w:val="20"/>
              </w:rPr>
            </w:pPr>
            <w:r w:rsidRPr="00566C64">
              <w:rPr>
                <w:rFonts w:ascii="Verdana" w:hAnsi="Verdana"/>
                <w:sz w:val="20"/>
              </w:rPr>
              <w:t>3</w:t>
            </w:r>
            <w:r w:rsidR="00B84BA4">
              <w:rPr>
                <w:rFonts w:ascii="Verdana" w:hAnsi="Verdana"/>
                <w:sz w:val="20"/>
              </w:rPr>
              <w:t> </w:t>
            </w:r>
            <w:r w:rsidRPr="00566C64">
              <w:rPr>
                <w:rFonts w:ascii="Verdana" w:hAnsi="Verdana"/>
                <w:sz w:val="20"/>
              </w:rPr>
              <w:t>200</w:t>
            </w:r>
            <w:r w:rsidR="00B84BA4">
              <w:rPr>
                <w:rFonts w:ascii="Verdana" w:hAnsi="Verdana"/>
                <w:sz w:val="20"/>
              </w:rPr>
              <w:t> </w:t>
            </w:r>
            <w:r w:rsidRPr="00566C64">
              <w:rPr>
                <w:rFonts w:ascii="Verdana" w:hAnsi="Verdana"/>
                <w:sz w:val="20"/>
              </w:rPr>
              <w:t>000</w:t>
            </w:r>
          </w:p>
        </w:tc>
      </w:tr>
      <w:tr w:rsidR="00703BD7" w:rsidRPr="00566C64" w14:paraId="69E2BEBC" w14:textId="77777777" w:rsidTr="00F73FF5">
        <w:trPr>
          <w:trHeight w:val="255"/>
        </w:trPr>
        <w:tc>
          <w:tcPr>
            <w:tcW w:w="5637" w:type="dxa"/>
            <w:shd w:val="clear" w:color="auto" w:fill="auto"/>
          </w:tcPr>
          <w:p w14:paraId="64F191D7" w14:textId="5BD1CE4C" w:rsidR="00703BD7" w:rsidRPr="00566C64" w:rsidRDefault="00703BD7" w:rsidP="00703BD7">
            <w:pPr>
              <w:ind w:firstLine="0"/>
              <w:rPr>
                <w:rFonts w:ascii="Verdana" w:hAnsi="Verdana"/>
                <w:i/>
                <w:sz w:val="20"/>
              </w:rPr>
            </w:pPr>
            <w:r w:rsidRPr="00566C64">
              <w:rPr>
                <w:rFonts w:ascii="Verdana" w:hAnsi="Verdana"/>
                <w:i/>
                <w:sz w:val="20"/>
              </w:rPr>
              <w:t xml:space="preserve">Less </w:t>
            </w:r>
            <w:r w:rsidR="004B447E" w:rsidRPr="0022267C">
              <w:rPr>
                <w:rFonts w:ascii="Verdana" w:hAnsi="Verdana"/>
                <w:sz w:val="20"/>
              </w:rPr>
              <w:t>F</w:t>
            </w:r>
            <w:r w:rsidRPr="0022267C">
              <w:rPr>
                <w:rFonts w:ascii="Verdana" w:hAnsi="Verdana"/>
                <w:sz w:val="20"/>
              </w:rPr>
              <w:t>air value of identifiable net assets of Fate Ltd</w:t>
            </w:r>
          </w:p>
        </w:tc>
        <w:tc>
          <w:tcPr>
            <w:tcW w:w="1417" w:type="dxa"/>
          </w:tcPr>
          <w:p w14:paraId="2274D4FA" w14:textId="77777777" w:rsidR="00703BD7" w:rsidRPr="00566C64" w:rsidRDefault="00703BD7" w:rsidP="00703BD7">
            <w:pPr>
              <w:ind w:firstLine="0"/>
              <w:jc w:val="right"/>
              <w:rPr>
                <w:rFonts w:ascii="Verdana" w:hAnsi="Verdana"/>
                <w:i/>
                <w:sz w:val="20"/>
              </w:rPr>
            </w:pPr>
          </w:p>
        </w:tc>
        <w:tc>
          <w:tcPr>
            <w:tcW w:w="1418" w:type="dxa"/>
            <w:shd w:val="clear" w:color="auto" w:fill="auto"/>
          </w:tcPr>
          <w:p w14:paraId="771B3590" w14:textId="77777777" w:rsidR="00703BD7" w:rsidRPr="00566C64" w:rsidRDefault="00703BD7" w:rsidP="00703BD7">
            <w:pPr>
              <w:ind w:firstLine="0"/>
              <w:jc w:val="right"/>
              <w:rPr>
                <w:rFonts w:ascii="Verdana" w:hAnsi="Verdana"/>
                <w:i/>
                <w:sz w:val="20"/>
              </w:rPr>
            </w:pPr>
          </w:p>
        </w:tc>
      </w:tr>
      <w:tr w:rsidR="00703BD7" w:rsidRPr="00566C64" w14:paraId="4D394B7E" w14:textId="77777777" w:rsidTr="00F73FF5">
        <w:trPr>
          <w:trHeight w:val="255"/>
        </w:trPr>
        <w:tc>
          <w:tcPr>
            <w:tcW w:w="5637" w:type="dxa"/>
            <w:shd w:val="clear" w:color="auto" w:fill="auto"/>
          </w:tcPr>
          <w:p w14:paraId="3ABC2204" w14:textId="77777777" w:rsidR="00703BD7" w:rsidRPr="00566C64" w:rsidRDefault="00703BD7" w:rsidP="00703BD7">
            <w:pPr>
              <w:ind w:firstLine="0"/>
              <w:rPr>
                <w:rFonts w:ascii="Verdana" w:hAnsi="Verdana"/>
                <w:sz w:val="20"/>
              </w:rPr>
            </w:pPr>
            <w:r w:rsidRPr="00566C64">
              <w:rPr>
                <w:rFonts w:ascii="Verdana" w:hAnsi="Verdana"/>
                <w:sz w:val="20"/>
              </w:rPr>
              <w:t>Recorded value of equity (equals carrying amount of identifiable net assets)</w:t>
            </w:r>
          </w:p>
        </w:tc>
        <w:tc>
          <w:tcPr>
            <w:tcW w:w="1417" w:type="dxa"/>
          </w:tcPr>
          <w:p w14:paraId="5E71C69F" w14:textId="77777777" w:rsidR="00703BD7" w:rsidRPr="00566C64" w:rsidRDefault="00703BD7" w:rsidP="00703BD7">
            <w:pPr>
              <w:ind w:firstLine="0"/>
              <w:jc w:val="right"/>
              <w:rPr>
                <w:rFonts w:ascii="Verdana" w:hAnsi="Verdana"/>
                <w:sz w:val="20"/>
              </w:rPr>
            </w:pPr>
          </w:p>
        </w:tc>
        <w:tc>
          <w:tcPr>
            <w:tcW w:w="1418" w:type="dxa"/>
            <w:shd w:val="clear" w:color="auto" w:fill="auto"/>
          </w:tcPr>
          <w:p w14:paraId="4DDDB36D" w14:textId="3EE7051E" w:rsidR="00703BD7" w:rsidRPr="00566C64" w:rsidRDefault="00703BD7" w:rsidP="00703BD7">
            <w:pPr>
              <w:ind w:firstLine="0"/>
              <w:jc w:val="right"/>
              <w:rPr>
                <w:rFonts w:ascii="Verdana" w:hAnsi="Verdana"/>
                <w:sz w:val="20"/>
                <w:u w:val="single"/>
              </w:rPr>
            </w:pPr>
            <w:r w:rsidRPr="00566C64">
              <w:rPr>
                <w:rFonts w:ascii="Verdana" w:hAnsi="Verdana"/>
                <w:sz w:val="20"/>
                <w:u w:val="single"/>
              </w:rPr>
              <w:t>3</w:t>
            </w:r>
            <w:r w:rsidR="00B84BA4">
              <w:rPr>
                <w:rFonts w:ascii="Verdana" w:hAnsi="Verdana"/>
                <w:sz w:val="20"/>
                <w:u w:val="single"/>
              </w:rPr>
              <w:t> </w:t>
            </w:r>
            <w:r w:rsidRPr="00566C64">
              <w:rPr>
                <w:rFonts w:ascii="Verdana" w:hAnsi="Verdana"/>
                <w:sz w:val="20"/>
                <w:u w:val="single"/>
              </w:rPr>
              <w:t>500</w:t>
            </w:r>
            <w:r w:rsidR="00B84BA4">
              <w:rPr>
                <w:rFonts w:ascii="Verdana" w:hAnsi="Verdana"/>
                <w:sz w:val="20"/>
                <w:u w:val="single"/>
              </w:rPr>
              <w:t> </w:t>
            </w:r>
            <w:r w:rsidRPr="00566C64">
              <w:rPr>
                <w:rFonts w:ascii="Verdana" w:hAnsi="Verdana"/>
                <w:sz w:val="20"/>
                <w:u w:val="single"/>
              </w:rPr>
              <w:t>000</w:t>
            </w:r>
          </w:p>
        </w:tc>
      </w:tr>
      <w:tr w:rsidR="00703BD7" w:rsidRPr="00566C64" w14:paraId="7D7D36D2" w14:textId="77777777" w:rsidTr="00F73FF5">
        <w:trPr>
          <w:trHeight w:val="255"/>
        </w:trPr>
        <w:tc>
          <w:tcPr>
            <w:tcW w:w="5637" w:type="dxa"/>
            <w:shd w:val="clear" w:color="auto" w:fill="auto"/>
          </w:tcPr>
          <w:p w14:paraId="2A11F405" w14:textId="2EB71F0F" w:rsidR="00703BD7" w:rsidRPr="00566C64" w:rsidRDefault="00703BD7" w:rsidP="00703BD7">
            <w:pPr>
              <w:ind w:firstLine="0"/>
              <w:rPr>
                <w:rFonts w:ascii="Verdana" w:hAnsi="Verdana"/>
                <w:i/>
                <w:sz w:val="20"/>
              </w:rPr>
            </w:pPr>
            <w:r w:rsidRPr="00566C64">
              <w:rPr>
                <w:rFonts w:ascii="Verdana" w:hAnsi="Verdana"/>
                <w:i/>
                <w:sz w:val="20"/>
              </w:rPr>
              <w:t>Add</w:t>
            </w:r>
            <w:r w:rsidR="004B447E">
              <w:rPr>
                <w:rFonts w:ascii="Verdana" w:hAnsi="Verdana"/>
                <w:i/>
                <w:sz w:val="20"/>
              </w:rPr>
              <w:t xml:space="preserve"> (</w:t>
            </w:r>
            <w:r w:rsidRPr="00566C64">
              <w:rPr>
                <w:rFonts w:ascii="Verdana" w:hAnsi="Verdana"/>
                <w:i/>
                <w:sz w:val="20"/>
              </w:rPr>
              <w:t>subtract</w:t>
            </w:r>
            <w:r w:rsidR="004B447E">
              <w:rPr>
                <w:rFonts w:ascii="Verdana" w:hAnsi="Verdana"/>
                <w:i/>
                <w:sz w:val="20"/>
              </w:rPr>
              <w:t>)</w:t>
            </w:r>
            <w:r w:rsidRPr="0022267C">
              <w:rPr>
                <w:rFonts w:ascii="Verdana" w:hAnsi="Verdana"/>
                <w:sz w:val="20"/>
              </w:rPr>
              <w:t xml:space="preserve"> </w:t>
            </w:r>
            <w:r w:rsidR="004B447E" w:rsidRPr="0022267C">
              <w:rPr>
                <w:rFonts w:ascii="Verdana" w:hAnsi="Verdana"/>
                <w:sz w:val="20"/>
              </w:rPr>
              <w:t>F</w:t>
            </w:r>
            <w:r w:rsidRPr="0022267C">
              <w:rPr>
                <w:rFonts w:ascii="Verdana" w:hAnsi="Verdana"/>
                <w:sz w:val="20"/>
              </w:rPr>
              <w:t>air value adjustments to identifiable net assets</w:t>
            </w:r>
          </w:p>
        </w:tc>
        <w:tc>
          <w:tcPr>
            <w:tcW w:w="1417" w:type="dxa"/>
          </w:tcPr>
          <w:p w14:paraId="0DCB3617" w14:textId="77777777" w:rsidR="00703BD7" w:rsidRPr="00566C64" w:rsidRDefault="00703BD7" w:rsidP="00703BD7">
            <w:pPr>
              <w:ind w:firstLine="0"/>
              <w:jc w:val="right"/>
              <w:rPr>
                <w:rFonts w:ascii="Verdana" w:hAnsi="Verdana"/>
                <w:i/>
                <w:sz w:val="20"/>
              </w:rPr>
            </w:pPr>
          </w:p>
        </w:tc>
        <w:tc>
          <w:tcPr>
            <w:tcW w:w="1418" w:type="dxa"/>
            <w:shd w:val="clear" w:color="auto" w:fill="auto"/>
          </w:tcPr>
          <w:p w14:paraId="47E6D4C4" w14:textId="422F5DA3" w:rsidR="00703BD7" w:rsidRPr="0022267C" w:rsidRDefault="0072710E" w:rsidP="00703BD7">
            <w:pPr>
              <w:ind w:firstLine="0"/>
              <w:jc w:val="right"/>
              <w:rPr>
                <w:rFonts w:ascii="Verdana" w:hAnsi="Verdana"/>
                <w:sz w:val="20"/>
                <w:u w:val="single"/>
              </w:rPr>
            </w:pPr>
            <w:r w:rsidRPr="00566C64">
              <w:rPr>
                <w:rFonts w:ascii="Verdana" w:hAnsi="Verdana"/>
                <w:i/>
                <w:sz w:val="20"/>
                <w:u w:val="single"/>
              </w:rPr>
              <w:t xml:space="preserve"> </w:t>
            </w:r>
            <w:r w:rsidR="00B84BA4">
              <w:rPr>
                <w:rFonts w:ascii="Verdana" w:hAnsi="Verdana"/>
                <w:sz w:val="20"/>
                <w:u w:val="single"/>
              </w:rPr>
              <w:t>–</w:t>
            </w:r>
          </w:p>
        </w:tc>
      </w:tr>
      <w:tr w:rsidR="00A95146" w:rsidRPr="00566C64" w14:paraId="6E2327F1" w14:textId="77777777" w:rsidTr="00F73FF5">
        <w:trPr>
          <w:trHeight w:val="255"/>
        </w:trPr>
        <w:tc>
          <w:tcPr>
            <w:tcW w:w="5637" w:type="dxa"/>
            <w:shd w:val="clear" w:color="auto" w:fill="auto"/>
          </w:tcPr>
          <w:p w14:paraId="47AD0B67" w14:textId="77777777" w:rsidR="00A95146" w:rsidRPr="00566C64" w:rsidRDefault="00A95146" w:rsidP="0022267C">
            <w:pPr>
              <w:tabs>
                <w:tab w:val="left" w:pos="285"/>
              </w:tabs>
              <w:ind w:right="769" w:firstLine="0"/>
              <w:rPr>
                <w:rFonts w:ascii="Verdana" w:hAnsi="Verdana"/>
                <w:sz w:val="20"/>
              </w:rPr>
            </w:pPr>
            <w:r w:rsidRPr="00566C64">
              <w:rPr>
                <w:rFonts w:ascii="Verdana" w:hAnsi="Verdana"/>
                <w:sz w:val="20"/>
              </w:rPr>
              <w:tab/>
              <w:t>Understatement of liability for employee entitlements</w:t>
            </w:r>
          </w:p>
        </w:tc>
        <w:tc>
          <w:tcPr>
            <w:tcW w:w="1417" w:type="dxa"/>
          </w:tcPr>
          <w:p w14:paraId="549B44A9" w14:textId="2E28123A" w:rsidR="00A95146" w:rsidRPr="00566C64" w:rsidRDefault="00A95146" w:rsidP="00703BD7">
            <w:pPr>
              <w:ind w:firstLine="0"/>
              <w:jc w:val="right"/>
              <w:rPr>
                <w:rFonts w:ascii="Verdana" w:hAnsi="Verdana"/>
                <w:sz w:val="20"/>
              </w:rPr>
            </w:pPr>
            <w:r w:rsidRPr="00566C64">
              <w:rPr>
                <w:rFonts w:ascii="Verdana" w:hAnsi="Verdana"/>
                <w:sz w:val="20"/>
              </w:rPr>
              <w:t>(120</w:t>
            </w:r>
            <w:r w:rsidR="00B84BA4">
              <w:rPr>
                <w:rFonts w:ascii="Verdana" w:hAnsi="Verdana"/>
                <w:sz w:val="20"/>
              </w:rPr>
              <w:t> </w:t>
            </w:r>
            <w:r w:rsidRPr="00566C64">
              <w:rPr>
                <w:rFonts w:ascii="Verdana" w:hAnsi="Verdana"/>
                <w:sz w:val="20"/>
              </w:rPr>
              <w:t>000)</w:t>
            </w:r>
          </w:p>
        </w:tc>
        <w:tc>
          <w:tcPr>
            <w:tcW w:w="1418" w:type="dxa"/>
            <w:shd w:val="clear" w:color="auto" w:fill="auto"/>
          </w:tcPr>
          <w:p w14:paraId="63A5E3DB" w14:textId="77777777" w:rsidR="00A95146" w:rsidRPr="00566C64" w:rsidRDefault="00A95146" w:rsidP="00703BD7">
            <w:pPr>
              <w:ind w:firstLine="0"/>
              <w:jc w:val="right"/>
              <w:rPr>
                <w:rFonts w:ascii="Verdana" w:hAnsi="Verdana"/>
                <w:sz w:val="20"/>
                <w:u w:val="single"/>
              </w:rPr>
            </w:pPr>
          </w:p>
        </w:tc>
      </w:tr>
      <w:tr w:rsidR="00A95146" w:rsidRPr="00566C64" w14:paraId="2818AF47" w14:textId="77777777" w:rsidTr="00F73FF5">
        <w:trPr>
          <w:trHeight w:val="255"/>
        </w:trPr>
        <w:tc>
          <w:tcPr>
            <w:tcW w:w="5637" w:type="dxa"/>
            <w:shd w:val="clear" w:color="auto" w:fill="auto"/>
          </w:tcPr>
          <w:p w14:paraId="55C02B28" w14:textId="330A90B0" w:rsidR="00A95146" w:rsidRPr="00566C64" w:rsidRDefault="00A95146" w:rsidP="0022267C">
            <w:pPr>
              <w:tabs>
                <w:tab w:val="left" w:pos="285"/>
              </w:tabs>
              <w:ind w:right="769" w:firstLine="0"/>
              <w:rPr>
                <w:rFonts w:ascii="Verdana" w:hAnsi="Verdana"/>
                <w:sz w:val="20"/>
              </w:rPr>
            </w:pPr>
            <w:r w:rsidRPr="00566C64">
              <w:rPr>
                <w:rFonts w:ascii="Verdana" w:hAnsi="Verdana"/>
                <w:sz w:val="20"/>
              </w:rPr>
              <w:tab/>
            </w:r>
            <w:r w:rsidR="00080654" w:rsidRPr="00566C64">
              <w:rPr>
                <w:rFonts w:ascii="Verdana" w:hAnsi="Verdana"/>
                <w:sz w:val="20"/>
              </w:rPr>
              <w:t>Over</w:t>
            </w:r>
            <w:r w:rsidRPr="00566C64">
              <w:rPr>
                <w:rFonts w:ascii="Verdana" w:hAnsi="Verdana"/>
                <w:sz w:val="20"/>
              </w:rPr>
              <w:t>statement</w:t>
            </w:r>
            <w:r w:rsidRPr="0022267C">
              <w:rPr>
                <w:rFonts w:ascii="Verdana" w:hAnsi="Verdana"/>
                <w:sz w:val="2"/>
              </w:rPr>
              <w:t xml:space="preserve"> </w:t>
            </w:r>
            <w:r w:rsidRPr="00566C64">
              <w:rPr>
                <w:rFonts w:ascii="Verdana" w:hAnsi="Verdana"/>
                <w:sz w:val="20"/>
              </w:rPr>
              <w:t>of fair value of inventory ($420</w:t>
            </w:r>
            <w:r w:rsidR="00B84BA4">
              <w:rPr>
                <w:rFonts w:ascii="Verdana" w:hAnsi="Verdana"/>
                <w:sz w:val="20"/>
              </w:rPr>
              <w:t> </w:t>
            </w:r>
            <w:r w:rsidRPr="00566C64">
              <w:rPr>
                <w:rFonts w:ascii="Verdana" w:hAnsi="Verdana"/>
                <w:sz w:val="20"/>
              </w:rPr>
              <w:t xml:space="preserve">000 </w:t>
            </w:r>
            <w:r w:rsidR="00B84BA4">
              <w:rPr>
                <w:rFonts w:ascii="Verdana" w:hAnsi="Verdana"/>
                <w:sz w:val="20"/>
              </w:rPr>
              <w:t>–</w:t>
            </w:r>
            <w:r w:rsidRPr="00566C64">
              <w:rPr>
                <w:rFonts w:ascii="Verdana" w:hAnsi="Verdana"/>
                <w:sz w:val="20"/>
              </w:rPr>
              <w:t xml:space="preserve"> $600</w:t>
            </w:r>
            <w:r w:rsidR="00B84BA4">
              <w:rPr>
                <w:rFonts w:ascii="Verdana" w:hAnsi="Verdana"/>
                <w:sz w:val="20"/>
              </w:rPr>
              <w:t> </w:t>
            </w:r>
            <w:r w:rsidRPr="00566C64">
              <w:rPr>
                <w:rFonts w:ascii="Verdana" w:hAnsi="Verdana"/>
                <w:sz w:val="20"/>
              </w:rPr>
              <w:t>000)</w:t>
            </w:r>
          </w:p>
        </w:tc>
        <w:tc>
          <w:tcPr>
            <w:tcW w:w="1417" w:type="dxa"/>
          </w:tcPr>
          <w:p w14:paraId="484478DE" w14:textId="067771D5" w:rsidR="00A95146" w:rsidRPr="00566C64" w:rsidRDefault="00A95146" w:rsidP="00703BD7">
            <w:pPr>
              <w:ind w:firstLine="0"/>
              <w:jc w:val="right"/>
              <w:rPr>
                <w:rFonts w:ascii="Verdana" w:hAnsi="Verdana"/>
                <w:sz w:val="20"/>
              </w:rPr>
            </w:pPr>
            <w:r w:rsidRPr="00566C64">
              <w:rPr>
                <w:rFonts w:ascii="Verdana" w:hAnsi="Verdana"/>
                <w:sz w:val="20"/>
              </w:rPr>
              <w:t>(180</w:t>
            </w:r>
            <w:r w:rsidR="00B84BA4">
              <w:rPr>
                <w:rFonts w:ascii="Verdana" w:hAnsi="Verdana"/>
                <w:sz w:val="20"/>
              </w:rPr>
              <w:t> </w:t>
            </w:r>
            <w:r w:rsidRPr="00566C64">
              <w:rPr>
                <w:rFonts w:ascii="Verdana" w:hAnsi="Verdana"/>
                <w:sz w:val="20"/>
              </w:rPr>
              <w:t>000)</w:t>
            </w:r>
          </w:p>
        </w:tc>
        <w:tc>
          <w:tcPr>
            <w:tcW w:w="1418" w:type="dxa"/>
            <w:shd w:val="clear" w:color="auto" w:fill="auto"/>
          </w:tcPr>
          <w:p w14:paraId="05DDC69A" w14:textId="2F56AE41" w:rsidR="00A95146" w:rsidRPr="00566C64" w:rsidRDefault="00A95146" w:rsidP="00703BD7">
            <w:pPr>
              <w:ind w:firstLine="0"/>
              <w:jc w:val="right"/>
              <w:rPr>
                <w:rFonts w:ascii="Verdana" w:hAnsi="Verdana"/>
                <w:sz w:val="20"/>
                <w:u w:val="single"/>
              </w:rPr>
            </w:pPr>
            <w:r w:rsidRPr="00566C64">
              <w:rPr>
                <w:rFonts w:ascii="Verdana" w:hAnsi="Verdana"/>
                <w:sz w:val="20"/>
                <w:u w:val="single"/>
              </w:rPr>
              <w:t xml:space="preserve"> (300</w:t>
            </w:r>
            <w:r w:rsidR="00B84BA4">
              <w:rPr>
                <w:rFonts w:ascii="Verdana" w:hAnsi="Verdana"/>
                <w:sz w:val="20"/>
                <w:u w:val="single"/>
              </w:rPr>
              <w:t> </w:t>
            </w:r>
            <w:r w:rsidRPr="00566C64">
              <w:rPr>
                <w:rFonts w:ascii="Verdana" w:hAnsi="Verdana"/>
                <w:sz w:val="20"/>
                <w:u w:val="single"/>
              </w:rPr>
              <w:t>000)</w:t>
            </w:r>
          </w:p>
        </w:tc>
      </w:tr>
      <w:tr w:rsidR="00703BD7" w:rsidRPr="00566C64" w14:paraId="3179E39D" w14:textId="77777777" w:rsidTr="00F73FF5">
        <w:trPr>
          <w:trHeight w:val="255"/>
        </w:trPr>
        <w:tc>
          <w:tcPr>
            <w:tcW w:w="5637" w:type="dxa"/>
            <w:shd w:val="clear" w:color="auto" w:fill="auto"/>
          </w:tcPr>
          <w:p w14:paraId="56090C83" w14:textId="77777777" w:rsidR="00703BD7" w:rsidRPr="00566C64" w:rsidRDefault="00A95146" w:rsidP="00703BD7">
            <w:pPr>
              <w:ind w:firstLine="0"/>
              <w:rPr>
                <w:rFonts w:ascii="Verdana" w:hAnsi="Verdana"/>
                <w:sz w:val="20"/>
              </w:rPr>
            </w:pPr>
            <w:r w:rsidRPr="00566C64">
              <w:rPr>
                <w:rFonts w:ascii="Verdana" w:hAnsi="Verdana"/>
                <w:i/>
                <w:sz w:val="20"/>
              </w:rPr>
              <w:t>Adjusted</w:t>
            </w:r>
            <w:r w:rsidRPr="00566C64">
              <w:rPr>
                <w:rFonts w:ascii="Verdana" w:hAnsi="Verdana"/>
                <w:sz w:val="20"/>
              </w:rPr>
              <w:t xml:space="preserve"> </w:t>
            </w:r>
            <w:r w:rsidR="00703BD7" w:rsidRPr="00566C64">
              <w:rPr>
                <w:rFonts w:ascii="Verdana" w:hAnsi="Verdana"/>
                <w:sz w:val="20"/>
              </w:rPr>
              <w:t>Fair value of identifiable net assets of Fate Ltd acquired</w:t>
            </w:r>
          </w:p>
        </w:tc>
        <w:tc>
          <w:tcPr>
            <w:tcW w:w="1417" w:type="dxa"/>
          </w:tcPr>
          <w:p w14:paraId="3431CFA3" w14:textId="77777777" w:rsidR="00703BD7" w:rsidRPr="00566C64" w:rsidRDefault="00703BD7" w:rsidP="00703BD7">
            <w:pPr>
              <w:ind w:firstLine="0"/>
              <w:jc w:val="right"/>
              <w:rPr>
                <w:rFonts w:ascii="Verdana" w:hAnsi="Verdana"/>
                <w:sz w:val="20"/>
              </w:rPr>
            </w:pPr>
          </w:p>
        </w:tc>
        <w:tc>
          <w:tcPr>
            <w:tcW w:w="1418" w:type="dxa"/>
            <w:shd w:val="clear" w:color="auto" w:fill="auto"/>
          </w:tcPr>
          <w:p w14:paraId="75F77614" w14:textId="45F46753" w:rsidR="00703BD7" w:rsidRPr="00566C64" w:rsidRDefault="00703BD7" w:rsidP="00A95146">
            <w:pPr>
              <w:ind w:firstLine="0"/>
              <w:jc w:val="right"/>
              <w:rPr>
                <w:rFonts w:ascii="Verdana" w:hAnsi="Verdana"/>
                <w:sz w:val="20"/>
                <w:u w:val="single"/>
              </w:rPr>
            </w:pPr>
            <w:r w:rsidRPr="00566C64">
              <w:rPr>
                <w:rFonts w:ascii="Verdana" w:hAnsi="Verdana"/>
                <w:sz w:val="20"/>
                <w:u w:val="single"/>
              </w:rPr>
              <w:t>3</w:t>
            </w:r>
            <w:r w:rsidR="00B84BA4">
              <w:rPr>
                <w:rFonts w:ascii="Verdana" w:hAnsi="Verdana"/>
                <w:sz w:val="20"/>
                <w:u w:val="single"/>
              </w:rPr>
              <w:t> </w:t>
            </w:r>
            <w:r w:rsidR="00A95146" w:rsidRPr="00566C64">
              <w:rPr>
                <w:rFonts w:ascii="Verdana" w:hAnsi="Verdana"/>
                <w:sz w:val="20"/>
                <w:u w:val="single"/>
              </w:rPr>
              <w:t>2</w:t>
            </w:r>
            <w:r w:rsidRPr="00566C64">
              <w:rPr>
                <w:rFonts w:ascii="Verdana" w:hAnsi="Verdana"/>
                <w:sz w:val="20"/>
                <w:u w:val="single"/>
              </w:rPr>
              <w:t>00</w:t>
            </w:r>
            <w:r w:rsidR="00B84BA4">
              <w:rPr>
                <w:rFonts w:ascii="Verdana" w:hAnsi="Verdana"/>
                <w:sz w:val="20"/>
                <w:u w:val="single"/>
              </w:rPr>
              <w:t> </w:t>
            </w:r>
            <w:r w:rsidRPr="00566C64">
              <w:rPr>
                <w:rFonts w:ascii="Verdana" w:hAnsi="Verdana"/>
                <w:sz w:val="20"/>
                <w:u w:val="single"/>
              </w:rPr>
              <w:t>000</w:t>
            </w:r>
          </w:p>
        </w:tc>
      </w:tr>
      <w:tr w:rsidR="00703BD7" w:rsidRPr="00566C64" w14:paraId="5ABEB220" w14:textId="77777777" w:rsidTr="00F73FF5">
        <w:trPr>
          <w:trHeight w:val="255"/>
        </w:trPr>
        <w:tc>
          <w:tcPr>
            <w:tcW w:w="5637" w:type="dxa"/>
            <w:shd w:val="clear" w:color="auto" w:fill="auto"/>
          </w:tcPr>
          <w:p w14:paraId="2C1DCBBD" w14:textId="77777777" w:rsidR="00703BD7" w:rsidRPr="00566C64" w:rsidRDefault="00A95146" w:rsidP="00A95146">
            <w:pPr>
              <w:ind w:left="284" w:hanging="284"/>
              <w:rPr>
                <w:rFonts w:ascii="Verdana" w:hAnsi="Verdana"/>
                <w:sz w:val="20"/>
              </w:rPr>
            </w:pPr>
            <w:r w:rsidRPr="00566C64">
              <w:rPr>
                <w:rFonts w:ascii="Verdana" w:hAnsi="Verdana"/>
                <w:b/>
                <w:sz w:val="20"/>
              </w:rPr>
              <w:t xml:space="preserve">No goodwill nor </w:t>
            </w:r>
            <w:r w:rsidR="00703BD7" w:rsidRPr="00566C64">
              <w:rPr>
                <w:rFonts w:ascii="Verdana" w:hAnsi="Verdana"/>
                <w:b/>
                <w:sz w:val="20"/>
              </w:rPr>
              <w:t>Gain on bargain purchase</w:t>
            </w:r>
            <w:r w:rsidR="00703BD7" w:rsidRPr="00566C64">
              <w:rPr>
                <w:rFonts w:ascii="Verdana" w:hAnsi="Verdana"/>
                <w:sz w:val="20"/>
              </w:rPr>
              <w:t xml:space="preserve">: cost of acquisition </w:t>
            </w:r>
            <w:r w:rsidRPr="00566C64">
              <w:rPr>
                <w:rFonts w:ascii="Verdana" w:hAnsi="Verdana"/>
                <w:sz w:val="20"/>
              </w:rPr>
              <w:t>=</w:t>
            </w:r>
            <w:r w:rsidR="00703BD7" w:rsidRPr="00566C64">
              <w:rPr>
                <w:rFonts w:ascii="Verdana" w:hAnsi="Verdana"/>
                <w:sz w:val="20"/>
              </w:rPr>
              <w:t xml:space="preserve"> fair value of identifiable net assets</w:t>
            </w:r>
          </w:p>
        </w:tc>
        <w:tc>
          <w:tcPr>
            <w:tcW w:w="1417" w:type="dxa"/>
          </w:tcPr>
          <w:p w14:paraId="0E1DD300" w14:textId="77777777" w:rsidR="00703BD7" w:rsidRPr="00566C64" w:rsidRDefault="00703BD7" w:rsidP="00703BD7">
            <w:pPr>
              <w:ind w:firstLine="0"/>
              <w:jc w:val="right"/>
              <w:rPr>
                <w:rFonts w:ascii="Verdana" w:hAnsi="Verdana"/>
                <w:sz w:val="20"/>
              </w:rPr>
            </w:pPr>
          </w:p>
        </w:tc>
        <w:tc>
          <w:tcPr>
            <w:tcW w:w="1418" w:type="dxa"/>
            <w:shd w:val="clear" w:color="auto" w:fill="auto"/>
          </w:tcPr>
          <w:p w14:paraId="29346977" w14:textId="77777777" w:rsidR="00703BD7" w:rsidRPr="00566C64" w:rsidRDefault="00703BD7" w:rsidP="00A95146">
            <w:pPr>
              <w:ind w:firstLine="0"/>
              <w:jc w:val="right"/>
              <w:rPr>
                <w:rFonts w:ascii="Verdana" w:hAnsi="Verdana"/>
                <w:sz w:val="20"/>
              </w:rPr>
            </w:pPr>
            <w:r w:rsidRPr="00566C64">
              <w:rPr>
                <w:rFonts w:ascii="Verdana" w:hAnsi="Verdana"/>
                <w:sz w:val="20"/>
              </w:rPr>
              <w:t>0</w:t>
            </w:r>
          </w:p>
        </w:tc>
      </w:tr>
      <w:tr w:rsidR="00703BD7" w:rsidRPr="00566C64" w14:paraId="7E15953C" w14:textId="77777777" w:rsidTr="00F73FF5">
        <w:trPr>
          <w:trHeight w:val="255"/>
        </w:trPr>
        <w:tc>
          <w:tcPr>
            <w:tcW w:w="5637" w:type="dxa"/>
            <w:tcBorders>
              <w:bottom w:val="single" w:sz="4" w:space="0" w:color="auto"/>
            </w:tcBorders>
            <w:shd w:val="clear" w:color="auto" w:fill="auto"/>
          </w:tcPr>
          <w:p w14:paraId="60C462CB" w14:textId="77777777" w:rsidR="00703BD7" w:rsidRPr="00566C64" w:rsidRDefault="00703BD7" w:rsidP="00703BD7">
            <w:pPr>
              <w:ind w:firstLine="0"/>
              <w:rPr>
                <w:rFonts w:ascii="Verdana" w:hAnsi="Verdana"/>
                <w:sz w:val="20"/>
              </w:rPr>
            </w:pPr>
          </w:p>
        </w:tc>
        <w:tc>
          <w:tcPr>
            <w:tcW w:w="1417" w:type="dxa"/>
            <w:tcBorders>
              <w:bottom w:val="single" w:sz="4" w:space="0" w:color="auto"/>
            </w:tcBorders>
          </w:tcPr>
          <w:p w14:paraId="690EF889" w14:textId="77777777" w:rsidR="00703BD7" w:rsidRPr="00566C64" w:rsidRDefault="00703BD7" w:rsidP="00703BD7">
            <w:pPr>
              <w:ind w:firstLine="0"/>
              <w:jc w:val="right"/>
              <w:rPr>
                <w:rFonts w:ascii="Verdana" w:hAnsi="Verdana"/>
                <w:sz w:val="20"/>
              </w:rPr>
            </w:pPr>
          </w:p>
        </w:tc>
        <w:tc>
          <w:tcPr>
            <w:tcW w:w="1418" w:type="dxa"/>
            <w:tcBorders>
              <w:bottom w:val="single" w:sz="4" w:space="0" w:color="auto"/>
            </w:tcBorders>
            <w:shd w:val="clear" w:color="auto" w:fill="auto"/>
          </w:tcPr>
          <w:p w14:paraId="7E618418" w14:textId="77777777" w:rsidR="00703BD7" w:rsidRPr="00566C64" w:rsidRDefault="00703BD7" w:rsidP="00703BD7">
            <w:pPr>
              <w:ind w:firstLine="0"/>
              <w:jc w:val="right"/>
              <w:rPr>
                <w:rFonts w:ascii="Verdana" w:hAnsi="Verdana"/>
                <w:sz w:val="20"/>
              </w:rPr>
            </w:pPr>
            <w:r w:rsidRPr="00566C64">
              <w:rPr>
                <w:rFonts w:ascii="Verdana" w:hAnsi="Verdana"/>
                <w:sz w:val="20"/>
              </w:rPr>
              <w:t>=======</w:t>
            </w:r>
          </w:p>
        </w:tc>
      </w:tr>
    </w:tbl>
    <w:p w14:paraId="1D0B1D34" w14:textId="77777777" w:rsidR="00A95146" w:rsidRPr="00566C64" w:rsidRDefault="00A95146" w:rsidP="00A95146">
      <w:pPr>
        <w:ind w:firstLine="0"/>
        <w:rPr>
          <w:rFonts w:ascii="Verdana" w:hAnsi="Verdana"/>
          <w:sz w:val="20"/>
        </w:rPr>
      </w:pPr>
    </w:p>
    <w:p w14:paraId="4E6C17DA" w14:textId="77777777" w:rsidR="00A0772A" w:rsidRPr="00566C64" w:rsidRDefault="00A0772A" w:rsidP="00D977FE">
      <w:pPr>
        <w:ind w:firstLine="0"/>
        <w:rPr>
          <w:rFonts w:ascii="Verdana" w:hAnsi="Verdana"/>
          <w:sz w:val="20"/>
        </w:rPr>
      </w:pPr>
      <w:bookmarkStart w:id="0" w:name="_GoBack"/>
      <w:bookmarkEnd w:id="0"/>
    </w:p>
    <w:sectPr w:rsidR="00A0772A" w:rsidRPr="00566C64" w:rsidSect="00865853">
      <w:headerReference w:type="even" r:id="rId7"/>
      <w:headerReference w:type="default" r:id="rId8"/>
      <w:footerReference w:type="even" r:id="rId9"/>
      <w:footerReference w:type="default" r:id="rId10"/>
      <w:headerReference w:type="first" r:id="rId11"/>
      <w:footerReference w:type="first" r:id="rId12"/>
      <w:type w:val="continuous"/>
      <w:pgSz w:w="11907" w:h="16839" w:code="9"/>
      <w:pgMar w:top="1440" w:right="1797" w:bottom="1440" w:left="1797" w:header="17"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9BC63" w14:textId="77777777" w:rsidR="007967AF" w:rsidRDefault="007967AF">
      <w:r>
        <w:separator/>
      </w:r>
    </w:p>
  </w:endnote>
  <w:endnote w:type="continuationSeparator" w:id="0">
    <w:p w14:paraId="4E6D0F0B" w14:textId="77777777" w:rsidR="007967AF" w:rsidRDefault="00796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imesNewRomanPS">
    <w:panose1 w:val="00000000000000000000"/>
    <w:charset w:val="00"/>
    <w:family w:val="roman"/>
    <w:notTrueType/>
    <w:pitch w:val="default"/>
    <w:sig w:usb0="00000003" w:usb1="00000000" w:usb2="00000000" w:usb3="00000000" w:csb0="00000001" w:csb1="00000000"/>
  </w:font>
  <w:font w:name="NPS Serif Qual">
    <w:panose1 w:val="00000000000000000000"/>
    <w:charset w:val="00"/>
    <w:family w:val="moder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5ED6E" w14:textId="77777777" w:rsidR="009A6F48" w:rsidRDefault="009A6F48" w:rsidP="00AA20C3">
    <w:pPr>
      <w:pStyle w:val="Footer"/>
      <w:tabs>
        <w:tab w:val="clear" w:pos="8640"/>
      </w:tabs>
      <w:ind w:firstLine="0"/>
      <w:jc w:val="left"/>
      <w:rPr>
        <w:rFonts w:ascii="Verdana" w:hAnsi="Verdana"/>
        <w:sz w:val="16"/>
        <w:szCs w:val="16"/>
      </w:rPr>
    </w:pPr>
    <w:r w:rsidRPr="00FB7A3C">
      <w:rPr>
        <w:rFonts w:ascii="Verdana" w:hAnsi="Verdana"/>
        <w:sz w:val="16"/>
        <w:szCs w:val="16"/>
      </w:rPr>
      <w:t>Copyright © 2017 Pearson Australia (a division of Pearson Australia Group Pty Ltd) 9781488611520</w:t>
    </w:r>
  </w:p>
  <w:p w14:paraId="3E4F319D" w14:textId="2DCE2349" w:rsidR="009A6F48" w:rsidRPr="003B2890" w:rsidRDefault="009A6F48" w:rsidP="0022267C">
    <w:pPr>
      <w:pStyle w:val="Footer"/>
      <w:tabs>
        <w:tab w:val="clear" w:pos="8640"/>
        <w:tab w:val="right" w:pos="8647"/>
      </w:tabs>
      <w:ind w:right="360" w:firstLine="0"/>
      <w:jc w:val="left"/>
      <w:rPr>
        <w:rFonts w:ascii="Verdana" w:hAnsi="Verdana"/>
        <w:sz w:val="18"/>
        <w:szCs w:val="18"/>
      </w:rPr>
    </w:pPr>
    <w:r w:rsidRPr="00FB7A3C">
      <w:rPr>
        <w:rFonts w:ascii="Verdana" w:hAnsi="Verdana"/>
        <w:sz w:val="16"/>
        <w:szCs w:val="16"/>
      </w:rPr>
      <w:t xml:space="preserve">Arthur, </w:t>
    </w:r>
    <w:r w:rsidRPr="00FB7A3C">
      <w:rPr>
        <w:rFonts w:ascii="Verdana" w:hAnsi="Verdana"/>
        <w:i/>
        <w:sz w:val="16"/>
        <w:szCs w:val="16"/>
      </w:rPr>
      <w:t>Accounting for Corporate Combinations and Associations 8e</w:t>
    </w:r>
    <w:r>
      <w:rPr>
        <w:rFonts w:ascii="Verdana" w:hAnsi="Verdana"/>
        <w:i/>
        <w:sz w:val="16"/>
        <w:szCs w:val="16"/>
      </w:rPr>
      <w:tab/>
    </w:r>
    <w:r w:rsidRPr="00D1702A">
      <w:rPr>
        <w:rFonts w:ascii="Verdana" w:hAnsi="Verdana"/>
        <w:sz w:val="16"/>
        <w:szCs w:val="16"/>
      </w:rPr>
      <w:fldChar w:fldCharType="begin"/>
    </w:r>
    <w:r w:rsidRPr="00D1702A">
      <w:rPr>
        <w:rFonts w:ascii="Verdana" w:hAnsi="Verdana"/>
        <w:sz w:val="16"/>
        <w:szCs w:val="16"/>
      </w:rPr>
      <w:instrText xml:space="preserve"> PAGE   \* MERGEFORMAT </w:instrText>
    </w:r>
    <w:r w:rsidRPr="00D1702A">
      <w:rPr>
        <w:rFonts w:ascii="Verdana" w:hAnsi="Verdana"/>
        <w:sz w:val="16"/>
        <w:szCs w:val="16"/>
      </w:rPr>
      <w:fldChar w:fldCharType="separate"/>
    </w:r>
    <w:r>
      <w:rPr>
        <w:rFonts w:ascii="Verdana" w:hAnsi="Verdana"/>
        <w:noProof/>
        <w:sz w:val="16"/>
        <w:szCs w:val="16"/>
      </w:rPr>
      <w:t>12</w:t>
    </w:r>
    <w:r w:rsidRPr="00D1702A">
      <w:rPr>
        <w:rFonts w:ascii="Verdana" w:hAnsi="Verdana"/>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C9A55" w14:textId="77777777" w:rsidR="009A6F48" w:rsidRDefault="009A6F48" w:rsidP="00AA20C3">
    <w:pPr>
      <w:pStyle w:val="Footer"/>
      <w:tabs>
        <w:tab w:val="clear" w:pos="8640"/>
      </w:tabs>
      <w:ind w:firstLine="0"/>
      <w:jc w:val="left"/>
      <w:rPr>
        <w:rFonts w:ascii="Verdana" w:hAnsi="Verdana"/>
        <w:sz w:val="16"/>
        <w:szCs w:val="16"/>
      </w:rPr>
    </w:pPr>
    <w:r w:rsidRPr="00FB7A3C">
      <w:rPr>
        <w:rFonts w:ascii="Verdana" w:hAnsi="Verdana"/>
        <w:sz w:val="16"/>
        <w:szCs w:val="16"/>
      </w:rPr>
      <w:t>Copyright © 2017 Pearson Australia (a division of Pearson Australia Group Pty Ltd) 9781488611520</w:t>
    </w:r>
  </w:p>
  <w:p w14:paraId="6A949033" w14:textId="550BCA02" w:rsidR="009A6F48" w:rsidRPr="007F2875" w:rsidRDefault="009A6F48" w:rsidP="009A6F48">
    <w:pPr>
      <w:pStyle w:val="Footer"/>
      <w:tabs>
        <w:tab w:val="clear" w:pos="8640"/>
        <w:tab w:val="right" w:pos="8314"/>
      </w:tabs>
      <w:ind w:right="-1" w:firstLine="0"/>
      <w:jc w:val="left"/>
      <w:rPr>
        <w:sz w:val="18"/>
        <w:szCs w:val="18"/>
      </w:rPr>
    </w:pPr>
    <w:r w:rsidRPr="00FB7A3C">
      <w:rPr>
        <w:rFonts w:ascii="Verdana" w:hAnsi="Verdana"/>
        <w:sz w:val="16"/>
        <w:szCs w:val="16"/>
      </w:rPr>
      <w:t xml:space="preserve">Arthur, </w:t>
    </w:r>
    <w:r w:rsidRPr="00FB7A3C">
      <w:rPr>
        <w:rFonts w:ascii="Verdana" w:hAnsi="Verdana"/>
        <w:i/>
        <w:sz w:val="16"/>
        <w:szCs w:val="16"/>
      </w:rPr>
      <w:t>Accounting for Corporate Combinations and Associations 8e</w:t>
    </w:r>
    <w:r>
      <w:rPr>
        <w:rFonts w:ascii="Verdana" w:hAnsi="Verdana"/>
        <w:i/>
        <w:sz w:val="16"/>
        <w:szCs w:val="16"/>
      </w:rPr>
      <w:tab/>
    </w:r>
    <w:r w:rsidRPr="00D1702A">
      <w:rPr>
        <w:rFonts w:ascii="Verdana" w:hAnsi="Verdana"/>
        <w:sz w:val="16"/>
        <w:szCs w:val="16"/>
      </w:rPr>
      <w:fldChar w:fldCharType="begin"/>
    </w:r>
    <w:r w:rsidRPr="00D1702A">
      <w:rPr>
        <w:rFonts w:ascii="Verdana" w:hAnsi="Verdana"/>
        <w:sz w:val="16"/>
        <w:szCs w:val="16"/>
      </w:rPr>
      <w:instrText xml:space="preserve"> PAGE   \* MERGEFORMAT </w:instrText>
    </w:r>
    <w:r w:rsidRPr="00D1702A">
      <w:rPr>
        <w:rFonts w:ascii="Verdana" w:hAnsi="Verdana"/>
        <w:sz w:val="16"/>
        <w:szCs w:val="16"/>
      </w:rPr>
      <w:fldChar w:fldCharType="separate"/>
    </w:r>
    <w:r w:rsidR="007827EF">
      <w:rPr>
        <w:rFonts w:ascii="Verdana" w:hAnsi="Verdana"/>
        <w:noProof/>
        <w:sz w:val="16"/>
        <w:szCs w:val="16"/>
      </w:rPr>
      <w:t>12</w:t>
    </w:r>
    <w:r w:rsidRPr="00D1702A">
      <w:rPr>
        <w:rFonts w:ascii="Verdana" w:hAnsi="Verdana"/>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C012" w14:textId="77777777" w:rsidR="00865853" w:rsidRDefault="00865853" w:rsidP="00865853">
    <w:pPr>
      <w:pStyle w:val="Footer"/>
      <w:ind w:firstLine="0"/>
      <w:jc w:val="left"/>
      <w:rPr>
        <w:rFonts w:ascii="Verdana" w:hAnsi="Verdana"/>
        <w:snapToGrid/>
        <w:sz w:val="16"/>
        <w:szCs w:val="16"/>
      </w:rPr>
    </w:pPr>
    <w:r>
      <w:rPr>
        <w:rFonts w:ascii="Verdana" w:hAnsi="Verdana"/>
        <w:sz w:val="16"/>
        <w:szCs w:val="16"/>
      </w:rPr>
      <w:t>Copyright © 2017 Pearson Australia (a division of Pearson Australia Group Pty Ltd) 9781488611520</w:t>
    </w:r>
  </w:p>
  <w:p w14:paraId="1D9AA7AC" w14:textId="16BC88A3" w:rsidR="009A6F48" w:rsidRPr="00865853" w:rsidRDefault="00865853" w:rsidP="00865853">
    <w:pPr>
      <w:pStyle w:val="Footer"/>
      <w:tabs>
        <w:tab w:val="right" w:pos="8314"/>
      </w:tabs>
      <w:ind w:right="-1" w:firstLine="0"/>
      <w:jc w:val="left"/>
      <w:rPr>
        <w:sz w:val="18"/>
        <w:szCs w:val="18"/>
      </w:rPr>
    </w:pPr>
    <w:r>
      <w:rPr>
        <w:rFonts w:ascii="Verdana" w:hAnsi="Verdana"/>
        <w:sz w:val="16"/>
        <w:szCs w:val="16"/>
      </w:rPr>
      <w:t xml:space="preserve">Arthur, </w:t>
    </w:r>
    <w:r>
      <w:rPr>
        <w:rFonts w:ascii="Verdana" w:hAnsi="Verdana"/>
        <w:i/>
        <w:sz w:val="16"/>
        <w:szCs w:val="16"/>
      </w:rPr>
      <w:t>Accounting for Corporate Combinations and Associations 8e</w:t>
    </w:r>
    <w:r>
      <w:rPr>
        <w:rFonts w:ascii="Verdana" w:hAnsi="Verdana"/>
        <w:i/>
        <w:sz w:val="16"/>
        <w:szCs w:val="16"/>
      </w:rPr>
      <w:tab/>
    </w:r>
    <w:r>
      <w:rPr>
        <w:rFonts w:ascii="Verdana" w:hAnsi="Verdana"/>
        <w:sz w:val="16"/>
        <w:szCs w:val="16"/>
      </w:rPr>
      <w:fldChar w:fldCharType="begin"/>
    </w:r>
    <w:r>
      <w:rPr>
        <w:rFonts w:ascii="Verdana" w:hAnsi="Verdana"/>
        <w:sz w:val="16"/>
        <w:szCs w:val="16"/>
      </w:rPr>
      <w:instrText xml:space="preserve"> PAGE   \* MERGEFORMAT </w:instrText>
    </w:r>
    <w:r>
      <w:rPr>
        <w:rFonts w:ascii="Verdana" w:hAnsi="Verdana"/>
        <w:sz w:val="16"/>
        <w:szCs w:val="16"/>
      </w:rPr>
      <w:fldChar w:fldCharType="separate"/>
    </w:r>
    <w:r w:rsidR="007827EF">
      <w:rPr>
        <w:rFonts w:ascii="Verdana" w:hAnsi="Verdana"/>
        <w:noProof/>
        <w:sz w:val="16"/>
        <w:szCs w:val="16"/>
      </w:rPr>
      <w:t>1</w:t>
    </w:r>
    <w:r>
      <w:rPr>
        <w:rFonts w:ascii="Verdana" w:hAnsi="Verdana"/>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4E57F" w14:textId="77777777" w:rsidR="007967AF" w:rsidRDefault="007967AF">
      <w:r>
        <w:separator/>
      </w:r>
    </w:p>
  </w:footnote>
  <w:footnote w:type="continuationSeparator" w:id="0">
    <w:p w14:paraId="1B0C0877" w14:textId="77777777" w:rsidR="007967AF" w:rsidRDefault="00796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D0209" w14:textId="77777777" w:rsidR="00865853" w:rsidRDefault="008658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CC448" w14:textId="2FD339D5" w:rsidR="009A6F48" w:rsidRPr="00A304A1" w:rsidRDefault="009A6F48" w:rsidP="009A6F48">
    <w:pPr>
      <w:pStyle w:val="Header"/>
      <w:ind w:left="-1797"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629A5" w14:textId="77777777" w:rsidR="009A6F48" w:rsidRDefault="006F5149" w:rsidP="00A304A1">
    <w:pPr>
      <w:pStyle w:val="Header"/>
      <w:ind w:left="-1797" w:right="-1753" w:firstLine="0"/>
      <w:jc w:val="center"/>
    </w:pPr>
    <w:r>
      <w:rPr>
        <w:noProof/>
        <w:snapToGrid/>
        <w:lang w:eastAsia="en-AU"/>
      </w:rPr>
      <w:pict w14:anchorId="50DA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597pt;height:25.5pt;visibility:visible">
          <v:imagedata r:id="rId1" o:title=""/>
        </v:shape>
      </w:pict>
    </w:r>
  </w:p>
  <w:p w14:paraId="60A8819F" w14:textId="77777777" w:rsidR="009A6F48" w:rsidRDefault="009A6F48" w:rsidP="00A304A1">
    <w:pPr>
      <w:pStyle w:val="Header"/>
      <w:tabs>
        <w:tab w:val="clear" w:pos="8640"/>
      </w:tabs>
      <w:ind w:left="-1418" w:right="-1369"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7039"/>
    <w:multiLevelType w:val="hybridMultilevel"/>
    <w:tmpl w:val="7F66C86E"/>
    <w:lvl w:ilvl="0" w:tplc="C06CA1B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0E45053"/>
    <w:multiLevelType w:val="hybridMultilevel"/>
    <w:tmpl w:val="98FEC7E8"/>
    <w:lvl w:ilvl="0" w:tplc="C06CA1B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EA60A0"/>
    <w:multiLevelType w:val="hybridMultilevel"/>
    <w:tmpl w:val="9DBA9AA4"/>
    <w:lvl w:ilvl="0" w:tplc="E1D414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9B10A8C"/>
    <w:multiLevelType w:val="hybridMultilevel"/>
    <w:tmpl w:val="9C68DAA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A587386"/>
    <w:multiLevelType w:val="hybridMultilevel"/>
    <w:tmpl w:val="62224FE0"/>
    <w:lvl w:ilvl="0" w:tplc="F0C09E3E">
      <w:start w:val="1"/>
      <w:numFmt w:val="lowerLetter"/>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5" w15:restartNumberingAfterBreak="0">
    <w:nsid w:val="0DB514D9"/>
    <w:multiLevelType w:val="singleLevel"/>
    <w:tmpl w:val="A2C282B8"/>
    <w:lvl w:ilvl="0">
      <w:start w:val="1"/>
      <w:numFmt w:val="bullet"/>
      <w:pStyle w:val="MainDotPoints"/>
      <w:lvlText w:val=""/>
      <w:lvlJc w:val="left"/>
      <w:pPr>
        <w:tabs>
          <w:tab w:val="num" w:pos="567"/>
        </w:tabs>
        <w:ind w:left="567" w:hanging="567"/>
      </w:pPr>
      <w:rPr>
        <w:rFonts w:ascii="Symbol" w:hAnsi="Symbol" w:hint="default"/>
        <w:sz w:val="28"/>
      </w:rPr>
    </w:lvl>
  </w:abstractNum>
  <w:abstractNum w:abstractNumId="6" w15:restartNumberingAfterBreak="0">
    <w:nsid w:val="125C13A7"/>
    <w:multiLevelType w:val="hybridMultilevel"/>
    <w:tmpl w:val="3D8CAE20"/>
    <w:lvl w:ilvl="0" w:tplc="199846DE">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54C3DEC"/>
    <w:multiLevelType w:val="hybridMultilevel"/>
    <w:tmpl w:val="32904FE4"/>
    <w:lvl w:ilvl="0" w:tplc="3788BB7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6E040E2"/>
    <w:multiLevelType w:val="hybridMultilevel"/>
    <w:tmpl w:val="6CEAB44C"/>
    <w:lvl w:ilvl="0" w:tplc="E49E44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F0A7B0F"/>
    <w:multiLevelType w:val="hybridMultilevel"/>
    <w:tmpl w:val="A906FE2E"/>
    <w:lvl w:ilvl="0" w:tplc="C06CA1B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2093561A"/>
    <w:multiLevelType w:val="hybridMultilevel"/>
    <w:tmpl w:val="C054F388"/>
    <w:lvl w:ilvl="0" w:tplc="C06CA1B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26F9654B"/>
    <w:multiLevelType w:val="hybridMultilevel"/>
    <w:tmpl w:val="AAE2303E"/>
    <w:lvl w:ilvl="0" w:tplc="F0C09E3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97D597E"/>
    <w:multiLevelType w:val="hybridMultilevel"/>
    <w:tmpl w:val="0FA487F8"/>
    <w:lvl w:ilvl="0" w:tplc="0B8E9CD0">
      <w:start w:val="1"/>
      <w:numFmt w:val="lowerRoman"/>
      <w:lvlText w:val="(%1)"/>
      <w:lvlJc w:val="left"/>
      <w:pPr>
        <w:tabs>
          <w:tab w:val="num" w:pos="360"/>
        </w:tabs>
        <w:ind w:left="360" w:hanging="360"/>
      </w:pPr>
      <w:rPr>
        <w:rFonts w:hint="default"/>
      </w:rPr>
    </w:lvl>
    <w:lvl w:ilvl="1" w:tplc="C06CA1B8">
      <w:start w:val="1"/>
      <w:numFmt w:val="decimal"/>
      <w:lvlText w:val="%2"/>
      <w:lvlJc w:val="left"/>
      <w:pPr>
        <w:ind w:left="1140" w:hanging="42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29CE7E31"/>
    <w:multiLevelType w:val="hybridMultilevel"/>
    <w:tmpl w:val="EA6E324C"/>
    <w:lvl w:ilvl="0" w:tplc="C06CA1B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389C7429"/>
    <w:multiLevelType w:val="hybridMultilevel"/>
    <w:tmpl w:val="238C219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F0A2D3A"/>
    <w:multiLevelType w:val="hybridMultilevel"/>
    <w:tmpl w:val="935480B0"/>
    <w:lvl w:ilvl="0" w:tplc="4418B3A2">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425D2D44"/>
    <w:multiLevelType w:val="hybridMultilevel"/>
    <w:tmpl w:val="6AB667B0"/>
    <w:lvl w:ilvl="0" w:tplc="70980DF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A70608B"/>
    <w:multiLevelType w:val="hybridMultilevel"/>
    <w:tmpl w:val="543CD788"/>
    <w:lvl w:ilvl="0" w:tplc="5964D69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BE377CE"/>
    <w:multiLevelType w:val="hybridMultilevel"/>
    <w:tmpl w:val="E180ADA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C307BC"/>
    <w:multiLevelType w:val="hybridMultilevel"/>
    <w:tmpl w:val="E4C05F48"/>
    <w:lvl w:ilvl="0" w:tplc="F0C09E3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CC30A3D"/>
    <w:multiLevelType w:val="multilevel"/>
    <w:tmpl w:val="6BCC1090"/>
    <w:lvl w:ilvl="0">
      <w:start w:val="6"/>
      <w:numFmt w:val="decimal"/>
      <w:lvlText w:val="%1"/>
      <w:lvlJc w:val="left"/>
      <w:pPr>
        <w:tabs>
          <w:tab w:val="num" w:pos="360"/>
        </w:tabs>
        <w:ind w:left="0" w:firstLine="0"/>
      </w:pPr>
    </w:lvl>
    <w:lvl w:ilvl="1">
      <w:start w:val="1"/>
      <w:numFmt w:val="decimal"/>
      <w:pStyle w:val="Heading2"/>
      <w:lvlText w:val="7.%2"/>
      <w:lvlJc w:val="left"/>
      <w:pPr>
        <w:tabs>
          <w:tab w:val="num" w:pos="1080"/>
        </w:tabs>
        <w:ind w:left="0" w:firstLine="0"/>
      </w:pPr>
    </w:lvl>
    <w:lvl w:ilvl="2">
      <w:start w:val="1"/>
      <w:numFmt w:val="decimal"/>
      <w:pStyle w:val="Heading3"/>
      <w:lvlText w:val="7.%2.%3"/>
      <w:lvlJc w:val="left"/>
      <w:pPr>
        <w:tabs>
          <w:tab w:val="num" w:pos="1440"/>
        </w:tabs>
        <w:ind w:left="0" w:firstLine="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E252791"/>
    <w:multiLevelType w:val="hybridMultilevel"/>
    <w:tmpl w:val="E4C05F48"/>
    <w:lvl w:ilvl="0" w:tplc="F0C09E3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FC16E4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FC85EAC"/>
    <w:multiLevelType w:val="hybridMultilevel"/>
    <w:tmpl w:val="438E132A"/>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A07008D"/>
    <w:multiLevelType w:val="hybridMultilevel"/>
    <w:tmpl w:val="C7E0538A"/>
    <w:lvl w:ilvl="0" w:tplc="F0C09E3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C2074FE"/>
    <w:multiLevelType w:val="hybridMultilevel"/>
    <w:tmpl w:val="B5787284"/>
    <w:lvl w:ilvl="0" w:tplc="DAEC4942">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5CE0467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D4F751F"/>
    <w:multiLevelType w:val="hybridMultilevel"/>
    <w:tmpl w:val="DF5A3A6C"/>
    <w:lvl w:ilvl="0" w:tplc="C06CA1B8">
      <w:start w:val="1"/>
      <w:numFmt w:val="decimal"/>
      <w:lvlText w:val="%1"/>
      <w:lvlJc w:val="left"/>
      <w:pPr>
        <w:tabs>
          <w:tab w:val="num" w:pos="360"/>
        </w:tabs>
        <w:ind w:left="360" w:hanging="360"/>
      </w:pPr>
      <w:rPr>
        <w:rFonts w:hint="default"/>
      </w:rPr>
    </w:lvl>
    <w:lvl w:ilvl="1" w:tplc="C06CA1B8">
      <w:start w:val="1"/>
      <w:numFmt w:val="decimal"/>
      <w:lvlText w:val="%2"/>
      <w:lvlJc w:val="left"/>
      <w:pPr>
        <w:ind w:left="1140" w:hanging="42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60A032A1"/>
    <w:multiLevelType w:val="hybridMultilevel"/>
    <w:tmpl w:val="1E3074A8"/>
    <w:lvl w:ilvl="0" w:tplc="C06CA1B8">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668D7270"/>
    <w:multiLevelType w:val="hybridMultilevel"/>
    <w:tmpl w:val="E41C9C9A"/>
    <w:lvl w:ilvl="0" w:tplc="4418B3A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0B636D3"/>
    <w:multiLevelType w:val="hybridMultilevel"/>
    <w:tmpl w:val="1A322F2A"/>
    <w:lvl w:ilvl="0" w:tplc="C06CA1B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712F5CE5"/>
    <w:multiLevelType w:val="hybridMultilevel"/>
    <w:tmpl w:val="BBB487B2"/>
    <w:lvl w:ilvl="0" w:tplc="4418B3A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2F73DE8"/>
    <w:multiLevelType w:val="hybridMultilevel"/>
    <w:tmpl w:val="46A48D06"/>
    <w:lvl w:ilvl="0" w:tplc="E49E44B0">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75812148"/>
    <w:multiLevelType w:val="hybridMultilevel"/>
    <w:tmpl w:val="E806D0A8"/>
    <w:lvl w:ilvl="0" w:tplc="C06CA1B8">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7BE83DD7"/>
    <w:multiLevelType w:val="hybridMultilevel"/>
    <w:tmpl w:val="1590A9AA"/>
    <w:lvl w:ilvl="0" w:tplc="4418B3A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C90688D"/>
    <w:multiLevelType w:val="hybridMultilevel"/>
    <w:tmpl w:val="7032C1AC"/>
    <w:lvl w:ilvl="0" w:tplc="C06CA1B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7CCC5EFD"/>
    <w:multiLevelType w:val="hybridMultilevel"/>
    <w:tmpl w:val="9C888FA8"/>
    <w:lvl w:ilvl="0" w:tplc="4418B3A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CCD1381"/>
    <w:multiLevelType w:val="hybridMultilevel"/>
    <w:tmpl w:val="6C9CFA6E"/>
    <w:lvl w:ilvl="0" w:tplc="0B8E9CD0">
      <w:start w:val="1"/>
      <w:numFmt w:val="lowerRoman"/>
      <w:lvlText w:val="(%1)"/>
      <w:lvlJc w:val="left"/>
      <w:pPr>
        <w:tabs>
          <w:tab w:val="num" w:pos="720"/>
        </w:tabs>
        <w:ind w:left="720" w:hanging="360"/>
      </w:pPr>
      <w:rPr>
        <w:rFonts w:hint="default"/>
      </w:rPr>
    </w:lvl>
    <w:lvl w:ilvl="1" w:tplc="DE16A29E">
      <w:start w:val="1"/>
      <w:numFmt w:val="decimal"/>
      <w:lvlText w:val="%2)"/>
      <w:lvlJc w:val="left"/>
      <w:pPr>
        <w:ind w:left="1500" w:hanging="420"/>
      </w:pPr>
      <w:rPr>
        <w:rFonts w:hint="default"/>
      </w:rPr>
    </w:lvl>
    <w:lvl w:ilvl="2" w:tplc="02061990">
      <w:start w:val="1"/>
      <w:numFmt w:val="lowerLetter"/>
      <w:lvlText w:val="(%3)"/>
      <w:lvlJc w:val="left"/>
      <w:pPr>
        <w:ind w:left="2400" w:hanging="42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0"/>
  </w:num>
  <w:num w:numId="2">
    <w:abstractNumId w:val="20"/>
  </w:num>
  <w:num w:numId="3">
    <w:abstractNumId w:val="5"/>
  </w:num>
  <w:num w:numId="4">
    <w:abstractNumId w:val="18"/>
  </w:num>
  <w:num w:numId="5">
    <w:abstractNumId w:val="8"/>
  </w:num>
  <w:num w:numId="6">
    <w:abstractNumId w:val="2"/>
  </w:num>
  <w:num w:numId="7">
    <w:abstractNumId w:val="17"/>
  </w:num>
  <w:num w:numId="8">
    <w:abstractNumId w:val="24"/>
  </w:num>
  <w:num w:numId="9">
    <w:abstractNumId w:val="7"/>
  </w:num>
  <w:num w:numId="10">
    <w:abstractNumId w:val="37"/>
  </w:num>
  <w:num w:numId="11">
    <w:abstractNumId w:val="36"/>
  </w:num>
  <w:num w:numId="12">
    <w:abstractNumId w:val="6"/>
  </w:num>
  <w:num w:numId="13">
    <w:abstractNumId w:val="31"/>
  </w:num>
  <w:num w:numId="14">
    <w:abstractNumId w:val="4"/>
  </w:num>
  <w:num w:numId="15">
    <w:abstractNumId w:val="3"/>
  </w:num>
  <w:num w:numId="16">
    <w:abstractNumId w:val="14"/>
  </w:num>
  <w:num w:numId="17">
    <w:abstractNumId w:val="0"/>
  </w:num>
  <w:num w:numId="18">
    <w:abstractNumId w:val="34"/>
  </w:num>
  <w:num w:numId="19">
    <w:abstractNumId w:val="21"/>
  </w:num>
  <w:num w:numId="20">
    <w:abstractNumId w:val="23"/>
  </w:num>
  <w:num w:numId="21">
    <w:abstractNumId w:val="11"/>
  </w:num>
  <w:num w:numId="22">
    <w:abstractNumId w:val="29"/>
  </w:num>
  <w:num w:numId="23">
    <w:abstractNumId w:val="19"/>
  </w:num>
  <w:num w:numId="24">
    <w:abstractNumId w:val="15"/>
  </w:num>
  <w:num w:numId="25">
    <w:abstractNumId w:val="16"/>
  </w:num>
  <w:num w:numId="26">
    <w:abstractNumId w:val="22"/>
  </w:num>
  <w:num w:numId="27">
    <w:abstractNumId w:val="26"/>
  </w:num>
  <w:num w:numId="28">
    <w:abstractNumId w:val="25"/>
  </w:num>
  <w:num w:numId="29">
    <w:abstractNumId w:val="32"/>
  </w:num>
  <w:num w:numId="30">
    <w:abstractNumId w:val="35"/>
  </w:num>
  <w:num w:numId="31">
    <w:abstractNumId w:val="10"/>
  </w:num>
  <w:num w:numId="32">
    <w:abstractNumId w:val="9"/>
  </w:num>
  <w:num w:numId="33">
    <w:abstractNumId w:val="30"/>
  </w:num>
  <w:num w:numId="34">
    <w:abstractNumId w:val="13"/>
  </w:num>
  <w:num w:numId="35">
    <w:abstractNumId w:val="1"/>
  </w:num>
  <w:num w:numId="36">
    <w:abstractNumId w:val="12"/>
  </w:num>
  <w:num w:numId="37">
    <w:abstractNumId w:val="27"/>
  </w:num>
  <w:num w:numId="38">
    <w:abstractNumId w:val="33"/>
  </w:num>
  <w:num w:numId="39">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8" w:dllVersion="513"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4FF"/>
    <w:rsid w:val="00003C1F"/>
    <w:rsid w:val="000054D8"/>
    <w:rsid w:val="00016F84"/>
    <w:rsid w:val="00017327"/>
    <w:rsid w:val="0001749E"/>
    <w:rsid w:val="000237D3"/>
    <w:rsid w:val="00030EF9"/>
    <w:rsid w:val="00032730"/>
    <w:rsid w:val="000354CD"/>
    <w:rsid w:val="00037E60"/>
    <w:rsid w:val="00053534"/>
    <w:rsid w:val="0005731B"/>
    <w:rsid w:val="00057F68"/>
    <w:rsid w:val="00061E6E"/>
    <w:rsid w:val="00063102"/>
    <w:rsid w:val="00065DED"/>
    <w:rsid w:val="00065E1D"/>
    <w:rsid w:val="00066950"/>
    <w:rsid w:val="00071F2F"/>
    <w:rsid w:val="00072865"/>
    <w:rsid w:val="00080634"/>
    <w:rsid w:val="00080654"/>
    <w:rsid w:val="00083313"/>
    <w:rsid w:val="00085D7A"/>
    <w:rsid w:val="000A0583"/>
    <w:rsid w:val="000A119E"/>
    <w:rsid w:val="000A291E"/>
    <w:rsid w:val="000A70FA"/>
    <w:rsid w:val="000B119E"/>
    <w:rsid w:val="000B7144"/>
    <w:rsid w:val="000C1BA3"/>
    <w:rsid w:val="000C4127"/>
    <w:rsid w:val="000C51CB"/>
    <w:rsid w:val="000C6204"/>
    <w:rsid w:val="000C63DD"/>
    <w:rsid w:val="000D5FA4"/>
    <w:rsid w:val="000F1210"/>
    <w:rsid w:val="00104E75"/>
    <w:rsid w:val="001052F5"/>
    <w:rsid w:val="00106FC9"/>
    <w:rsid w:val="00111F36"/>
    <w:rsid w:val="00112141"/>
    <w:rsid w:val="00123C94"/>
    <w:rsid w:val="00140349"/>
    <w:rsid w:val="00140621"/>
    <w:rsid w:val="00140FB2"/>
    <w:rsid w:val="00142A98"/>
    <w:rsid w:val="00142C62"/>
    <w:rsid w:val="001435E9"/>
    <w:rsid w:val="001459A5"/>
    <w:rsid w:val="0015353B"/>
    <w:rsid w:val="0015684B"/>
    <w:rsid w:val="00156DD3"/>
    <w:rsid w:val="00164CD1"/>
    <w:rsid w:val="00164E05"/>
    <w:rsid w:val="00166CF3"/>
    <w:rsid w:val="00172197"/>
    <w:rsid w:val="00174045"/>
    <w:rsid w:val="00175B37"/>
    <w:rsid w:val="0018024E"/>
    <w:rsid w:val="00184151"/>
    <w:rsid w:val="00185630"/>
    <w:rsid w:val="00185CB7"/>
    <w:rsid w:val="001916BE"/>
    <w:rsid w:val="00195BBE"/>
    <w:rsid w:val="00197C6A"/>
    <w:rsid w:val="001A4250"/>
    <w:rsid w:val="001B1A54"/>
    <w:rsid w:val="001C0B58"/>
    <w:rsid w:val="001C58F7"/>
    <w:rsid w:val="001C64A3"/>
    <w:rsid w:val="001D2D08"/>
    <w:rsid w:val="001D53D0"/>
    <w:rsid w:val="001D6741"/>
    <w:rsid w:val="001E5264"/>
    <w:rsid w:val="001E6517"/>
    <w:rsid w:val="001F5C90"/>
    <w:rsid w:val="001F646B"/>
    <w:rsid w:val="001F69D6"/>
    <w:rsid w:val="00202667"/>
    <w:rsid w:val="0021107A"/>
    <w:rsid w:val="00211B36"/>
    <w:rsid w:val="0022267C"/>
    <w:rsid w:val="00230C06"/>
    <w:rsid w:val="00230EE6"/>
    <w:rsid w:val="0023488A"/>
    <w:rsid w:val="00241F5E"/>
    <w:rsid w:val="00242285"/>
    <w:rsid w:val="0024416E"/>
    <w:rsid w:val="00245755"/>
    <w:rsid w:val="00246B14"/>
    <w:rsid w:val="00254A42"/>
    <w:rsid w:val="00257D07"/>
    <w:rsid w:val="00260E65"/>
    <w:rsid w:val="0026239B"/>
    <w:rsid w:val="002664E2"/>
    <w:rsid w:val="00277498"/>
    <w:rsid w:val="0028577B"/>
    <w:rsid w:val="00286A93"/>
    <w:rsid w:val="002870BF"/>
    <w:rsid w:val="00291E70"/>
    <w:rsid w:val="0029522D"/>
    <w:rsid w:val="002966B1"/>
    <w:rsid w:val="002A03FE"/>
    <w:rsid w:val="002A7206"/>
    <w:rsid w:val="002B0BD0"/>
    <w:rsid w:val="002B7942"/>
    <w:rsid w:val="002C232B"/>
    <w:rsid w:val="002D189B"/>
    <w:rsid w:val="002D64FA"/>
    <w:rsid w:val="002D68EA"/>
    <w:rsid w:val="002D7C05"/>
    <w:rsid w:val="002F18A3"/>
    <w:rsid w:val="002F5305"/>
    <w:rsid w:val="003011AA"/>
    <w:rsid w:val="0030616D"/>
    <w:rsid w:val="0030658A"/>
    <w:rsid w:val="003113FB"/>
    <w:rsid w:val="0031276E"/>
    <w:rsid w:val="003135F5"/>
    <w:rsid w:val="003177A1"/>
    <w:rsid w:val="00325EFB"/>
    <w:rsid w:val="00332070"/>
    <w:rsid w:val="003334C3"/>
    <w:rsid w:val="00341952"/>
    <w:rsid w:val="003432B4"/>
    <w:rsid w:val="0034491E"/>
    <w:rsid w:val="00344D1E"/>
    <w:rsid w:val="003456FB"/>
    <w:rsid w:val="003478A5"/>
    <w:rsid w:val="00351C65"/>
    <w:rsid w:val="00375FB3"/>
    <w:rsid w:val="00381501"/>
    <w:rsid w:val="003815D6"/>
    <w:rsid w:val="00393827"/>
    <w:rsid w:val="003949E8"/>
    <w:rsid w:val="003A2393"/>
    <w:rsid w:val="003A2790"/>
    <w:rsid w:val="003B2890"/>
    <w:rsid w:val="003B2994"/>
    <w:rsid w:val="003C5C9C"/>
    <w:rsid w:val="003D0ECF"/>
    <w:rsid w:val="003E3397"/>
    <w:rsid w:val="003E3493"/>
    <w:rsid w:val="003E3849"/>
    <w:rsid w:val="003F33EA"/>
    <w:rsid w:val="003F6B86"/>
    <w:rsid w:val="003F7B7D"/>
    <w:rsid w:val="0040113B"/>
    <w:rsid w:val="00402569"/>
    <w:rsid w:val="00406B15"/>
    <w:rsid w:val="00410227"/>
    <w:rsid w:val="004160A1"/>
    <w:rsid w:val="00417E22"/>
    <w:rsid w:val="00420F1C"/>
    <w:rsid w:val="0042203C"/>
    <w:rsid w:val="00426CC8"/>
    <w:rsid w:val="004342A5"/>
    <w:rsid w:val="004432A0"/>
    <w:rsid w:val="00445F07"/>
    <w:rsid w:val="00446945"/>
    <w:rsid w:val="00457244"/>
    <w:rsid w:val="00467E4E"/>
    <w:rsid w:val="0047081A"/>
    <w:rsid w:val="00472A09"/>
    <w:rsid w:val="00473506"/>
    <w:rsid w:val="00477982"/>
    <w:rsid w:val="00477E56"/>
    <w:rsid w:val="00481822"/>
    <w:rsid w:val="00483A4F"/>
    <w:rsid w:val="004A05A8"/>
    <w:rsid w:val="004A7ADB"/>
    <w:rsid w:val="004B3875"/>
    <w:rsid w:val="004B4208"/>
    <w:rsid w:val="004B447E"/>
    <w:rsid w:val="004B5669"/>
    <w:rsid w:val="004B654B"/>
    <w:rsid w:val="004C7EBC"/>
    <w:rsid w:val="004D0A14"/>
    <w:rsid w:val="004D1B3B"/>
    <w:rsid w:val="004D27D1"/>
    <w:rsid w:val="004D5875"/>
    <w:rsid w:val="004F4530"/>
    <w:rsid w:val="004F7850"/>
    <w:rsid w:val="0050013E"/>
    <w:rsid w:val="0050210F"/>
    <w:rsid w:val="00511278"/>
    <w:rsid w:val="00514519"/>
    <w:rsid w:val="00514AB9"/>
    <w:rsid w:val="005175E3"/>
    <w:rsid w:val="00520B42"/>
    <w:rsid w:val="0052134E"/>
    <w:rsid w:val="00527EA0"/>
    <w:rsid w:val="00531EF1"/>
    <w:rsid w:val="005363C3"/>
    <w:rsid w:val="00550DAD"/>
    <w:rsid w:val="00557CEB"/>
    <w:rsid w:val="0056101E"/>
    <w:rsid w:val="00566C64"/>
    <w:rsid w:val="00570C07"/>
    <w:rsid w:val="00581A29"/>
    <w:rsid w:val="00582396"/>
    <w:rsid w:val="005868A9"/>
    <w:rsid w:val="00595916"/>
    <w:rsid w:val="005A6B7D"/>
    <w:rsid w:val="005B0167"/>
    <w:rsid w:val="005B5E64"/>
    <w:rsid w:val="005B660D"/>
    <w:rsid w:val="005B7E4F"/>
    <w:rsid w:val="005B7F54"/>
    <w:rsid w:val="005C10FB"/>
    <w:rsid w:val="005C2C5D"/>
    <w:rsid w:val="005C4532"/>
    <w:rsid w:val="005C474B"/>
    <w:rsid w:val="005C6871"/>
    <w:rsid w:val="005C6E4C"/>
    <w:rsid w:val="005D0621"/>
    <w:rsid w:val="005D263C"/>
    <w:rsid w:val="005D30DD"/>
    <w:rsid w:val="005D747F"/>
    <w:rsid w:val="005E27D6"/>
    <w:rsid w:val="005F09EE"/>
    <w:rsid w:val="005F38EC"/>
    <w:rsid w:val="006015C9"/>
    <w:rsid w:val="00601926"/>
    <w:rsid w:val="00601F00"/>
    <w:rsid w:val="00607234"/>
    <w:rsid w:val="00611BA8"/>
    <w:rsid w:val="00615CC3"/>
    <w:rsid w:val="00615D88"/>
    <w:rsid w:val="00617116"/>
    <w:rsid w:val="00625A8C"/>
    <w:rsid w:val="00625F73"/>
    <w:rsid w:val="00631DDE"/>
    <w:rsid w:val="00642D52"/>
    <w:rsid w:val="00645D61"/>
    <w:rsid w:val="00647A95"/>
    <w:rsid w:val="0065391F"/>
    <w:rsid w:val="006559C9"/>
    <w:rsid w:val="0066240C"/>
    <w:rsid w:val="006653D7"/>
    <w:rsid w:val="00675BD9"/>
    <w:rsid w:val="00676440"/>
    <w:rsid w:val="00676F03"/>
    <w:rsid w:val="00683290"/>
    <w:rsid w:val="00685F2A"/>
    <w:rsid w:val="00687652"/>
    <w:rsid w:val="00687F5A"/>
    <w:rsid w:val="00690D86"/>
    <w:rsid w:val="0069215D"/>
    <w:rsid w:val="00692E34"/>
    <w:rsid w:val="006944D6"/>
    <w:rsid w:val="006976FF"/>
    <w:rsid w:val="006A262E"/>
    <w:rsid w:val="006A35BB"/>
    <w:rsid w:val="006A7D68"/>
    <w:rsid w:val="006B276D"/>
    <w:rsid w:val="006C030D"/>
    <w:rsid w:val="006C0EF9"/>
    <w:rsid w:val="006C41B2"/>
    <w:rsid w:val="006C5D5A"/>
    <w:rsid w:val="006C7FF6"/>
    <w:rsid w:val="006E0D8B"/>
    <w:rsid w:val="006F159C"/>
    <w:rsid w:val="006F1A08"/>
    <w:rsid w:val="006F256C"/>
    <w:rsid w:val="006F5149"/>
    <w:rsid w:val="0070013D"/>
    <w:rsid w:val="00701D14"/>
    <w:rsid w:val="00703BD7"/>
    <w:rsid w:val="00703C7F"/>
    <w:rsid w:val="00705B95"/>
    <w:rsid w:val="0070667B"/>
    <w:rsid w:val="00715F6C"/>
    <w:rsid w:val="00721C68"/>
    <w:rsid w:val="00722C9B"/>
    <w:rsid w:val="0072561D"/>
    <w:rsid w:val="0072710E"/>
    <w:rsid w:val="0072720C"/>
    <w:rsid w:val="007323C5"/>
    <w:rsid w:val="00733DCC"/>
    <w:rsid w:val="00737BAE"/>
    <w:rsid w:val="00740B15"/>
    <w:rsid w:val="00741FD5"/>
    <w:rsid w:val="0074652B"/>
    <w:rsid w:val="007556B7"/>
    <w:rsid w:val="007560C4"/>
    <w:rsid w:val="0075632E"/>
    <w:rsid w:val="00765974"/>
    <w:rsid w:val="00775D6E"/>
    <w:rsid w:val="00780FFF"/>
    <w:rsid w:val="007827EF"/>
    <w:rsid w:val="00786933"/>
    <w:rsid w:val="00786BB1"/>
    <w:rsid w:val="0078732E"/>
    <w:rsid w:val="007946C4"/>
    <w:rsid w:val="007964F4"/>
    <w:rsid w:val="007967AF"/>
    <w:rsid w:val="00797805"/>
    <w:rsid w:val="007A0056"/>
    <w:rsid w:val="007A3375"/>
    <w:rsid w:val="007A409C"/>
    <w:rsid w:val="007A4E41"/>
    <w:rsid w:val="007A56BF"/>
    <w:rsid w:val="007B02FC"/>
    <w:rsid w:val="007B6998"/>
    <w:rsid w:val="007D1FBB"/>
    <w:rsid w:val="007D3A5D"/>
    <w:rsid w:val="007D6965"/>
    <w:rsid w:val="007E1758"/>
    <w:rsid w:val="007E73E2"/>
    <w:rsid w:val="007E7D0E"/>
    <w:rsid w:val="007F005A"/>
    <w:rsid w:val="007F04BA"/>
    <w:rsid w:val="007F24B4"/>
    <w:rsid w:val="007F2875"/>
    <w:rsid w:val="00807E5B"/>
    <w:rsid w:val="00814D35"/>
    <w:rsid w:val="00816917"/>
    <w:rsid w:val="008212FF"/>
    <w:rsid w:val="0082551D"/>
    <w:rsid w:val="00825723"/>
    <w:rsid w:val="00826574"/>
    <w:rsid w:val="008306E5"/>
    <w:rsid w:val="0083181F"/>
    <w:rsid w:val="00831F0E"/>
    <w:rsid w:val="00832B43"/>
    <w:rsid w:val="008330B9"/>
    <w:rsid w:val="00837C1D"/>
    <w:rsid w:val="0084443E"/>
    <w:rsid w:val="008531F4"/>
    <w:rsid w:val="00853C17"/>
    <w:rsid w:val="00854341"/>
    <w:rsid w:val="0085438B"/>
    <w:rsid w:val="00854CB2"/>
    <w:rsid w:val="00855688"/>
    <w:rsid w:val="008635C5"/>
    <w:rsid w:val="008636C5"/>
    <w:rsid w:val="00865853"/>
    <w:rsid w:val="00865920"/>
    <w:rsid w:val="00871B98"/>
    <w:rsid w:val="00875A2C"/>
    <w:rsid w:val="00877C69"/>
    <w:rsid w:val="00881C55"/>
    <w:rsid w:val="008824FF"/>
    <w:rsid w:val="00882855"/>
    <w:rsid w:val="00884B87"/>
    <w:rsid w:val="00887260"/>
    <w:rsid w:val="0089701C"/>
    <w:rsid w:val="00897D6C"/>
    <w:rsid w:val="008A030B"/>
    <w:rsid w:val="008A4D10"/>
    <w:rsid w:val="008A5837"/>
    <w:rsid w:val="008B7C11"/>
    <w:rsid w:val="008C3E25"/>
    <w:rsid w:val="008D25C6"/>
    <w:rsid w:val="008D3C84"/>
    <w:rsid w:val="008D5F1A"/>
    <w:rsid w:val="008E02D8"/>
    <w:rsid w:val="008E2B88"/>
    <w:rsid w:val="008E5AB1"/>
    <w:rsid w:val="008E6570"/>
    <w:rsid w:val="008E75DB"/>
    <w:rsid w:val="008F324B"/>
    <w:rsid w:val="009008C7"/>
    <w:rsid w:val="00906403"/>
    <w:rsid w:val="00907946"/>
    <w:rsid w:val="00907CF9"/>
    <w:rsid w:val="009140EE"/>
    <w:rsid w:val="00924B81"/>
    <w:rsid w:val="00931E07"/>
    <w:rsid w:val="009335D9"/>
    <w:rsid w:val="00933A86"/>
    <w:rsid w:val="00935225"/>
    <w:rsid w:val="009419EF"/>
    <w:rsid w:val="00945505"/>
    <w:rsid w:val="00950A3E"/>
    <w:rsid w:val="00951B74"/>
    <w:rsid w:val="0095305E"/>
    <w:rsid w:val="0095533C"/>
    <w:rsid w:val="009602FB"/>
    <w:rsid w:val="0096120D"/>
    <w:rsid w:val="00961636"/>
    <w:rsid w:val="009730DA"/>
    <w:rsid w:val="009750CF"/>
    <w:rsid w:val="00977EA8"/>
    <w:rsid w:val="00983553"/>
    <w:rsid w:val="009869A7"/>
    <w:rsid w:val="00996D3D"/>
    <w:rsid w:val="0099775E"/>
    <w:rsid w:val="009A21C3"/>
    <w:rsid w:val="009A6CE7"/>
    <w:rsid w:val="009A6F48"/>
    <w:rsid w:val="009A7870"/>
    <w:rsid w:val="009B2803"/>
    <w:rsid w:val="009B71E6"/>
    <w:rsid w:val="009C736E"/>
    <w:rsid w:val="009C7F27"/>
    <w:rsid w:val="009D6D38"/>
    <w:rsid w:val="009D76BA"/>
    <w:rsid w:val="009E1DA8"/>
    <w:rsid w:val="009E31C8"/>
    <w:rsid w:val="009E4122"/>
    <w:rsid w:val="009E726D"/>
    <w:rsid w:val="009F0E62"/>
    <w:rsid w:val="00A039DF"/>
    <w:rsid w:val="00A051D4"/>
    <w:rsid w:val="00A0772A"/>
    <w:rsid w:val="00A077BA"/>
    <w:rsid w:val="00A109D3"/>
    <w:rsid w:val="00A14081"/>
    <w:rsid w:val="00A1441E"/>
    <w:rsid w:val="00A27A17"/>
    <w:rsid w:val="00A304A1"/>
    <w:rsid w:val="00A33194"/>
    <w:rsid w:val="00A3407F"/>
    <w:rsid w:val="00A342A7"/>
    <w:rsid w:val="00A360D6"/>
    <w:rsid w:val="00A51C43"/>
    <w:rsid w:val="00A53BC8"/>
    <w:rsid w:val="00A55319"/>
    <w:rsid w:val="00A55664"/>
    <w:rsid w:val="00A55C11"/>
    <w:rsid w:val="00A65DF4"/>
    <w:rsid w:val="00A66BA0"/>
    <w:rsid w:val="00A679BE"/>
    <w:rsid w:val="00A760C2"/>
    <w:rsid w:val="00A80085"/>
    <w:rsid w:val="00A861AB"/>
    <w:rsid w:val="00A91EAA"/>
    <w:rsid w:val="00A95146"/>
    <w:rsid w:val="00A95A78"/>
    <w:rsid w:val="00AA20C3"/>
    <w:rsid w:val="00AB006E"/>
    <w:rsid w:val="00AC471B"/>
    <w:rsid w:val="00AC7AF8"/>
    <w:rsid w:val="00AE1155"/>
    <w:rsid w:val="00AE37A9"/>
    <w:rsid w:val="00AE44C1"/>
    <w:rsid w:val="00AE4C64"/>
    <w:rsid w:val="00AE6F02"/>
    <w:rsid w:val="00AF12D6"/>
    <w:rsid w:val="00AF2816"/>
    <w:rsid w:val="00AF3AD3"/>
    <w:rsid w:val="00AF5313"/>
    <w:rsid w:val="00B020D4"/>
    <w:rsid w:val="00B025D0"/>
    <w:rsid w:val="00B04D5E"/>
    <w:rsid w:val="00B07EC9"/>
    <w:rsid w:val="00B11C58"/>
    <w:rsid w:val="00B13204"/>
    <w:rsid w:val="00B220C8"/>
    <w:rsid w:val="00B32DB5"/>
    <w:rsid w:val="00B35157"/>
    <w:rsid w:val="00B36641"/>
    <w:rsid w:val="00B37213"/>
    <w:rsid w:val="00B4282B"/>
    <w:rsid w:val="00B43578"/>
    <w:rsid w:val="00B46296"/>
    <w:rsid w:val="00B47045"/>
    <w:rsid w:val="00B655C8"/>
    <w:rsid w:val="00B6679D"/>
    <w:rsid w:val="00B667B4"/>
    <w:rsid w:val="00B767B7"/>
    <w:rsid w:val="00B82CFD"/>
    <w:rsid w:val="00B833F8"/>
    <w:rsid w:val="00B8465F"/>
    <w:rsid w:val="00B84BA4"/>
    <w:rsid w:val="00B90D7E"/>
    <w:rsid w:val="00B92336"/>
    <w:rsid w:val="00BA1A5A"/>
    <w:rsid w:val="00BA3731"/>
    <w:rsid w:val="00BA5BD9"/>
    <w:rsid w:val="00BC1B4E"/>
    <w:rsid w:val="00BC3621"/>
    <w:rsid w:val="00BC3A9C"/>
    <w:rsid w:val="00BC7965"/>
    <w:rsid w:val="00BD5000"/>
    <w:rsid w:val="00BD5132"/>
    <w:rsid w:val="00BD58E1"/>
    <w:rsid w:val="00BD7CF2"/>
    <w:rsid w:val="00BE2863"/>
    <w:rsid w:val="00BE6D66"/>
    <w:rsid w:val="00BF108C"/>
    <w:rsid w:val="00BF126C"/>
    <w:rsid w:val="00BF2A97"/>
    <w:rsid w:val="00BF5312"/>
    <w:rsid w:val="00BF6003"/>
    <w:rsid w:val="00C034D0"/>
    <w:rsid w:val="00C0540F"/>
    <w:rsid w:val="00C14BE5"/>
    <w:rsid w:val="00C17CB0"/>
    <w:rsid w:val="00C23758"/>
    <w:rsid w:val="00C244FF"/>
    <w:rsid w:val="00C26028"/>
    <w:rsid w:val="00C27A97"/>
    <w:rsid w:val="00C304F7"/>
    <w:rsid w:val="00C32D71"/>
    <w:rsid w:val="00C34A4B"/>
    <w:rsid w:val="00C34CBB"/>
    <w:rsid w:val="00C367EC"/>
    <w:rsid w:val="00C447EC"/>
    <w:rsid w:val="00C45CFC"/>
    <w:rsid w:val="00C51846"/>
    <w:rsid w:val="00C60EDD"/>
    <w:rsid w:val="00C62BF1"/>
    <w:rsid w:val="00C637FF"/>
    <w:rsid w:val="00C646BB"/>
    <w:rsid w:val="00C6575A"/>
    <w:rsid w:val="00C65DF8"/>
    <w:rsid w:val="00C67BAF"/>
    <w:rsid w:val="00C71BCF"/>
    <w:rsid w:val="00C729FE"/>
    <w:rsid w:val="00C75177"/>
    <w:rsid w:val="00C77817"/>
    <w:rsid w:val="00C82157"/>
    <w:rsid w:val="00C82A96"/>
    <w:rsid w:val="00C84103"/>
    <w:rsid w:val="00C843F0"/>
    <w:rsid w:val="00C9098C"/>
    <w:rsid w:val="00C96CEF"/>
    <w:rsid w:val="00CB54A9"/>
    <w:rsid w:val="00CB5C92"/>
    <w:rsid w:val="00CB773D"/>
    <w:rsid w:val="00CC2456"/>
    <w:rsid w:val="00CC6DB5"/>
    <w:rsid w:val="00CC7B8C"/>
    <w:rsid w:val="00CD1363"/>
    <w:rsid w:val="00CE3BF1"/>
    <w:rsid w:val="00CE6B0A"/>
    <w:rsid w:val="00CE7718"/>
    <w:rsid w:val="00CF0138"/>
    <w:rsid w:val="00CF43AA"/>
    <w:rsid w:val="00D14615"/>
    <w:rsid w:val="00D237FB"/>
    <w:rsid w:val="00D26B43"/>
    <w:rsid w:val="00D346F5"/>
    <w:rsid w:val="00D35F15"/>
    <w:rsid w:val="00D40366"/>
    <w:rsid w:val="00D44C6D"/>
    <w:rsid w:val="00D503A9"/>
    <w:rsid w:val="00D57D5F"/>
    <w:rsid w:val="00D7147A"/>
    <w:rsid w:val="00D72D87"/>
    <w:rsid w:val="00D72FC2"/>
    <w:rsid w:val="00D7526D"/>
    <w:rsid w:val="00D83325"/>
    <w:rsid w:val="00D85856"/>
    <w:rsid w:val="00D91BD5"/>
    <w:rsid w:val="00D954D1"/>
    <w:rsid w:val="00D96C9A"/>
    <w:rsid w:val="00D977FE"/>
    <w:rsid w:val="00DA337F"/>
    <w:rsid w:val="00DA5251"/>
    <w:rsid w:val="00DA677E"/>
    <w:rsid w:val="00DA7ECA"/>
    <w:rsid w:val="00DB3B09"/>
    <w:rsid w:val="00DC216C"/>
    <w:rsid w:val="00DC2220"/>
    <w:rsid w:val="00DC3FDD"/>
    <w:rsid w:val="00DC4706"/>
    <w:rsid w:val="00DC482A"/>
    <w:rsid w:val="00DC603C"/>
    <w:rsid w:val="00DD242D"/>
    <w:rsid w:val="00DD7552"/>
    <w:rsid w:val="00DE43F5"/>
    <w:rsid w:val="00DE7F8E"/>
    <w:rsid w:val="00DF2B9E"/>
    <w:rsid w:val="00DF38D7"/>
    <w:rsid w:val="00E1288B"/>
    <w:rsid w:val="00E1294C"/>
    <w:rsid w:val="00E14B96"/>
    <w:rsid w:val="00E16668"/>
    <w:rsid w:val="00E16961"/>
    <w:rsid w:val="00E16C52"/>
    <w:rsid w:val="00E2028F"/>
    <w:rsid w:val="00E20307"/>
    <w:rsid w:val="00E20C4D"/>
    <w:rsid w:val="00E22522"/>
    <w:rsid w:val="00E22E10"/>
    <w:rsid w:val="00E302AF"/>
    <w:rsid w:val="00E32904"/>
    <w:rsid w:val="00E35F48"/>
    <w:rsid w:val="00E4347A"/>
    <w:rsid w:val="00E4718A"/>
    <w:rsid w:val="00E65806"/>
    <w:rsid w:val="00E666B6"/>
    <w:rsid w:val="00E67A15"/>
    <w:rsid w:val="00E67BB0"/>
    <w:rsid w:val="00E77327"/>
    <w:rsid w:val="00E80432"/>
    <w:rsid w:val="00E81108"/>
    <w:rsid w:val="00E92B00"/>
    <w:rsid w:val="00EA029E"/>
    <w:rsid w:val="00EA4D3E"/>
    <w:rsid w:val="00EA5D88"/>
    <w:rsid w:val="00EA6612"/>
    <w:rsid w:val="00EA7160"/>
    <w:rsid w:val="00EB2A51"/>
    <w:rsid w:val="00EB4164"/>
    <w:rsid w:val="00EC3D21"/>
    <w:rsid w:val="00ED3051"/>
    <w:rsid w:val="00ED3229"/>
    <w:rsid w:val="00ED60C7"/>
    <w:rsid w:val="00ED6B36"/>
    <w:rsid w:val="00ED7423"/>
    <w:rsid w:val="00ED7B5B"/>
    <w:rsid w:val="00EE1EE0"/>
    <w:rsid w:val="00EE33B9"/>
    <w:rsid w:val="00EE4E4E"/>
    <w:rsid w:val="00EF5617"/>
    <w:rsid w:val="00EF5D0F"/>
    <w:rsid w:val="00EF7E93"/>
    <w:rsid w:val="00F00466"/>
    <w:rsid w:val="00F17C30"/>
    <w:rsid w:val="00F23EE8"/>
    <w:rsid w:val="00F2742F"/>
    <w:rsid w:val="00F31D66"/>
    <w:rsid w:val="00F41B6A"/>
    <w:rsid w:val="00F4332A"/>
    <w:rsid w:val="00F43A7E"/>
    <w:rsid w:val="00F47C90"/>
    <w:rsid w:val="00F514B7"/>
    <w:rsid w:val="00F610ED"/>
    <w:rsid w:val="00F6491D"/>
    <w:rsid w:val="00F66118"/>
    <w:rsid w:val="00F674EC"/>
    <w:rsid w:val="00F73FF5"/>
    <w:rsid w:val="00F7428F"/>
    <w:rsid w:val="00F7748F"/>
    <w:rsid w:val="00F9491D"/>
    <w:rsid w:val="00FA0919"/>
    <w:rsid w:val="00FA1450"/>
    <w:rsid w:val="00FA560A"/>
    <w:rsid w:val="00FA5763"/>
    <w:rsid w:val="00FB3729"/>
    <w:rsid w:val="00FB5D09"/>
    <w:rsid w:val="00FB6473"/>
    <w:rsid w:val="00FB7A3C"/>
    <w:rsid w:val="00FC14BB"/>
    <w:rsid w:val="00FC420C"/>
    <w:rsid w:val="00FC6996"/>
    <w:rsid w:val="00FD640D"/>
    <w:rsid w:val="00FE0747"/>
    <w:rsid w:val="00FE3F22"/>
    <w:rsid w:val="00FE4BA6"/>
    <w:rsid w:val="00FE5112"/>
    <w:rsid w:val="00FE588F"/>
    <w:rsid w:val="00FE5A5B"/>
    <w:rsid w:val="00FF2638"/>
    <w:rsid w:val="00FF60B7"/>
    <w:rsid w:val="00FF6982"/>
    <w:rsid w:val="00FF6D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8EF58C"/>
  <w15:docId w15:val="{6A3F1730-92BB-45EB-8390-37CEB7CCC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B37213"/>
    <w:pPr>
      <w:widowControl w:val="0"/>
      <w:ind w:firstLine="432"/>
      <w:jc w:val="both"/>
    </w:pPr>
    <w:rPr>
      <w:snapToGrid w:val="0"/>
      <w:sz w:val="22"/>
      <w:lang w:eastAsia="en-US"/>
    </w:rPr>
  </w:style>
  <w:style w:type="paragraph" w:styleId="Heading1">
    <w:name w:val="heading 1"/>
    <w:basedOn w:val="Normal"/>
    <w:next w:val="Normal"/>
    <w:qFormat/>
    <w:pPr>
      <w:spacing w:after="480" w:line="360" w:lineRule="auto"/>
      <w:jc w:val="center"/>
      <w:outlineLvl w:val="0"/>
    </w:pPr>
    <w:rPr>
      <w:rFonts w:ascii="Bookman Old Style" w:hAnsi="Bookman Old Style"/>
      <w:b/>
      <w:i/>
      <w:sz w:val="48"/>
    </w:rPr>
  </w:style>
  <w:style w:type="paragraph" w:styleId="Heading2">
    <w:name w:val="heading 2"/>
    <w:basedOn w:val="Normal"/>
    <w:next w:val="Normal"/>
    <w:qFormat/>
    <w:pPr>
      <w:numPr>
        <w:ilvl w:val="1"/>
        <w:numId w:val="1"/>
      </w:numPr>
      <w:tabs>
        <w:tab w:val="left" w:pos="864"/>
      </w:tabs>
      <w:spacing w:after="240"/>
      <w:outlineLvl w:val="1"/>
    </w:pPr>
    <w:rPr>
      <w:rFonts w:ascii="Bookman Old Style" w:hAnsi="Bookman Old Style"/>
      <w:i/>
      <w:sz w:val="28"/>
    </w:rPr>
  </w:style>
  <w:style w:type="paragraph" w:styleId="Heading3">
    <w:name w:val="heading 3"/>
    <w:basedOn w:val="Normal"/>
    <w:next w:val="Normal"/>
    <w:qFormat/>
    <w:pPr>
      <w:keepNext/>
      <w:numPr>
        <w:ilvl w:val="2"/>
        <w:numId w:val="2"/>
      </w:numPr>
      <w:tabs>
        <w:tab w:val="left" w:pos="864"/>
      </w:tabs>
      <w:spacing w:after="240"/>
      <w:outlineLvl w:val="2"/>
    </w:pPr>
    <w:rPr>
      <w:rFonts w:ascii="Bookman Old Style" w:hAnsi="Bookman Old Style"/>
      <w:i/>
      <w:sz w:val="24"/>
    </w:rPr>
  </w:style>
  <w:style w:type="paragraph" w:styleId="Heading4">
    <w:name w:val="heading 4"/>
    <w:basedOn w:val="Normal"/>
    <w:next w:val="Normal"/>
    <w:qFormat/>
    <w:pPr>
      <w:keepNext/>
      <w:jc w:val="center"/>
      <w:outlineLvl w:val="3"/>
    </w:pPr>
    <w:rPr>
      <w:i/>
    </w:rPr>
  </w:style>
  <w:style w:type="paragraph" w:styleId="Heading5">
    <w:name w:val="heading 5"/>
    <w:basedOn w:val="Normal"/>
    <w:next w:val="Normal"/>
    <w:qFormat/>
    <w:pPr>
      <w:keepNext/>
      <w:ind w:firstLine="1680"/>
      <w:jc w:val="center"/>
      <w:outlineLvl w:val="4"/>
    </w:pPr>
    <w:rPr>
      <w:i/>
    </w:rPr>
  </w:style>
  <w:style w:type="paragraph" w:styleId="Heading6">
    <w:name w:val="heading 6"/>
    <w:basedOn w:val="Normal"/>
    <w:next w:val="Normal"/>
    <w:qFormat/>
    <w:pPr>
      <w:keepNext/>
      <w:outlineLvl w:val="5"/>
    </w:pPr>
    <w:rPr>
      <w:b/>
      <w:color w:val="0000FF"/>
    </w:rPr>
  </w:style>
  <w:style w:type="paragraph" w:styleId="Heading7">
    <w:name w:val="heading 7"/>
    <w:basedOn w:val="Normal"/>
    <w:next w:val="Normal"/>
    <w:qFormat/>
    <w:pPr>
      <w:keepNext/>
      <w:jc w:val="center"/>
      <w:outlineLvl w:val="6"/>
    </w:pPr>
    <w:rPr>
      <w:color w:val="0000FF"/>
      <w:sz w:val="28"/>
    </w:rPr>
  </w:style>
  <w:style w:type="paragraph" w:styleId="Heading8">
    <w:name w:val="heading 8"/>
    <w:basedOn w:val="Normal"/>
    <w:next w:val="Normal"/>
    <w:qFormat/>
    <w:pPr>
      <w:keepNext/>
      <w:ind w:left="720"/>
      <w:outlineLvl w:val="7"/>
    </w:pPr>
    <w:rPr>
      <w:b/>
      <w:color w:val="0000FF"/>
    </w:rPr>
  </w:style>
  <w:style w:type="paragraph" w:styleId="Heading9">
    <w:name w:val="heading 9"/>
    <w:basedOn w:val="Normal"/>
    <w:next w:val="Normal"/>
    <w:qFormat/>
    <w:pPr>
      <w:keepNext/>
      <w:outlineLvl w:val="8"/>
    </w:pPr>
    <w:rPr>
      <w:i/>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after="480"/>
      <w:jc w:val="center"/>
    </w:pPr>
    <w:rPr>
      <w:sz w:val="28"/>
    </w:rPr>
  </w:style>
  <w:style w:type="paragraph" w:customStyle="1" w:styleId="Balsheetacrosspage-1coy">
    <w:name w:val="Bal sheet across page - 1 coy"/>
    <w:basedOn w:val="Normal"/>
    <w:pPr>
      <w:tabs>
        <w:tab w:val="left" w:pos="720"/>
        <w:tab w:val="decimal" w:pos="4320"/>
        <w:tab w:val="left" w:pos="5400"/>
        <w:tab w:val="decimal" w:pos="8640"/>
      </w:tabs>
    </w:pPr>
  </w:style>
  <w:style w:type="paragraph" w:styleId="BodyText">
    <w:name w:val="Body Text"/>
    <w:basedOn w:val="Normal"/>
  </w:style>
  <w:style w:type="paragraph" w:styleId="BodyText2">
    <w:name w:val="Body Text 2"/>
    <w:basedOn w:val="Normal"/>
  </w:style>
  <w:style w:type="paragraph" w:styleId="BodyText3">
    <w:name w:val="Body Text 3"/>
    <w:basedOn w:val="Normal"/>
    <w:pPr>
      <w:jc w:val="center"/>
    </w:pPr>
  </w:style>
  <w:style w:type="paragraph" w:styleId="BodyTextIndent">
    <w:name w:val="Body Text Indent"/>
    <w:basedOn w:val="Normal"/>
    <w:pPr>
      <w:ind w:firstLine="426"/>
    </w:pPr>
    <w:rPr>
      <w:i/>
    </w:rPr>
  </w:style>
  <w:style w:type="paragraph" w:styleId="BodyTextIndent2">
    <w:name w:val="Body Text Indent 2"/>
    <w:basedOn w:val="Normal"/>
    <w:pPr>
      <w:ind w:left="426"/>
    </w:pPr>
    <w:rPr>
      <w:i/>
    </w:rPr>
  </w:style>
  <w:style w:type="paragraph" w:styleId="BodyTextIndent3">
    <w:name w:val="Body Text Indent 3"/>
    <w:basedOn w:val="Normal"/>
  </w:style>
  <w:style w:type="paragraph" w:customStyle="1" w:styleId="CommentPara">
    <w:name w:val="Comment Para"/>
    <w:basedOn w:val="Normal"/>
    <w:pPr>
      <w:spacing w:after="200" w:line="200" w:lineRule="exact"/>
      <w:ind w:left="720" w:hanging="720"/>
      <w:outlineLvl w:val="2"/>
    </w:p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line="480" w:lineRule="auto"/>
    </w:pPr>
    <w:rPr>
      <w:lang w:val="en-GB"/>
    </w:rPr>
  </w:style>
  <w:style w:type="paragraph" w:styleId="Footer">
    <w:name w:val="footer"/>
    <w:basedOn w:val="Normal"/>
    <w:link w:val="FooterChar"/>
    <w:uiPriority w:val="99"/>
    <w:pPr>
      <w:tabs>
        <w:tab w:val="center" w:pos="4320"/>
        <w:tab w:val="right" w:pos="8640"/>
      </w:tabs>
    </w:pPr>
    <w:rPr>
      <w:lang w:val="x-none"/>
    </w:rPr>
  </w:style>
  <w:style w:type="character" w:styleId="FootnoteReference">
    <w:name w:val="footnote reference"/>
    <w:semiHidden/>
    <w:rPr>
      <w:rFonts w:ascii="Arial" w:hAnsi="Arial"/>
      <w:sz w:val="22"/>
      <w:vertAlign w:val="superscript"/>
    </w:rPr>
  </w:style>
  <w:style w:type="paragraph" w:styleId="FootnoteText">
    <w:name w:val="footnote text"/>
    <w:basedOn w:val="Normal"/>
    <w:semiHidden/>
    <w:rPr>
      <w:rFonts w:ascii="Arial" w:hAnsi="Arial"/>
    </w:rPr>
  </w:style>
  <w:style w:type="paragraph" w:styleId="Header">
    <w:name w:val="header"/>
    <w:basedOn w:val="Normal"/>
    <w:pPr>
      <w:tabs>
        <w:tab w:val="center" w:pos="4320"/>
        <w:tab w:val="right" w:pos="8640"/>
      </w:tabs>
    </w:pPr>
    <w:rPr>
      <w:sz w:val="24"/>
    </w:rPr>
  </w:style>
  <w:style w:type="paragraph" w:customStyle="1" w:styleId="Headingitalics">
    <w:name w:val="Heading italics"/>
    <w:basedOn w:val="Normal"/>
    <w:rPr>
      <w:rFonts w:ascii="Arial" w:hAnsi="Arial"/>
      <w:i/>
    </w:rPr>
  </w:style>
  <w:style w:type="paragraph" w:customStyle="1" w:styleId="MainBody">
    <w:name w:val="Main Body"/>
    <w:basedOn w:val="Normal"/>
    <w:pPr>
      <w:spacing w:before="200" w:line="260" w:lineRule="exact"/>
    </w:pPr>
    <w:rPr>
      <w:rFonts w:ascii="Arial" w:hAnsi="Arial"/>
      <w:lang w:val="en-GB"/>
    </w:rPr>
  </w:style>
  <w:style w:type="paragraph" w:customStyle="1" w:styleId="MainDotPoints">
    <w:name w:val="Main Dot Points"/>
    <w:basedOn w:val="Normal"/>
    <w:pPr>
      <w:numPr>
        <w:numId w:val="3"/>
      </w:numPr>
      <w:spacing w:line="480" w:lineRule="auto"/>
    </w:pPr>
    <w:rPr>
      <w:rFonts w:ascii="Arial" w:hAnsi="Arial"/>
      <w:sz w:val="44"/>
      <w:lang w:val="en-GB"/>
    </w:rPr>
  </w:style>
  <w:style w:type="paragraph" w:customStyle="1" w:styleId="manual">
    <w:name w:val="manual"/>
    <w:basedOn w:val="Normal"/>
  </w:style>
  <w:style w:type="character" w:styleId="PageNumber">
    <w:name w:val="page number"/>
    <w:basedOn w:val="DefaultParagraphFont"/>
  </w:style>
  <w:style w:type="paragraph" w:customStyle="1" w:styleId="smallnotes">
    <w:name w:val="small notes"/>
    <w:basedOn w:val="Heading2"/>
    <w:autoRedefine/>
    <w:pPr>
      <w:keepNext/>
      <w:widowControl/>
      <w:numPr>
        <w:ilvl w:val="0"/>
        <w:numId w:val="0"/>
      </w:numPr>
      <w:tabs>
        <w:tab w:val="clear" w:pos="864"/>
      </w:tabs>
      <w:spacing w:before="120" w:after="60"/>
      <w:jc w:val="left"/>
    </w:pPr>
    <w:rPr>
      <w:rFonts w:ascii="Times New Roman" w:hAnsi="Times New Roman"/>
      <w:b/>
      <w:i w:val="0"/>
      <w:snapToGrid/>
      <w:sz w:val="24"/>
      <w:lang w:val="en-US"/>
    </w:rPr>
  </w:style>
  <w:style w:type="paragraph" w:customStyle="1" w:styleId="StandardParagraph">
    <w:name w:val="Standard Paragraph"/>
    <w:basedOn w:val="Normal"/>
    <w:pPr>
      <w:widowControl/>
      <w:tabs>
        <w:tab w:val="left" w:pos="720"/>
      </w:tabs>
      <w:ind w:left="360" w:hanging="360"/>
    </w:pPr>
    <w:rPr>
      <w:rFonts w:ascii="TimesNewRomanPS" w:hAnsi="TimesNewRomanPS"/>
      <w:b/>
      <w:i/>
      <w:snapToGrid/>
      <w:sz w:val="20"/>
      <w:lang w:val="en-GB"/>
    </w:rPr>
  </w:style>
  <w:style w:type="paragraph" w:customStyle="1" w:styleId="Hangingindent2">
    <w:name w:val="Hanging indent 2"/>
    <w:next w:val="BodyTex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9360" w:firstLine="720"/>
      <w:jc w:val="right"/>
    </w:pPr>
    <w:rPr>
      <w:rFonts w:ascii="NPS Serif Qual" w:hAnsi="NPS Serif Qual"/>
      <w:snapToGrid w:val="0"/>
      <w:color w:val="000000"/>
      <w:sz w:val="24"/>
      <w:lang w:val="en-US" w:eastAsia="en-US"/>
    </w:rPr>
  </w:style>
  <w:style w:type="paragraph" w:customStyle="1" w:styleId="Bodytext1">
    <w:name w:val="Body text1"/>
    <w:next w:val="BodyTex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right="9360"/>
      <w:jc w:val="right"/>
    </w:pPr>
    <w:rPr>
      <w:rFonts w:ascii="Courier" w:hAnsi="Courier"/>
      <w:snapToGrid w:val="0"/>
      <w:color w:val="000000"/>
      <w:lang w:val="en-US" w:eastAsia="en-US"/>
    </w:rPr>
  </w:style>
  <w:style w:type="paragraph" w:customStyle="1" w:styleId="Table">
    <w:name w:val="Table"/>
    <w:next w:val="BodyText"/>
    <w:pPr>
      <w:widowControl w:val="0"/>
      <w:tabs>
        <w:tab w:val="left" w:pos="0"/>
      </w:tabs>
      <w:ind w:right="9360"/>
      <w:jc w:val="right"/>
    </w:pPr>
    <w:rPr>
      <w:rFonts w:ascii="Courier" w:hAnsi="Courier"/>
      <w:snapToGrid w:val="0"/>
      <w:color w:val="000000"/>
      <w:lang w:val="en-US" w:eastAsia="en-US"/>
    </w:rPr>
  </w:style>
  <w:style w:type="character" w:styleId="Hyperlink">
    <w:name w:val="Hyperlink"/>
    <w:rPr>
      <w:color w:val="0000FF"/>
      <w:u w:val="single"/>
    </w:rPr>
  </w:style>
  <w:style w:type="table" w:styleId="TableGrid">
    <w:name w:val="Table Grid"/>
    <w:basedOn w:val="TableNormal"/>
    <w:rsid w:val="00246B14"/>
    <w:pPr>
      <w:widowControl w:val="0"/>
      <w:ind w:firstLine="43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E6B0A"/>
    <w:pPr>
      <w:widowControl w:val="0"/>
      <w:ind w:firstLine="432"/>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BalloonText">
    <w:name w:val="Balloon Text"/>
    <w:basedOn w:val="Normal"/>
    <w:link w:val="BalloonTextChar"/>
    <w:rsid w:val="001E6517"/>
    <w:rPr>
      <w:rFonts w:ascii="Tahoma" w:hAnsi="Tahoma"/>
      <w:sz w:val="16"/>
      <w:szCs w:val="16"/>
      <w:lang w:val="x-none"/>
    </w:rPr>
  </w:style>
  <w:style w:type="character" w:customStyle="1" w:styleId="BalloonTextChar">
    <w:name w:val="Balloon Text Char"/>
    <w:link w:val="BalloonText"/>
    <w:rsid w:val="001E6517"/>
    <w:rPr>
      <w:rFonts w:ascii="Tahoma" w:hAnsi="Tahoma" w:cs="Tahoma"/>
      <w:snapToGrid w:val="0"/>
      <w:sz w:val="16"/>
      <w:szCs w:val="16"/>
      <w:lang w:eastAsia="en-US"/>
    </w:rPr>
  </w:style>
  <w:style w:type="character" w:customStyle="1" w:styleId="FooterChar">
    <w:name w:val="Footer Char"/>
    <w:link w:val="Footer"/>
    <w:uiPriority w:val="99"/>
    <w:rsid w:val="007F2875"/>
    <w:rPr>
      <w:snapToGrid w:val="0"/>
      <w:sz w:val="22"/>
      <w:lang w:eastAsia="en-US"/>
    </w:rPr>
  </w:style>
  <w:style w:type="paragraph" w:styleId="CommentSubject">
    <w:name w:val="annotation subject"/>
    <w:basedOn w:val="CommentText"/>
    <w:next w:val="CommentText"/>
    <w:link w:val="CommentSubjectChar"/>
    <w:rsid w:val="001D53D0"/>
    <w:pPr>
      <w:spacing w:line="240" w:lineRule="auto"/>
    </w:pPr>
    <w:rPr>
      <w:b/>
      <w:bCs/>
      <w:sz w:val="20"/>
      <w:lang w:val="en-AU"/>
    </w:rPr>
  </w:style>
  <w:style w:type="character" w:customStyle="1" w:styleId="CommentTextChar">
    <w:name w:val="Comment Text Char"/>
    <w:link w:val="CommentText"/>
    <w:semiHidden/>
    <w:rsid w:val="001D53D0"/>
    <w:rPr>
      <w:snapToGrid w:val="0"/>
      <w:sz w:val="22"/>
      <w:lang w:val="en-GB" w:eastAsia="en-US"/>
    </w:rPr>
  </w:style>
  <w:style w:type="character" w:customStyle="1" w:styleId="CommentSubjectChar">
    <w:name w:val="Comment Subject Char"/>
    <w:link w:val="CommentSubject"/>
    <w:rsid w:val="001D53D0"/>
    <w:rPr>
      <w:b/>
      <w:bCs/>
      <w:snapToGrid w:val="0"/>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59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13</Pages>
  <Words>6099</Words>
  <Characters>34769</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Chapter 2 Solutions</vt:lpstr>
    </vt:vector>
  </TitlesOfParts>
  <Company/>
  <LinksUpToDate>false</LinksUpToDate>
  <CharactersWithSpaces>40787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Solutions</dc:title>
  <dc:subject>Principles of Consolidation</dc:subject>
  <dc:creator>Jeffrey Knapp</dc:creator>
  <cp:keywords/>
  <cp:lastModifiedBy>Leanne Poll</cp:lastModifiedBy>
  <cp:revision>18</cp:revision>
  <cp:lastPrinted>2012-01-15T07:42:00Z</cp:lastPrinted>
  <dcterms:created xsi:type="dcterms:W3CDTF">2016-10-08T05:15:00Z</dcterms:created>
  <dcterms:modified xsi:type="dcterms:W3CDTF">2016-11-04T04:03:00Z</dcterms:modified>
</cp:coreProperties>
</file>