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F4" w:rsidRDefault="007D4EF4" w:rsidP="007D4EF4">
      <w:pPr>
        <w:pStyle w:val="Title"/>
        <w:rPr>
          <w:sz w:val="40"/>
          <w:szCs w:val="40"/>
        </w:rPr>
      </w:pPr>
      <w:r>
        <w:rPr>
          <w:sz w:val="40"/>
          <w:szCs w:val="40"/>
        </w:rPr>
        <w:t xml:space="preserve">Accounting &amp; Auditing Research: </w:t>
      </w:r>
    </w:p>
    <w:p w:rsidR="007D4EF4" w:rsidRDefault="007D4EF4" w:rsidP="007D4EF4">
      <w:pPr>
        <w:pStyle w:val="Title"/>
        <w:rPr>
          <w:sz w:val="40"/>
          <w:szCs w:val="40"/>
        </w:rPr>
      </w:pPr>
      <w:r>
        <w:rPr>
          <w:sz w:val="40"/>
          <w:szCs w:val="40"/>
        </w:rPr>
        <w:t>Tools and Strategies</w:t>
      </w:r>
    </w:p>
    <w:p w:rsidR="007D4EF4" w:rsidRDefault="007D4EF4" w:rsidP="007D4EF4">
      <w:pPr>
        <w:jc w:val="center"/>
        <w:rPr>
          <w:rFonts w:ascii="Times New Roman" w:hAnsi="Times New Roman"/>
          <w:b/>
          <w:sz w:val="40"/>
          <w:szCs w:val="40"/>
        </w:rPr>
      </w:pPr>
    </w:p>
    <w:p w:rsidR="007D4EF4" w:rsidRDefault="007D4EF4" w:rsidP="007D4EF4">
      <w:pPr>
        <w:jc w:val="center"/>
        <w:rPr>
          <w:rFonts w:ascii="Times New Roman" w:hAnsi="Times New Roman"/>
          <w:b/>
          <w:sz w:val="40"/>
          <w:szCs w:val="40"/>
        </w:rPr>
      </w:pPr>
      <w:r>
        <w:rPr>
          <w:rFonts w:ascii="Times New Roman" w:hAnsi="Times New Roman"/>
          <w:b/>
          <w:sz w:val="40"/>
          <w:szCs w:val="40"/>
        </w:rPr>
        <w:t>8th Edition</w:t>
      </w:r>
    </w:p>
    <w:p w:rsidR="007D4EF4" w:rsidRDefault="007D4EF4" w:rsidP="007D4EF4">
      <w:pPr>
        <w:rPr>
          <w:rFonts w:ascii="Times New Roman" w:hAnsi="Times New Roman"/>
          <w:sz w:val="24"/>
        </w:rPr>
      </w:pPr>
    </w:p>
    <w:p w:rsidR="007D4EF4" w:rsidRDefault="007D4EF4" w:rsidP="007D4EF4">
      <w:pPr>
        <w:rPr>
          <w:rFonts w:ascii="Times New Roman" w:hAnsi="Times New Roman"/>
          <w:sz w:val="24"/>
        </w:rPr>
      </w:pPr>
    </w:p>
    <w:p w:rsidR="007D4EF4" w:rsidRDefault="007D4EF4" w:rsidP="007D4EF4">
      <w:pPr>
        <w:pStyle w:val="Heading1"/>
        <w:rPr>
          <w:b/>
        </w:rPr>
      </w:pPr>
      <w:r>
        <w:rPr>
          <w:b/>
        </w:rPr>
        <w:t>SOLUTIONS MANUAL</w:t>
      </w: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Thomas R. Weirich, PhD, CPA</w:t>
      </w: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Thomas Pearson, LL.M., J.D., CPA</w:t>
      </w:r>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sidRPr="00170B83">
        <w:rPr>
          <w:rFonts w:ascii="Times New Roman" w:hAnsi="Times New Roman"/>
          <w:b/>
          <w:sz w:val="24"/>
          <w:lang w:val="fr-FR"/>
        </w:rPr>
        <w:t>Natalie Churyk, PhD, CPA</w:t>
      </w:r>
      <w:bookmarkStart w:id="0" w:name="_GoBack"/>
      <w:bookmarkEnd w:id="0"/>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lang w:val="fr-FR"/>
        </w:rPr>
      </w:pPr>
      <w:r w:rsidRPr="00170B83">
        <w:rPr>
          <w:rFonts w:ascii="Times New Roman" w:hAnsi="Times New Roman"/>
          <w:b/>
          <w:sz w:val="24"/>
          <w:lang w:val="fr-FR"/>
        </w:rPr>
        <w:t>CHAPTER 1</w:t>
      </w:r>
    </w:p>
    <w:p w:rsidR="007D4EF4" w:rsidRPr="00170B83"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INTRODUCTION TO APPLIED PROFESSIONAL RESEARCH</w:t>
      </w: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r>
        <w:rPr>
          <w:rFonts w:ascii="Times New Roman" w:hAnsi="Times New Roman"/>
          <w:b/>
          <w:sz w:val="24"/>
          <w:u w:val="single"/>
        </w:rPr>
        <w:t>Discussion Questions</w:t>
      </w: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u w:val="single"/>
        </w:rPr>
      </w:pP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 Research in general involves the investigation and analysis of an issue in question.  The researcher usually applies reasonable and reflective thinking to develop an answer to the issue or problem at hand. Research requires a clear definition of the problem, using professional databases to search the authoritative literature, reviewing and evaluating the data collected, drawing conclusions and communicating your </w:t>
      </w:r>
      <w:r w:rsidR="00FE04BB">
        <w:rPr>
          <w:rFonts w:ascii="Times New Roman" w:hAnsi="Times New Roman"/>
          <w:sz w:val="24"/>
        </w:rPr>
        <w:t>results</w:t>
      </w:r>
      <w:r>
        <w:rPr>
          <w:rFonts w:ascii="Times New Roman" w:hAnsi="Times New Roman"/>
          <w:sz w:val="24"/>
        </w:rPr>
        <w:t>.</w:t>
      </w:r>
    </w:p>
    <w:p w:rsidR="007D4EF4" w:rsidRDefault="007D4EF4" w:rsidP="007D4EF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 Accounting, auditing, or tax research involve a systematic and logical investigation of an issue or problem using the accountant’s professional judgment.  Furthermore, accountants approach this problem using critical-thinking skills to obtain and document evidence underlying a conclusion relating to an issue or problem currently confronting the accountant or auditor.</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3. Accounting, auditing, or tax research are necessary in order to determine the proper recording, classification, and disclosure of economic events; to determine compliance with authoritative  pronouncements; or to determine the preferability of alternative accounting procedures.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4. The objective of accounting, auditing, or tax research is a systematic investigation of an issue or problem utilizing the researcher’s professional judgment to arrive at appropriate and timely conclusions regarding the issues at hand.</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5. Research plays an important role within an accounting firm or department.  It is critical for the accountant/auditor to be able to find and locate applicable authoritative pronouncements and to ascertain their current status. Given the number and diversity of clients served, public accounting firms constantly engage in research on a wide array of accounting, auditing, or tax issues.  This </w:t>
      </w:r>
      <w:r>
        <w:rPr>
          <w:rFonts w:ascii="Times New Roman" w:hAnsi="Times New Roman"/>
          <w:sz w:val="24"/>
        </w:rPr>
        <w:lastRenderedPageBreak/>
        <w:t>research process is usually conducted by the local office staff, selected local or regional "research specialists," and/or the executive office research personnel.</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6. The functions of a multi-office CPA firm's Policy Committee are to evaluate significant accounting and auditing issues and establish firm-wide policies on these issues.  Its Executive Subcommittee handles daily ongoing policy (i.e., lower-level) decisions for the firm as a whole.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7. Some basic questions that the researcher must address in performing, accounting, auditing, or tax research include: Do I have the knowledge to do the research?; What is authoritative literature?; Does authoritative literature address the issue?; If authoritative literature does exist, where can I find it?; If there exist more than one alternative of authoritative support, which one do I use?; If authoritative literature does not exist, what do I do?; What professional databases do I use?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8. Theoretical (pure or basic) research involves investigating questions that, while interesting, have little or no present, practical applications; while applied research involves investigating issues of immediate, practical importance.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9. Some of the characteristics that a practitioner-researcher should possess include inquisitiveness, open-mindedness, patience, thoroughness, and perseverance.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10. The “Research Navigation Guide” serves as a tool in navigating through the authoritative literature. The guide helps to focus or narrow one’s research when utilizing various databases like the FASB’s Codification System. One would first focus on a functional area like “Financial Accounting”. </w:t>
      </w:r>
      <w:r w:rsidR="00792D60">
        <w:rPr>
          <w:rFonts w:ascii="Times New Roman" w:hAnsi="Times New Roman"/>
          <w:sz w:val="24"/>
        </w:rPr>
        <w:t xml:space="preserve">Once the functional area is identified, then focus on the broad categorization of the topic such as “Revenue”. </w:t>
      </w:r>
      <w:r>
        <w:rPr>
          <w:rFonts w:ascii="Times New Roman" w:hAnsi="Times New Roman"/>
          <w:sz w:val="24"/>
        </w:rPr>
        <w:t xml:space="preserve">This is followed by focusing on the subtopic that allows for </w:t>
      </w:r>
      <w:smartTag w:uri="urn:schemas-microsoft-com:office:smarttags" w:element="City">
        <w:smartTag w:uri="urn:schemas-microsoft-com:office:smarttags" w:element="place">
          <w:r>
            <w:rPr>
              <w:rFonts w:ascii="Times New Roman" w:hAnsi="Times New Roman"/>
              <w:sz w:val="24"/>
            </w:rPr>
            <w:t>furth</w:t>
          </w:r>
        </w:smartTag>
      </w:smartTag>
      <w:r>
        <w:rPr>
          <w:rFonts w:ascii="Times New Roman" w:hAnsi="Times New Roman"/>
          <w:sz w:val="24"/>
        </w:rPr>
        <w:t xml:space="preserve">er segregation of the issue “Software Revenue”. The final step would be to focus on the section or nature of the content of the issue which is often a recognition, measurement, or disclosure issue such as “Recognition of Software Revenue”. </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11. While a priori (before the fact) research refers to research before the client actually enters into the (proposed) transaction, a posteriori (after the fact) research refers to research relating to past or completed economic transactions. For planning purposes, the practitioner would rather be involved with a priori research to work with the client to develop a correct solution rather than attempting to correct a completed transaction.</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12. The </w:t>
      </w:r>
      <w:smartTag w:uri="urn:schemas-microsoft-com:office:smarttags" w:element="place">
        <w:smartTag w:uri="urn:schemas-microsoft-com:office:smarttags" w:element="State">
          <w:r>
            <w:rPr>
              <w:rFonts w:ascii="Times New Roman" w:hAnsi="Times New Roman"/>
              <w:sz w:val="24"/>
            </w:rPr>
            <w:t>California</w:t>
          </w:r>
        </w:smartTag>
      </w:smartTag>
      <w:r>
        <w:rPr>
          <w:rFonts w:ascii="Times New Roman" w:hAnsi="Times New Roman"/>
          <w:sz w:val="24"/>
        </w:rPr>
        <w:t xml:space="preserve"> court decision stresses that "well-informed" accountants are expected to master "standard research techniques" (or face severe malpractice claims).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13. The research process "adds value" to an accounting firm’s services, since today's complex business transactions and proliferation of new authoritative pronouncements mandates that the firm efficiently and effectively conduct such research for their clients.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14. Some economic consequences to the standard-setting process of performing research include the impact of such pronouncements to investors and creditors resource allocation decisions in </w:t>
      </w:r>
      <w:r>
        <w:rPr>
          <w:rFonts w:ascii="Times New Roman" w:hAnsi="Times New Roman"/>
          <w:sz w:val="24"/>
        </w:rPr>
        <w:lastRenderedPageBreak/>
        <w:t>today's (competitive) capital markets, and the cost/benefit analysis of the issuance of a new standard.</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15. Since the accounting and auditing literature is organized with a keyword indexing system, listing keywords in step one of the research process will aid the researcher in locating the authoritative literature in an efficient and effective manner. Failure to describe the keywords in sufficient detail can cause one to overlook important sources. </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16. The five steps involved in the research process include: identifying the (research) issue, collecting the (appropriate) evidence, evaluating the results and identifying alternative solutions, developing (appropriate) conclusions, and communicating the results to the interested parties.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17. Research can support or refute a biased alternative by gathering evidence that is either unbiased or slanted toward the alternative being researched.  Since the researcher should be unbiased in evaluating the various alternatives, the process often requires a (detailed and logical) analysis of complex and detailed accounting issues--thereby requiring "critical thinking" skills.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18. Problem distillation entails "refining" and "restating" the research issue from general to sufficiently specific terms, in order not to waste time investigating irrelevant items.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19. The skills tested on the CPA exam include: understanding, analysis, judgment, communication, </w:t>
      </w:r>
      <w:r>
        <w:rPr>
          <w:rFonts w:ascii="Times New Roman" w:hAnsi="Times New Roman"/>
          <w:b/>
          <w:sz w:val="24"/>
        </w:rPr>
        <w:t>research</w:t>
      </w:r>
      <w:r>
        <w:rPr>
          <w:rFonts w:ascii="Times New Roman" w:hAnsi="Times New Roman"/>
          <w:sz w:val="24"/>
        </w:rPr>
        <w:t>, and synthesis.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20. A research memorandum should contain such attributes as selecting objective and unbiased words; a grammatically correct and well-spelled, clear statement of the issue researched; a statement of the facts; a brief and precise discussion of the issue; and a straightforward conclusion based upon supported and identified authoritative literature.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The researcher should avoid making such common errors as excessive discussion of the issues and facts, excessive citations to authoritative sources, avoidance of presenting a conclusion, and including irrelevant information.</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21. Critical-thinking skills (e.g., understanding a variety of contents and circumstances and applying various accounting, auditing, and business principles to help solve the problem under review) helps the researcher effectively and efficiently gather relevant facts, synthesize and evaluate alternatives, and develop alternative solutions.</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22. The SEC stressed the importance of accountants performing effective research, claiming that this CPA's deficiency constituted a lack of exercising "due professional care."</w:t>
      </w: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D4EF4" w:rsidRDefault="007D4EF4"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23. Although this question is raised in Chapter 1, it is not directly answered until a later chapter. However, in Chapter 1 it briefly discusses that when authoritative literature does not exist on a specific issue, the practitioner would normally develop a theoretical solution based on logic or analogous </w:t>
      </w:r>
      <w:r w:rsidR="00792D60">
        <w:rPr>
          <w:rFonts w:ascii="Times New Roman" w:hAnsi="Times New Roman"/>
          <w:sz w:val="24"/>
        </w:rPr>
        <w:t>authoritative</w:t>
      </w:r>
      <w:r>
        <w:rPr>
          <w:rFonts w:ascii="Times New Roman" w:hAnsi="Times New Roman"/>
          <w:sz w:val="24"/>
        </w:rPr>
        <w:t xml:space="preserve"> literature. In a later chapter we will focus on this question in detail whereby one utilizes the “FASB’s Conceptual Framework” and other authoritative literature by analogy to solve the problem.</w:t>
      </w:r>
    </w:p>
    <w:p w:rsidR="00FC622E" w:rsidRDefault="00FC622E"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FC622E" w:rsidRDefault="00FC622E"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FC622E" w:rsidRDefault="00FC622E" w:rsidP="00FC622E">
      <w:pPr>
        <w:pStyle w:val="PlainText"/>
        <w:spacing w:after="240" w:line="480" w:lineRule="auto"/>
        <w:rPr>
          <w:rFonts w:ascii="Times New Roman" w:hAnsi="Times New Roman"/>
          <w:b/>
          <w:sz w:val="28"/>
        </w:rPr>
      </w:pPr>
      <w:r>
        <w:rPr>
          <w:rFonts w:ascii="Times New Roman" w:hAnsi="Times New Roman"/>
          <w:b/>
          <w:sz w:val="28"/>
        </w:rPr>
        <w:t xml:space="preserve">Student Cases with Solutions to accompany </w:t>
      </w:r>
      <w:r w:rsidRPr="00BD4EF9">
        <w:rPr>
          <w:rFonts w:ascii="Times New Roman" w:hAnsi="Times New Roman"/>
          <w:b/>
          <w:sz w:val="28"/>
          <w:u w:val="single"/>
        </w:rPr>
        <w:t>Accounting &amp; Auditing Research</w:t>
      </w:r>
      <w:r>
        <w:rPr>
          <w:rFonts w:ascii="Times New Roman" w:hAnsi="Times New Roman"/>
          <w:b/>
          <w:sz w:val="28"/>
          <w:u w:val="single"/>
        </w:rPr>
        <w:t>: Tools &amp; Strategies</w:t>
      </w:r>
      <w:r>
        <w:rPr>
          <w:rFonts w:ascii="Times New Roman" w:hAnsi="Times New Roman"/>
          <w:b/>
          <w:sz w:val="28"/>
        </w:rPr>
        <w:t xml:space="preserve">   </w:t>
      </w:r>
      <w:r w:rsidRPr="00BD4EF9">
        <w:rPr>
          <w:rFonts w:ascii="Times New Roman" w:hAnsi="Times New Roman"/>
          <w:b/>
          <w:sz w:val="28"/>
        </w:rPr>
        <w:t>(</w:t>
      </w:r>
      <w:r>
        <w:rPr>
          <w:rFonts w:ascii="Times New Roman" w:hAnsi="Times New Roman"/>
          <w:b/>
          <w:sz w:val="28"/>
        </w:rPr>
        <w:t>8</w:t>
      </w:r>
      <w:r w:rsidRPr="00BD4EF9">
        <w:rPr>
          <w:rFonts w:ascii="Times New Roman" w:hAnsi="Times New Roman"/>
          <w:b/>
          <w:sz w:val="28"/>
          <w:vertAlign w:val="superscript"/>
        </w:rPr>
        <w:t>th</w:t>
      </w:r>
      <w:r>
        <w:rPr>
          <w:rFonts w:ascii="Times New Roman" w:hAnsi="Times New Roman"/>
          <w:b/>
          <w:sz w:val="28"/>
        </w:rPr>
        <w:t xml:space="preserve"> edition)</w:t>
      </w:r>
    </w:p>
    <w:p w:rsidR="00FC622E" w:rsidRDefault="00FC622E" w:rsidP="00FC622E">
      <w:pPr>
        <w:pStyle w:val="PlainText"/>
        <w:spacing w:after="240"/>
        <w:rPr>
          <w:rFonts w:ascii="Times New Roman" w:hAnsi="Times New Roman"/>
          <w:b/>
          <w:sz w:val="24"/>
          <w:szCs w:val="24"/>
        </w:rPr>
      </w:pPr>
      <w:r>
        <w:rPr>
          <w:rFonts w:ascii="Times New Roman" w:hAnsi="Times New Roman"/>
          <w:b/>
          <w:sz w:val="24"/>
          <w:szCs w:val="24"/>
        </w:rPr>
        <w:t xml:space="preserve">NOTE: In addition to the end-of-chapter exercises which serve as short cases you will find the following cases arranged by course title that can also be utilized as short cases that require the student to access the authoritative literature to address the issue presented in the case. Other excellent sources of longer and more detailed cases include the Deloitte </w:t>
      </w:r>
      <w:proofErr w:type="spellStart"/>
      <w:r>
        <w:rPr>
          <w:rFonts w:ascii="Times New Roman" w:hAnsi="Times New Roman"/>
          <w:b/>
          <w:sz w:val="24"/>
          <w:szCs w:val="24"/>
        </w:rPr>
        <w:t>Trueblood</w:t>
      </w:r>
      <w:proofErr w:type="spellEnd"/>
      <w:r>
        <w:rPr>
          <w:rFonts w:ascii="Times New Roman" w:hAnsi="Times New Roman"/>
          <w:b/>
          <w:sz w:val="24"/>
          <w:szCs w:val="24"/>
        </w:rPr>
        <w:t xml:space="preserve"> cases and cases provided by various accounting firms.</w:t>
      </w:r>
    </w:p>
    <w:p w:rsidR="00FC622E" w:rsidRDefault="00FC622E" w:rsidP="00FC622E">
      <w:pPr>
        <w:pStyle w:val="PlainText"/>
        <w:spacing w:after="240"/>
        <w:rPr>
          <w:rFonts w:ascii="Times New Roman" w:hAnsi="Times New Roman"/>
          <w:b/>
          <w:sz w:val="24"/>
        </w:rPr>
      </w:pPr>
      <w:r>
        <w:rPr>
          <w:rFonts w:ascii="Times New Roman" w:hAnsi="Times New Roman"/>
          <w:b/>
          <w:sz w:val="24"/>
        </w:rPr>
        <w:t xml:space="preserve">A topical listing of the cases is presented with the case and solution following the listing. </w:t>
      </w:r>
    </w:p>
    <w:p w:rsidR="00FC622E" w:rsidRDefault="00FC622E" w:rsidP="00FC622E">
      <w:pPr>
        <w:pStyle w:val="Heading1"/>
        <w:rPr>
          <w:sz w:val="28"/>
          <w:u w:val="single"/>
        </w:rPr>
      </w:pPr>
      <w:r>
        <w:rPr>
          <w:sz w:val="28"/>
          <w:u w:val="single"/>
        </w:rPr>
        <w:t>Topical Index of Student Cases</w:t>
      </w:r>
    </w:p>
    <w:p w:rsidR="00FC622E" w:rsidRDefault="00FC622E" w:rsidP="00FC622E">
      <w:pPr>
        <w:rPr>
          <w:sz w:val="24"/>
        </w:rPr>
      </w:pPr>
    </w:p>
    <w:p w:rsidR="00FC622E" w:rsidRDefault="00FC622E" w:rsidP="00FC622E">
      <w:pPr>
        <w:rPr>
          <w:u w:val="single"/>
        </w:rPr>
      </w:pPr>
      <w:r>
        <w:rPr>
          <w:b/>
          <w:sz w:val="24"/>
          <w:u w:val="single"/>
        </w:rPr>
        <w:t>INTERMEDIATE ACCOUNTING Cases</w:t>
      </w:r>
    </w:p>
    <w:p w:rsidR="00FC622E" w:rsidRDefault="00FC622E" w:rsidP="00FC622E">
      <w:pPr>
        <w:rPr>
          <w:sz w:val="24"/>
        </w:rPr>
      </w:pPr>
    </w:p>
    <w:p w:rsidR="00FC622E" w:rsidRDefault="00FC622E" w:rsidP="00FC622E">
      <w:pPr>
        <w:pStyle w:val="PlainText"/>
        <w:spacing w:after="240"/>
        <w:rPr>
          <w:rFonts w:ascii="Times New Roman" w:hAnsi="Times New Roman"/>
          <w:sz w:val="24"/>
        </w:rPr>
      </w:pPr>
      <w:r>
        <w:rPr>
          <w:rFonts w:ascii="Times New Roman" w:hAnsi="Times New Roman"/>
          <w:sz w:val="24"/>
        </w:rPr>
        <w:t>Case 1: Reporting acquisition and repayment transactions in the Statement of Cash Flows</w:t>
      </w:r>
    </w:p>
    <w:p w:rsidR="00FC622E" w:rsidRDefault="00FC622E" w:rsidP="00FC622E">
      <w:pPr>
        <w:pStyle w:val="PlainText"/>
        <w:spacing w:after="240"/>
        <w:rPr>
          <w:rFonts w:ascii="Times New Roman" w:hAnsi="Times New Roman"/>
          <w:sz w:val="24"/>
        </w:rPr>
      </w:pPr>
      <w:r>
        <w:rPr>
          <w:rFonts w:ascii="Times New Roman" w:hAnsi="Times New Roman"/>
          <w:sz w:val="24"/>
        </w:rPr>
        <w:t>Case 2: Recording a forfeited payment</w:t>
      </w:r>
    </w:p>
    <w:p w:rsidR="00FC622E" w:rsidRDefault="00FC622E" w:rsidP="00FC622E">
      <w:pPr>
        <w:pStyle w:val="PlainText"/>
        <w:spacing w:after="240"/>
        <w:rPr>
          <w:rFonts w:ascii="Times New Roman" w:hAnsi="Times New Roman"/>
          <w:sz w:val="24"/>
        </w:rPr>
      </w:pPr>
      <w:r>
        <w:rPr>
          <w:rFonts w:ascii="Times New Roman" w:hAnsi="Times New Roman"/>
          <w:sz w:val="24"/>
        </w:rPr>
        <w:t>Case 3: Revenue and expense recognition associated extended warranties</w:t>
      </w:r>
    </w:p>
    <w:p w:rsidR="00FC622E" w:rsidRDefault="00FC622E" w:rsidP="00FC622E">
      <w:pPr>
        <w:pStyle w:val="PlainText"/>
        <w:spacing w:after="240"/>
        <w:rPr>
          <w:rFonts w:ascii="Times New Roman" w:hAnsi="Times New Roman"/>
          <w:sz w:val="24"/>
        </w:rPr>
      </w:pPr>
      <w:r>
        <w:rPr>
          <w:rFonts w:ascii="Times New Roman" w:hAnsi="Times New Roman"/>
          <w:sz w:val="24"/>
        </w:rPr>
        <w:t>Case 4: Accounting for “due on demand” note payable</w:t>
      </w:r>
    </w:p>
    <w:p w:rsidR="00FC622E" w:rsidRDefault="00FC622E" w:rsidP="00FC622E">
      <w:pPr>
        <w:pStyle w:val="PlainText"/>
        <w:spacing w:after="240"/>
        <w:rPr>
          <w:rFonts w:ascii="Times New Roman" w:hAnsi="Times New Roman"/>
          <w:sz w:val="24"/>
        </w:rPr>
      </w:pPr>
      <w:r>
        <w:rPr>
          <w:rFonts w:ascii="Times New Roman" w:hAnsi="Times New Roman"/>
          <w:sz w:val="24"/>
        </w:rPr>
        <w:t>Case 5: Purchase of a controlling interest with a greenmail premium</w:t>
      </w:r>
    </w:p>
    <w:p w:rsidR="00FC622E" w:rsidRDefault="00FC622E" w:rsidP="00FC622E">
      <w:pPr>
        <w:pStyle w:val="PlainText"/>
        <w:spacing w:after="240"/>
        <w:rPr>
          <w:rFonts w:ascii="Times New Roman" w:hAnsi="Times New Roman"/>
          <w:sz w:val="24"/>
        </w:rPr>
      </w:pPr>
      <w:r>
        <w:rPr>
          <w:rFonts w:ascii="Times New Roman" w:hAnsi="Times New Roman"/>
          <w:sz w:val="24"/>
        </w:rPr>
        <w:t>Case 6: Accrual and measurement of interest payments</w:t>
      </w:r>
    </w:p>
    <w:p w:rsidR="00FC622E" w:rsidRDefault="00FC622E" w:rsidP="00FC622E">
      <w:pPr>
        <w:pStyle w:val="PlainText"/>
        <w:spacing w:after="240"/>
        <w:rPr>
          <w:rFonts w:ascii="Times New Roman" w:hAnsi="Times New Roman"/>
          <w:sz w:val="24"/>
        </w:rPr>
      </w:pPr>
      <w:r>
        <w:rPr>
          <w:rFonts w:ascii="Times New Roman" w:hAnsi="Times New Roman"/>
          <w:sz w:val="24"/>
        </w:rPr>
        <w:t>Case 7: Recognition of an asset transfer when title has not yet been received</w:t>
      </w:r>
    </w:p>
    <w:p w:rsidR="00FC622E" w:rsidRDefault="00FC622E" w:rsidP="00FC622E">
      <w:pPr>
        <w:pStyle w:val="PlainText"/>
        <w:spacing w:after="240"/>
        <w:rPr>
          <w:rFonts w:ascii="Times New Roman" w:hAnsi="Times New Roman"/>
          <w:sz w:val="24"/>
        </w:rPr>
      </w:pPr>
      <w:r>
        <w:rPr>
          <w:rFonts w:ascii="Times New Roman" w:hAnsi="Times New Roman"/>
          <w:sz w:val="24"/>
        </w:rPr>
        <w:t xml:space="preserve">Case 8: Capitalization of interest and property taxes on a construction project  </w:t>
      </w:r>
    </w:p>
    <w:p w:rsidR="00FC622E" w:rsidRDefault="00FC622E" w:rsidP="00FC622E">
      <w:pPr>
        <w:pStyle w:val="PlainText"/>
        <w:spacing w:after="240"/>
        <w:rPr>
          <w:rFonts w:ascii="Times New Roman" w:hAnsi="Times New Roman"/>
          <w:sz w:val="24"/>
        </w:rPr>
      </w:pPr>
      <w:r>
        <w:rPr>
          <w:rFonts w:ascii="Times New Roman" w:hAnsi="Times New Roman"/>
          <w:sz w:val="24"/>
        </w:rPr>
        <w:t xml:space="preserve">Case 9: Deferred compensation and life insurance policy recognition </w:t>
      </w:r>
    </w:p>
    <w:p w:rsidR="00FC622E" w:rsidRDefault="00FC622E" w:rsidP="00FC622E">
      <w:pPr>
        <w:pStyle w:val="PlainText"/>
        <w:spacing w:after="240"/>
        <w:rPr>
          <w:rFonts w:ascii="Times New Roman" w:hAnsi="Times New Roman"/>
          <w:sz w:val="24"/>
        </w:rPr>
      </w:pPr>
      <w:r>
        <w:rPr>
          <w:rFonts w:ascii="Times New Roman" w:hAnsi="Times New Roman"/>
          <w:sz w:val="24"/>
        </w:rPr>
        <w:t>Case 10: Reporting earnings per share balances for subsidiary companies</w:t>
      </w:r>
    </w:p>
    <w:p w:rsidR="00FC622E" w:rsidRDefault="00FC622E" w:rsidP="00FC622E">
      <w:pPr>
        <w:pStyle w:val="PlainText"/>
        <w:spacing w:after="240"/>
        <w:rPr>
          <w:rFonts w:ascii="Times New Roman" w:hAnsi="Times New Roman"/>
          <w:sz w:val="24"/>
        </w:rPr>
      </w:pPr>
      <w:r>
        <w:rPr>
          <w:rFonts w:ascii="Times New Roman" w:hAnsi="Times New Roman"/>
          <w:sz w:val="24"/>
        </w:rPr>
        <w:t>Case 11: Deferment of lease payments</w:t>
      </w:r>
    </w:p>
    <w:p w:rsidR="00FC622E" w:rsidRDefault="00FC622E" w:rsidP="00FC622E">
      <w:pPr>
        <w:pStyle w:val="PlainText"/>
        <w:spacing w:after="240"/>
        <w:rPr>
          <w:rFonts w:ascii="Times New Roman" w:hAnsi="Times New Roman"/>
          <w:sz w:val="24"/>
        </w:rPr>
      </w:pPr>
      <w:r>
        <w:rPr>
          <w:rFonts w:ascii="Times New Roman" w:hAnsi="Times New Roman"/>
          <w:sz w:val="24"/>
        </w:rPr>
        <w:t>Case 12: Disclosure of prior period adjustments in the statement of cash flows</w:t>
      </w:r>
    </w:p>
    <w:p w:rsidR="00FC622E" w:rsidRDefault="00FC622E" w:rsidP="00FC622E">
      <w:pPr>
        <w:pStyle w:val="PlainText"/>
        <w:spacing w:after="240"/>
        <w:rPr>
          <w:rFonts w:ascii="Times New Roman" w:hAnsi="Times New Roman"/>
          <w:sz w:val="24"/>
        </w:rPr>
      </w:pPr>
      <w:r>
        <w:rPr>
          <w:rFonts w:ascii="Times New Roman" w:hAnsi="Times New Roman"/>
          <w:sz w:val="24"/>
        </w:rPr>
        <w:t>Case 13: Measurement and recording of payments for sick days</w:t>
      </w:r>
    </w:p>
    <w:p w:rsidR="00FC622E" w:rsidRDefault="00FC622E" w:rsidP="00FC622E">
      <w:pPr>
        <w:pStyle w:val="PlainText"/>
        <w:spacing w:after="240"/>
        <w:rPr>
          <w:rFonts w:ascii="Times New Roman" w:hAnsi="Times New Roman"/>
          <w:sz w:val="24"/>
        </w:rPr>
      </w:pPr>
      <w:r>
        <w:rPr>
          <w:rFonts w:ascii="Times New Roman" w:hAnsi="Times New Roman"/>
          <w:sz w:val="24"/>
        </w:rPr>
        <w:t>Case 14: Comparative cash flow statements</w:t>
      </w:r>
    </w:p>
    <w:p w:rsidR="00FC622E" w:rsidRDefault="00FC622E" w:rsidP="00FC622E">
      <w:pPr>
        <w:pStyle w:val="PlainText"/>
        <w:spacing w:after="240"/>
        <w:rPr>
          <w:rFonts w:ascii="Times New Roman" w:hAnsi="Times New Roman"/>
          <w:sz w:val="24"/>
        </w:rPr>
      </w:pPr>
      <w:r>
        <w:rPr>
          <w:rFonts w:ascii="Times New Roman" w:hAnsi="Times New Roman"/>
          <w:sz w:val="24"/>
        </w:rPr>
        <w:t>Case 15: Social security benefits as assets</w:t>
      </w:r>
    </w:p>
    <w:p w:rsidR="00FC622E" w:rsidRDefault="00FC622E" w:rsidP="00FC622E">
      <w:pPr>
        <w:pStyle w:val="PlainText"/>
        <w:spacing w:after="240"/>
        <w:rPr>
          <w:rFonts w:ascii="Times New Roman" w:hAnsi="Times New Roman"/>
          <w:sz w:val="24"/>
        </w:rPr>
      </w:pPr>
      <w:r>
        <w:rPr>
          <w:rFonts w:ascii="Times New Roman" w:hAnsi="Times New Roman"/>
          <w:sz w:val="24"/>
        </w:rPr>
        <w:lastRenderedPageBreak/>
        <w:t>Case 16: Recording a stock dividend as a stock split</w:t>
      </w:r>
    </w:p>
    <w:p w:rsidR="00FC622E" w:rsidRDefault="00FC622E" w:rsidP="00FC622E">
      <w:pPr>
        <w:pStyle w:val="PlainText"/>
        <w:spacing w:after="240"/>
        <w:rPr>
          <w:rFonts w:ascii="Times New Roman" w:hAnsi="Times New Roman"/>
          <w:sz w:val="24"/>
        </w:rPr>
      </w:pPr>
      <w:r>
        <w:rPr>
          <w:rFonts w:ascii="Times New Roman" w:hAnsi="Times New Roman"/>
          <w:sz w:val="24"/>
        </w:rPr>
        <w:t>Case 17: Gain on a nonmonetary exchange</w:t>
      </w:r>
    </w:p>
    <w:p w:rsidR="00FC622E" w:rsidRDefault="00FC622E" w:rsidP="00FC622E">
      <w:pPr>
        <w:pStyle w:val="PlainText"/>
        <w:spacing w:after="240"/>
        <w:rPr>
          <w:rFonts w:ascii="Times New Roman" w:hAnsi="Times New Roman"/>
          <w:sz w:val="24"/>
        </w:rPr>
      </w:pPr>
    </w:p>
    <w:p w:rsidR="00FC622E" w:rsidRDefault="00FC622E" w:rsidP="00FC622E">
      <w:pPr>
        <w:pStyle w:val="PlainText"/>
        <w:spacing w:after="240"/>
        <w:rPr>
          <w:rFonts w:ascii="Times New Roman" w:hAnsi="Times New Roman"/>
          <w:b/>
          <w:sz w:val="24"/>
          <w:u w:val="single"/>
        </w:rPr>
      </w:pPr>
      <w:r>
        <w:rPr>
          <w:rFonts w:ascii="Times New Roman" w:hAnsi="Times New Roman"/>
          <w:b/>
          <w:sz w:val="24"/>
          <w:u w:val="single"/>
        </w:rPr>
        <w:t>ADVANCED ACCOUNTING Cases</w:t>
      </w:r>
    </w:p>
    <w:p w:rsidR="00FC622E" w:rsidRDefault="00FC622E" w:rsidP="00FC622E">
      <w:pPr>
        <w:pStyle w:val="PlainText"/>
        <w:spacing w:after="240"/>
        <w:rPr>
          <w:rFonts w:ascii="Times New Roman" w:hAnsi="Times New Roman"/>
          <w:sz w:val="24"/>
        </w:rPr>
      </w:pPr>
      <w:r>
        <w:rPr>
          <w:rFonts w:ascii="Times New Roman" w:hAnsi="Times New Roman"/>
          <w:sz w:val="24"/>
        </w:rPr>
        <w:t>Case 1: Reporting of letters of guarantee notes payable</w:t>
      </w:r>
    </w:p>
    <w:p w:rsidR="00FC622E" w:rsidRDefault="00FC622E" w:rsidP="00FC622E">
      <w:pPr>
        <w:pStyle w:val="PlainText"/>
        <w:spacing w:after="240"/>
        <w:rPr>
          <w:rFonts w:ascii="Times New Roman" w:hAnsi="Times New Roman"/>
          <w:sz w:val="24"/>
        </w:rPr>
      </w:pPr>
      <w:r>
        <w:rPr>
          <w:rFonts w:ascii="Times New Roman" w:hAnsi="Times New Roman"/>
          <w:sz w:val="24"/>
        </w:rPr>
        <w:t>Case 2: Factors affecting minority interest control</w:t>
      </w:r>
    </w:p>
    <w:p w:rsidR="00FC622E" w:rsidRDefault="00FC622E" w:rsidP="00FC622E">
      <w:pPr>
        <w:pStyle w:val="PlainText"/>
        <w:spacing w:after="240"/>
        <w:rPr>
          <w:rFonts w:ascii="Times New Roman" w:hAnsi="Times New Roman"/>
          <w:sz w:val="24"/>
        </w:rPr>
      </w:pPr>
      <w:r>
        <w:rPr>
          <w:rFonts w:ascii="Times New Roman" w:hAnsi="Times New Roman"/>
          <w:sz w:val="24"/>
        </w:rPr>
        <w:t>Case 3: Profits and losses in the investment in foreign currencies</w:t>
      </w:r>
    </w:p>
    <w:p w:rsidR="00FC622E" w:rsidRDefault="00FC622E" w:rsidP="00FC622E">
      <w:pPr>
        <w:pStyle w:val="PlainText"/>
        <w:spacing w:after="240"/>
        <w:rPr>
          <w:rFonts w:ascii="Times New Roman" w:hAnsi="Times New Roman"/>
          <w:sz w:val="24"/>
        </w:rPr>
      </w:pPr>
      <w:r>
        <w:rPr>
          <w:rFonts w:ascii="Times New Roman" w:hAnsi="Times New Roman"/>
          <w:sz w:val="24"/>
        </w:rPr>
        <w:t>Case 4: Amortization of foreign currency transaction gains and losses</w:t>
      </w:r>
    </w:p>
    <w:p w:rsidR="00FC622E" w:rsidRDefault="00FC622E" w:rsidP="00FC622E">
      <w:pPr>
        <w:pStyle w:val="PlainText"/>
        <w:spacing w:after="240"/>
        <w:rPr>
          <w:rFonts w:ascii="Times New Roman" w:hAnsi="Times New Roman"/>
          <w:sz w:val="24"/>
        </w:rPr>
      </w:pPr>
      <w:r>
        <w:rPr>
          <w:rFonts w:ascii="Times New Roman" w:hAnsi="Times New Roman"/>
          <w:sz w:val="24"/>
        </w:rPr>
        <w:t>Case 5: Reflection of expensed computer programs on consolidated financial statements</w:t>
      </w:r>
    </w:p>
    <w:p w:rsidR="00FC622E" w:rsidRDefault="00FC622E" w:rsidP="00FC622E">
      <w:pPr>
        <w:pStyle w:val="PlainText"/>
        <w:spacing w:after="240"/>
        <w:rPr>
          <w:rFonts w:ascii="Times New Roman" w:hAnsi="Times New Roman"/>
          <w:sz w:val="24"/>
        </w:rPr>
      </w:pPr>
      <w:r>
        <w:rPr>
          <w:rFonts w:ascii="Times New Roman" w:hAnsi="Times New Roman"/>
          <w:sz w:val="24"/>
        </w:rPr>
        <w:t>Case 6: Classification of a proposed financial instrument as a hedge</w:t>
      </w:r>
    </w:p>
    <w:p w:rsidR="00FC622E" w:rsidRDefault="00FC622E" w:rsidP="00FC622E">
      <w:pPr>
        <w:pStyle w:val="PlainText"/>
        <w:spacing w:after="240"/>
        <w:rPr>
          <w:rFonts w:ascii="Times New Roman" w:hAnsi="Times New Roman"/>
          <w:sz w:val="24"/>
        </w:rPr>
      </w:pPr>
      <w:r>
        <w:rPr>
          <w:rFonts w:ascii="Times New Roman" w:hAnsi="Times New Roman"/>
          <w:sz w:val="24"/>
        </w:rPr>
        <w:t>Case 7: Disclosure of proceeds and payments from cash flow hedging activities</w:t>
      </w:r>
    </w:p>
    <w:p w:rsidR="00FC622E" w:rsidRDefault="00FC622E" w:rsidP="00FC622E">
      <w:pPr>
        <w:pStyle w:val="PlainText"/>
        <w:spacing w:after="240"/>
        <w:rPr>
          <w:rFonts w:ascii="Times New Roman" w:hAnsi="Times New Roman"/>
          <w:sz w:val="24"/>
        </w:rPr>
      </w:pPr>
      <w:r>
        <w:rPr>
          <w:rFonts w:ascii="Times New Roman" w:hAnsi="Times New Roman"/>
          <w:sz w:val="24"/>
        </w:rPr>
        <w:t>Case 8: Proper valuation of a “guaranteed” business combination</w:t>
      </w:r>
    </w:p>
    <w:p w:rsidR="00FC622E" w:rsidRDefault="00FC622E" w:rsidP="00FC622E">
      <w:pPr>
        <w:pStyle w:val="PlainText"/>
        <w:spacing w:after="240"/>
        <w:rPr>
          <w:rFonts w:ascii="Times New Roman" w:hAnsi="Times New Roman"/>
          <w:sz w:val="24"/>
        </w:rPr>
      </w:pPr>
    </w:p>
    <w:p w:rsidR="00FC622E" w:rsidRDefault="00FC622E" w:rsidP="00FC622E">
      <w:pPr>
        <w:pStyle w:val="PlainText"/>
        <w:spacing w:after="240"/>
        <w:rPr>
          <w:rFonts w:ascii="Times New Roman" w:hAnsi="Times New Roman"/>
          <w:sz w:val="24"/>
          <w:u w:val="single"/>
        </w:rPr>
      </w:pPr>
      <w:r>
        <w:rPr>
          <w:rFonts w:ascii="Times New Roman" w:hAnsi="Times New Roman"/>
          <w:b/>
          <w:sz w:val="24"/>
          <w:u w:val="single"/>
        </w:rPr>
        <w:t>GOVERNMENT AND NOT-FOR-PROFIT ACCOUNTING Cases</w:t>
      </w:r>
    </w:p>
    <w:p w:rsidR="00FC622E" w:rsidRDefault="00FC622E" w:rsidP="00FC622E">
      <w:pPr>
        <w:pStyle w:val="PlainText"/>
        <w:spacing w:after="240"/>
        <w:rPr>
          <w:rFonts w:ascii="Times New Roman" w:hAnsi="Times New Roman"/>
          <w:sz w:val="24"/>
        </w:rPr>
      </w:pPr>
      <w:r>
        <w:rPr>
          <w:rFonts w:ascii="Times New Roman" w:hAnsi="Times New Roman"/>
          <w:sz w:val="24"/>
        </w:rPr>
        <w:t>Case 1: Recognition restricted or non-restricted assets that are promised but not received</w:t>
      </w:r>
    </w:p>
    <w:p w:rsidR="00FC622E" w:rsidRDefault="00FC622E" w:rsidP="00FC622E">
      <w:pPr>
        <w:pStyle w:val="PlainText"/>
        <w:spacing w:after="240"/>
        <w:rPr>
          <w:rFonts w:ascii="Times New Roman" w:hAnsi="Times New Roman"/>
          <w:sz w:val="24"/>
        </w:rPr>
      </w:pPr>
      <w:r>
        <w:rPr>
          <w:rFonts w:ascii="Times New Roman" w:hAnsi="Times New Roman"/>
          <w:sz w:val="24"/>
        </w:rPr>
        <w:t>Case 2: Affect of “permanent” reductions in the value of “promised” assets</w:t>
      </w:r>
    </w:p>
    <w:p w:rsidR="00FC622E" w:rsidRDefault="00FC622E" w:rsidP="00FC622E">
      <w:pPr>
        <w:pStyle w:val="PlainText"/>
        <w:spacing w:after="240"/>
        <w:rPr>
          <w:rFonts w:ascii="Times New Roman" w:hAnsi="Times New Roman"/>
          <w:sz w:val="24"/>
        </w:rPr>
      </w:pPr>
      <w:r>
        <w:rPr>
          <w:rFonts w:ascii="Times New Roman" w:hAnsi="Times New Roman"/>
          <w:sz w:val="24"/>
        </w:rPr>
        <w:t>Case 3: Disclosure and classification on a company’s Statement of cash Flows</w:t>
      </w:r>
    </w:p>
    <w:p w:rsidR="00FC622E" w:rsidRDefault="00FC622E" w:rsidP="00FC622E">
      <w:pPr>
        <w:pStyle w:val="PlainText"/>
        <w:spacing w:after="240"/>
        <w:rPr>
          <w:rFonts w:ascii="Times New Roman" w:hAnsi="Times New Roman"/>
          <w:sz w:val="24"/>
        </w:rPr>
      </w:pPr>
      <w:r>
        <w:rPr>
          <w:rFonts w:ascii="Times New Roman" w:hAnsi="Times New Roman"/>
          <w:sz w:val="24"/>
        </w:rPr>
        <w:t>Case 4: Disclosure of potential interest rate swings and commercial paper by a city</w:t>
      </w:r>
    </w:p>
    <w:p w:rsidR="00FC622E" w:rsidRDefault="00FC622E" w:rsidP="00FC622E">
      <w:pPr>
        <w:pStyle w:val="PlainText"/>
        <w:spacing w:after="240"/>
        <w:rPr>
          <w:rFonts w:ascii="Times New Roman" w:hAnsi="Times New Roman"/>
          <w:sz w:val="24"/>
        </w:rPr>
      </w:pPr>
      <w:r>
        <w:rPr>
          <w:rFonts w:ascii="Times New Roman" w:hAnsi="Times New Roman"/>
          <w:sz w:val="24"/>
        </w:rPr>
        <w:t>Case 5: Capital and operating leases between related parties</w:t>
      </w:r>
    </w:p>
    <w:p w:rsidR="00FC622E" w:rsidRDefault="00FC622E" w:rsidP="00FC622E">
      <w:pPr>
        <w:pStyle w:val="PlainText"/>
        <w:spacing w:after="240"/>
        <w:rPr>
          <w:rFonts w:ascii="Times New Roman" w:hAnsi="Times New Roman"/>
          <w:sz w:val="24"/>
        </w:rPr>
      </w:pPr>
      <w:r>
        <w:rPr>
          <w:rFonts w:ascii="Times New Roman" w:hAnsi="Times New Roman"/>
          <w:sz w:val="24"/>
        </w:rPr>
        <w:t>Case 6: Elimination of profits on intercompany sales</w:t>
      </w:r>
    </w:p>
    <w:p w:rsidR="00FC622E" w:rsidRDefault="00FC622E" w:rsidP="00FC622E">
      <w:pPr>
        <w:pStyle w:val="PlainText"/>
        <w:spacing w:after="240"/>
        <w:rPr>
          <w:rFonts w:ascii="Times New Roman" w:hAnsi="Times New Roman"/>
          <w:sz w:val="24"/>
        </w:rPr>
      </w:pPr>
      <w:r>
        <w:rPr>
          <w:rFonts w:ascii="Times New Roman" w:hAnsi="Times New Roman"/>
          <w:sz w:val="24"/>
        </w:rPr>
        <w:t xml:space="preserve">Case 7: Reporting of funds and potential obligations on bonds issued for third parties </w:t>
      </w:r>
    </w:p>
    <w:p w:rsidR="00FC622E" w:rsidRDefault="00FC622E" w:rsidP="00FC622E">
      <w:pPr>
        <w:pStyle w:val="PlainText"/>
        <w:spacing w:after="240"/>
        <w:rPr>
          <w:rFonts w:ascii="Times New Roman" w:hAnsi="Times New Roman"/>
          <w:sz w:val="24"/>
        </w:rPr>
      </w:pPr>
      <w:r>
        <w:rPr>
          <w:rFonts w:ascii="Times New Roman" w:hAnsi="Times New Roman"/>
          <w:sz w:val="24"/>
        </w:rPr>
        <w:t>Case 8: Disclosure of payments made to agents or brokers</w:t>
      </w:r>
    </w:p>
    <w:p w:rsidR="00FC622E" w:rsidRDefault="00FC622E" w:rsidP="00FC622E">
      <w:pPr>
        <w:pStyle w:val="PlainText"/>
        <w:spacing w:after="240"/>
        <w:rPr>
          <w:rFonts w:ascii="Times New Roman" w:hAnsi="Times New Roman"/>
          <w:sz w:val="24"/>
        </w:rPr>
      </w:pPr>
      <w:r>
        <w:rPr>
          <w:rFonts w:ascii="Times New Roman" w:hAnsi="Times New Roman"/>
          <w:sz w:val="24"/>
        </w:rPr>
        <w:t xml:space="preserve">Case 9: Accrual of vacation time of </w:t>
      </w:r>
      <w:proofErr w:type="spellStart"/>
      <w:r>
        <w:rPr>
          <w:rFonts w:ascii="Times New Roman" w:hAnsi="Times New Roman"/>
          <w:sz w:val="24"/>
        </w:rPr>
        <w:t>unestablished</w:t>
      </w:r>
      <w:proofErr w:type="spellEnd"/>
      <w:r>
        <w:rPr>
          <w:rFonts w:ascii="Times New Roman" w:hAnsi="Times New Roman"/>
          <w:sz w:val="24"/>
        </w:rPr>
        <w:t xml:space="preserve"> employees</w:t>
      </w:r>
    </w:p>
    <w:p w:rsidR="00FC622E" w:rsidRDefault="00FC622E" w:rsidP="00FC622E">
      <w:pPr>
        <w:pStyle w:val="PlainText"/>
        <w:spacing w:after="240"/>
        <w:rPr>
          <w:rFonts w:ascii="Times New Roman" w:hAnsi="Times New Roman"/>
          <w:sz w:val="24"/>
        </w:rPr>
      </w:pPr>
    </w:p>
    <w:p w:rsidR="00FC622E" w:rsidRDefault="00FC622E" w:rsidP="00FC622E">
      <w:pPr>
        <w:pStyle w:val="PlainText"/>
        <w:spacing w:after="240"/>
        <w:rPr>
          <w:rFonts w:ascii="Times New Roman" w:hAnsi="Times New Roman"/>
          <w:b/>
          <w:sz w:val="24"/>
          <w:u w:val="single"/>
        </w:rPr>
      </w:pPr>
      <w:r>
        <w:rPr>
          <w:rFonts w:ascii="Times New Roman" w:hAnsi="Times New Roman"/>
          <w:b/>
          <w:sz w:val="24"/>
          <w:u w:val="single"/>
        </w:rPr>
        <w:t>AUDITING Cases</w:t>
      </w:r>
    </w:p>
    <w:p w:rsidR="00FC622E" w:rsidRDefault="00FC622E" w:rsidP="00FC622E">
      <w:pPr>
        <w:pStyle w:val="PlainText"/>
        <w:spacing w:after="240"/>
        <w:rPr>
          <w:rFonts w:ascii="Times New Roman" w:hAnsi="Times New Roman"/>
          <w:sz w:val="24"/>
        </w:rPr>
      </w:pPr>
      <w:r>
        <w:rPr>
          <w:rFonts w:ascii="Times New Roman" w:hAnsi="Times New Roman"/>
          <w:sz w:val="24"/>
        </w:rPr>
        <w:lastRenderedPageBreak/>
        <w:t>Case 1: Communication with predecessor auditors</w:t>
      </w:r>
    </w:p>
    <w:p w:rsidR="00FC622E" w:rsidRDefault="00FC622E" w:rsidP="00FC622E">
      <w:pPr>
        <w:pStyle w:val="PlainText"/>
        <w:spacing w:after="240"/>
        <w:rPr>
          <w:rFonts w:ascii="Times New Roman" w:hAnsi="Times New Roman"/>
          <w:sz w:val="24"/>
        </w:rPr>
      </w:pPr>
      <w:r>
        <w:rPr>
          <w:rFonts w:ascii="Times New Roman" w:hAnsi="Times New Roman"/>
          <w:sz w:val="24"/>
        </w:rPr>
        <w:t>Case 2: Interim financial information</w:t>
      </w:r>
    </w:p>
    <w:p w:rsidR="00FC622E" w:rsidRDefault="00FC622E" w:rsidP="00FC622E">
      <w:pPr>
        <w:pStyle w:val="PlainText"/>
        <w:spacing w:after="240"/>
        <w:rPr>
          <w:rFonts w:ascii="Times New Roman" w:hAnsi="Times New Roman"/>
          <w:sz w:val="24"/>
        </w:rPr>
      </w:pPr>
      <w:r>
        <w:rPr>
          <w:rFonts w:ascii="Times New Roman" w:hAnsi="Times New Roman"/>
          <w:sz w:val="24"/>
        </w:rPr>
        <w:t>Case 3: Outside services for inventory counts</w:t>
      </w:r>
    </w:p>
    <w:p w:rsidR="00FC622E" w:rsidRDefault="00FC622E" w:rsidP="00FC622E">
      <w:pPr>
        <w:pStyle w:val="PlainText"/>
        <w:spacing w:after="240"/>
        <w:rPr>
          <w:rFonts w:ascii="Times New Roman" w:hAnsi="Times New Roman"/>
          <w:sz w:val="24"/>
        </w:rPr>
      </w:pPr>
      <w:r>
        <w:rPr>
          <w:rFonts w:ascii="Times New Roman" w:hAnsi="Times New Roman"/>
          <w:sz w:val="24"/>
        </w:rPr>
        <w:t>Case 4: Supplementary disclosures</w:t>
      </w:r>
    </w:p>
    <w:p w:rsidR="00FC622E" w:rsidRDefault="00FC622E" w:rsidP="00FC622E">
      <w:pPr>
        <w:pStyle w:val="PlainText"/>
        <w:spacing w:after="240"/>
        <w:rPr>
          <w:rFonts w:ascii="Times New Roman" w:hAnsi="Times New Roman"/>
          <w:sz w:val="24"/>
        </w:rPr>
      </w:pPr>
      <w:r>
        <w:rPr>
          <w:rFonts w:ascii="Times New Roman" w:hAnsi="Times New Roman"/>
          <w:sz w:val="24"/>
        </w:rPr>
        <w:t>Case 5: Restating prior years’ financial statements</w:t>
      </w:r>
    </w:p>
    <w:p w:rsidR="00FC622E" w:rsidRDefault="00FC622E" w:rsidP="00FC622E">
      <w:pPr>
        <w:pStyle w:val="PlainText"/>
        <w:spacing w:after="240"/>
        <w:rPr>
          <w:rFonts w:ascii="Times New Roman" w:hAnsi="Times New Roman"/>
          <w:sz w:val="24"/>
        </w:rPr>
      </w:pPr>
      <w:r>
        <w:rPr>
          <w:rFonts w:ascii="Times New Roman" w:hAnsi="Times New Roman"/>
          <w:sz w:val="24"/>
        </w:rPr>
        <w:t>Case 6: Independence in a review or compilation engagement</w:t>
      </w:r>
    </w:p>
    <w:p w:rsidR="00FC622E" w:rsidRDefault="00FC622E" w:rsidP="00FC622E">
      <w:pPr>
        <w:pStyle w:val="PlainText"/>
        <w:spacing w:after="240"/>
        <w:rPr>
          <w:rFonts w:ascii="Times New Roman" w:hAnsi="Times New Roman"/>
          <w:sz w:val="24"/>
        </w:rPr>
      </w:pPr>
      <w:r>
        <w:rPr>
          <w:rFonts w:ascii="Times New Roman" w:hAnsi="Times New Roman"/>
          <w:sz w:val="24"/>
        </w:rPr>
        <w:t>Case 7: Qualified report and account classification</w:t>
      </w:r>
    </w:p>
    <w:p w:rsidR="00FC622E" w:rsidRDefault="00FC622E" w:rsidP="00FC622E">
      <w:pPr>
        <w:pStyle w:val="PlainText"/>
        <w:spacing w:after="240"/>
        <w:rPr>
          <w:rFonts w:ascii="Times New Roman" w:hAnsi="Times New Roman"/>
          <w:sz w:val="24"/>
        </w:rPr>
      </w:pPr>
      <w:r>
        <w:rPr>
          <w:rFonts w:ascii="Times New Roman" w:hAnsi="Times New Roman"/>
          <w:sz w:val="24"/>
        </w:rPr>
        <w:t>Case 8: Re-issuance of financial statements</w:t>
      </w:r>
    </w:p>
    <w:p w:rsidR="00FC622E" w:rsidRDefault="00FC622E" w:rsidP="00FC622E">
      <w:pPr>
        <w:pStyle w:val="PlainText"/>
        <w:spacing w:after="240"/>
        <w:rPr>
          <w:rFonts w:ascii="Times New Roman" w:hAnsi="Times New Roman"/>
          <w:sz w:val="24"/>
        </w:rPr>
      </w:pPr>
      <w:r>
        <w:rPr>
          <w:rFonts w:ascii="Times New Roman" w:hAnsi="Times New Roman"/>
          <w:sz w:val="24"/>
        </w:rPr>
        <w:t>Case 9: Communication with audit committees</w:t>
      </w:r>
    </w:p>
    <w:p w:rsidR="00FC622E" w:rsidRDefault="00FC622E" w:rsidP="00FC622E">
      <w:pPr>
        <w:pStyle w:val="PlainText"/>
        <w:spacing w:after="240"/>
        <w:rPr>
          <w:rFonts w:ascii="Times New Roman" w:hAnsi="Times New Roman"/>
          <w:sz w:val="24"/>
        </w:rPr>
      </w:pPr>
      <w:r>
        <w:rPr>
          <w:rFonts w:ascii="Times New Roman" w:hAnsi="Times New Roman"/>
          <w:sz w:val="24"/>
        </w:rPr>
        <w:t>Case 10: Accounting for assets held for sale</w:t>
      </w:r>
    </w:p>
    <w:p w:rsidR="00FC622E" w:rsidRDefault="00FC622E" w:rsidP="00FC622E">
      <w:pPr>
        <w:pStyle w:val="PlainText"/>
        <w:spacing w:after="240"/>
        <w:rPr>
          <w:rFonts w:ascii="Times New Roman" w:hAnsi="Times New Roman"/>
          <w:sz w:val="24"/>
        </w:rPr>
      </w:pPr>
      <w:r>
        <w:rPr>
          <w:rFonts w:ascii="Times New Roman" w:hAnsi="Times New Roman"/>
          <w:sz w:val="24"/>
        </w:rPr>
        <w:t xml:space="preserve">Case 11: Accompanying </w:t>
      </w:r>
      <w:proofErr w:type="spellStart"/>
      <w:r>
        <w:rPr>
          <w:rFonts w:ascii="Times New Roman" w:hAnsi="Times New Roman"/>
          <w:sz w:val="24"/>
        </w:rPr>
        <w:t>Informtion</w:t>
      </w:r>
      <w:proofErr w:type="spellEnd"/>
    </w:p>
    <w:p w:rsidR="00FC622E" w:rsidRDefault="00FC622E" w:rsidP="00FC622E">
      <w:pPr>
        <w:pStyle w:val="PlainText"/>
        <w:spacing w:after="240"/>
        <w:rPr>
          <w:rFonts w:ascii="Times New Roman" w:hAnsi="Times New Roman"/>
          <w:sz w:val="24"/>
        </w:rPr>
      </w:pPr>
    </w:p>
    <w:p w:rsidR="00FC622E" w:rsidRDefault="00FC622E" w:rsidP="00FC622E">
      <w:pPr>
        <w:pStyle w:val="PlainText"/>
        <w:spacing w:after="240"/>
        <w:rPr>
          <w:rFonts w:ascii="Times New Roman" w:hAnsi="Times New Roman"/>
          <w:b/>
          <w:sz w:val="24"/>
          <w:u w:val="single"/>
        </w:rPr>
      </w:pPr>
      <w:r>
        <w:rPr>
          <w:rFonts w:ascii="Times New Roman" w:hAnsi="Times New Roman"/>
          <w:b/>
          <w:sz w:val="24"/>
          <w:u w:val="single"/>
        </w:rPr>
        <w:t>TAX Cases</w:t>
      </w:r>
    </w:p>
    <w:p w:rsidR="00FC622E" w:rsidRDefault="00FC622E" w:rsidP="00FC622E">
      <w:pPr>
        <w:pStyle w:val="PlainText"/>
        <w:spacing w:after="240"/>
        <w:rPr>
          <w:rFonts w:ascii="Times New Roman" w:hAnsi="Times New Roman"/>
          <w:sz w:val="24"/>
        </w:rPr>
      </w:pPr>
      <w:r>
        <w:rPr>
          <w:rFonts w:ascii="Times New Roman" w:hAnsi="Times New Roman"/>
          <w:sz w:val="24"/>
        </w:rPr>
        <w:t>Case 1: When should gross income be accrued?</w:t>
      </w:r>
    </w:p>
    <w:p w:rsidR="00FC622E" w:rsidRDefault="00FC622E" w:rsidP="00FC622E">
      <w:pPr>
        <w:pStyle w:val="PlainText"/>
        <w:spacing w:after="240"/>
        <w:rPr>
          <w:rFonts w:ascii="Times New Roman" w:hAnsi="Times New Roman"/>
          <w:sz w:val="24"/>
        </w:rPr>
      </w:pPr>
      <w:r>
        <w:rPr>
          <w:rFonts w:ascii="Times New Roman" w:hAnsi="Times New Roman"/>
          <w:sz w:val="24"/>
        </w:rPr>
        <w:t>Case 2: Stock purchased by an employee</w:t>
      </w:r>
    </w:p>
    <w:p w:rsidR="00FC622E" w:rsidRDefault="00FC622E" w:rsidP="00FC622E">
      <w:pPr>
        <w:pStyle w:val="PlainText"/>
        <w:spacing w:after="240"/>
        <w:rPr>
          <w:rFonts w:ascii="Times New Roman" w:hAnsi="Times New Roman"/>
          <w:sz w:val="24"/>
        </w:rPr>
      </w:pPr>
      <w:r>
        <w:rPr>
          <w:rFonts w:ascii="Times New Roman" w:hAnsi="Times New Roman"/>
          <w:sz w:val="24"/>
        </w:rPr>
        <w:t>Case 3: Income sourcing- international</w:t>
      </w:r>
    </w:p>
    <w:p w:rsidR="00FC622E" w:rsidRDefault="00FC622E" w:rsidP="00FC622E">
      <w:pPr>
        <w:pStyle w:val="PlainText"/>
        <w:spacing w:after="240"/>
        <w:rPr>
          <w:rFonts w:ascii="Times New Roman" w:hAnsi="Times New Roman"/>
          <w:sz w:val="24"/>
        </w:rPr>
      </w:pPr>
      <w:r>
        <w:rPr>
          <w:rFonts w:ascii="Times New Roman" w:hAnsi="Times New Roman"/>
          <w:sz w:val="24"/>
        </w:rPr>
        <w:t>Case 4: Business deductions</w:t>
      </w:r>
    </w:p>
    <w:p w:rsidR="00FC622E" w:rsidRDefault="00FC622E" w:rsidP="00FC622E">
      <w:pPr>
        <w:pStyle w:val="PlainText"/>
        <w:spacing w:after="240"/>
        <w:rPr>
          <w:rFonts w:ascii="Times New Roman" w:hAnsi="Times New Roman"/>
          <w:sz w:val="24"/>
        </w:rPr>
      </w:pPr>
      <w:r>
        <w:rPr>
          <w:rFonts w:ascii="Times New Roman" w:hAnsi="Times New Roman"/>
          <w:sz w:val="24"/>
        </w:rPr>
        <w:t>Case 5: Deduction for foreign travel</w:t>
      </w:r>
    </w:p>
    <w:p w:rsidR="00FC622E" w:rsidRDefault="00FC622E" w:rsidP="00FC622E">
      <w:pPr>
        <w:pStyle w:val="PlainText"/>
        <w:spacing w:after="240"/>
        <w:rPr>
          <w:rFonts w:ascii="Times New Roman" w:hAnsi="Times New Roman"/>
          <w:sz w:val="24"/>
        </w:rPr>
      </w:pPr>
      <w:r>
        <w:rPr>
          <w:rFonts w:ascii="Times New Roman" w:hAnsi="Times New Roman"/>
          <w:sz w:val="24"/>
        </w:rPr>
        <w:t>Case 6: Contingent liabilities</w:t>
      </w:r>
    </w:p>
    <w:p w:rsidR="00FC622E" w:rsidRPr="00241C76" w:rsidRDefault="00FC622E" w:rsidP="00FC622E">
      <w:pPr>
        <w:pStyle w:val="PlainText"/>
        <w:spacing w:after="240" w:line="480" w:lineRule="auto"/>
        <w:rPr>
          <w:rFonts w:ascii="Times New Roman" w:hAnsi="Times New Roman"/>
          <w:sz w:val="24"/>
          <w:szCs w:val="24"/>
          <w:u w:val="single"/>
        </w:rPr>
      </w:pPr>
      <w:r w:rsidRPr="00241C76">
        <w:rPr>
          <w:rFonts w:ascii="Times New Roman" w:hAnsi="Times New Roman"/>
          <w:b/>
          <w:sz w:val="24"/>
          <w:szCs w:val="24"/>
          <w:u w:val="single"/>
        </w:rPr>
        <w:t>INTERMEDIATE ACCOUNTING</w:t>
      </w:r>
      <w:r>
        <w:rPr>
          <w:rFonts w:ascii="Times New Roman" w:hAnsi="Times New Roman"/>
          <w:b/>
          <w:sz w:val="24"/>
          <w:szCs w:val="24"/>
          <w:u w:val="single"/>
        </w:rPr>
        <w:t xml:space="preserve">  - </w:t>
      </w:r>
      <w:r w:rsidRPr="00241C76">
        <w:rPr>
          <w:rFonts w:ascii="Times New Roman" w:hAnsi="Times New Roman"/>
          <w:b/>
          <w:sz w:val="24"/>
          <w:szCs w:val="24"/>
          <w:u w:val="single"/>
        </w:rPr>
        <w:t xml:space="preserve"> Cases</w:t>
      </w:r>
    </w:p>
    <w:p w:rsidR="00FC622E" w:rsidRPr="00241C76" w:rsidRDefault="00FC622E" w:rsidP="00FC622E">
      <w:pPr>
        <w:pStyle w:val="PlainText"/>
        <w:spacing w:after="240"/>
        <w:rPr>
          <w:rFonts w:ascii="Times New Roman" w:hAnsi="Times New Roman"/>
          <w:sz w:val="24"/>
          <w:szCs w:val="24"/>
        </w:rPr>
      </w:pPr>
      <w:r w:rsidRPr="00241C76">
        <w:rPr>
          <w:rFonts w:ascii="Times New Roman" w:hAnsi="Times New Roman"/>
          <w:b/>
          <w:sz w:val="24"/>
          <w:szCs w:val="24"/>
        </w:rPr>
        <w:t>Case 1:</w:t>
      </w:r>
      <w:r w:rsidRPr="00241C76">
        <w:rPr>
          <w:rFonts w:ascii="Times New Roman" w:hAnsi="Times New Roman"/>
          <w:sz w:val="24"/>
          <w:szCs w:val="24"/>
        </w:rPr>
        <w:t xml:space="preserve"> Mead Motors purchases an automobile for its new car inventory from Generous Motors, which finances this transaction through its financial subsidiary, Generous Motors Credit Company (GMCC).  Mead pays no funds to Generous Motors or GMCC until it sells the automobile.  Mead must then repay the balance of the loan plus interest to GMCC.  How should Mead report the acquisition and repayment transactions in its Statement of Cash Flows?</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t>Case 1 Solution:</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lastRenderedPageBreak/>
        <w:t>Problem Identification</w:t>
      </w:r>
      <w:r w:rsidRPr="00241C76">
        <w:rPr>
          <w:rFonts w:ascii="Times New Roman" w:hAnsi="Times New Roman"/>
          <w:sz w:val="24"/>
          <w:szCs w:val="24"/>
        </w:rPr>
        <w:t xml:space="preserve">: How should a company report, if at all, cash and non-cash transactions owed to an entity’s financial subsidiary?   </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t>Keywords</w:t>
      </w:r>
      <w:r w:rsidRPr="00241C76">
        <w:rPr>
          <w:rFonts w:ascii="Times New Roman" w:hAnsi="Times New Roman"/>
          <w:sz w:val="24"/>
          <w:szCs w:val="24"/>
        </w:rPr>
        <w:t xml:space="preserve">: Cash flows; </w:t>
      </w:r>
      <w:proofErr w:type="spellStart"/>
      <w:r w:rsidRPr="00241C76">
        <w:rPr>
          <w:rFonts w:ascii="Times New Roman" w:hAnsi="Times New Roman"/>
          <w:sz w:val="24"/>
          <w:szCs w:val="24"/>
        </w:rPr>
        <w:t>financ</w:t>
      </w:r>
      <w:proofErr w:type="spellEnd"/>
      <w:r w:rsidRPr="00241C76">
        <w:rPr>
          <w:rFonts w:ascii="Times New Roman" w:hAnsi="Times New Roman"/>
          <w:sz w:val="24"/>
          <w:szCs w:val="24"/>
        </w:rPr>
        <w:t>* subsidiaries; operating income.</w:t>
      </w:r>
    </w:p>
    <w:p w:rsidR="00FC622E" w:rsidRPr="00241C76" w:rsidRDefault="00FC622E" w:rsidP="00FC622E">
      <w:pPr>
        <w:pStyle w:val="PlainText"/>
        <w:spacing w:after="240"/>
        <w:rPr>
          <w:rFonts w:ascii="Times New Roman" w:hAnsi="Times New Roman"/>
          <w:sz w:val="24"/>
          <w:szCs w:val="24"/>
        </w:rPr>
      </w:pPr>
      <w:r w:rsidRPr="00241C76">
        <w:rPr>
          <w:rFonts w:ascii="Times New Roman" w:hAnsi="Times New Roman"/>
          <w:b/>
          <w:sz w:val="24"/>
          <w:szCs w:val="24"/>
        </w:rPr>
        <w:t>Conclusion</w:t>
      </w:r>
      <w:r w:rsidRPr="00241C76">
        <w:rPr>
          <w:rFonts w:ascii="Times New Roman" w:hAnsi="Times New Roman"/>
          <w:sz w:val="24"/>
          <w:szCs w:val="24"/>
        </w:rPr>
        <w:t xml:space="preserve">: Per ASC 230-10-50-5), Mead should exclude transactions that involve no cash payments or receipts.  However, per 230-10-45-17, it should record cash payments to GMCC for repayments of principle (and interest thereon) due to suppliers or their subsidiaries as operating cash (out) flows.  </w:t>
      </w:r>
    </w:p>
    <w:p w:rsidR="00FC622E" w:rsidRPr="00241C76" w:rsidRDefault="00FC622E" w:rsidP="00FC622E">
      <w:pPr>
        <w:pStyle w:val="PlainText"/>
        <w:spacing w:after="240"/>
        <w:rPr>
          <w:rFonts w:ascii="Times New Roman" w:hAnsi="Times New Roman"/>
          <w:sz w:val="24"/>
          <w:szCs w:val="24"/>
        </w:rPr>
      </w:pPr>
      <w:r w:rsidRPr="00241C76">
        <w:rPr>
          <w:rFonts w:ascii="Times New Roman" w:hAnsi="Times New Roman"/>
          <w:b/>
          <w:sz w:val="24"/>
          <w:szCs w:val="24"/>
        </w:rPr>
        <w:t>Case 2:</w:t>
      </w:r>
      <w:r w:rsidRPr="00241C76">
        <w:rPr>
          <w:rFonts w:ascii="Times New Roman" w:hAnsi="Times New Roman"/>
          <w:sz w:val="24"/>
          <w:szCs w:val="24"/>
        </w:rPr>
        <w:t xml:space="preserve"> </w:t>
      </w:r>
      <w:proofErr w:type="spellStart"/>
      <w:r w:rsidRPr="00241C76">
        <w:rPr>
          <w:rFonts w:ascii="Times New Roman" w:hAnsi="Times New Roman"/>
          <w:sz w:val="24"/>
          <w:szCs w:val="24"/>
        </w:rPr>
        <w:t>Narda</w:t>
      </w:r>
      <w:proofErr w:type="spellEnd"/>
      <w:r w:rsidRPr="00241C76">
        <w:rPr>
          <w:rFonts w:ascii="Times New Roman" w:hAnsi="Times New Roman"/>
          <w:sz w:val="24"/>
          <w:szCs w:val="24"/>
        </w:rPr>
        <w:t xml:space="preserve"> Corporation agreed to sell all of its capital stock to Effie Corporation for three monthly payments of $200,000.  After Effie made the first required payment, it ceased making other payments.  The stock subscription agreement states that Effie, thus, forfeits its payments and is entitled to no other future consideration.  How should </w:t>
      </w:r>
      <w:proofErr w:type="spellStart"/>
      <w:r w:rsidRPr="00241C76">
        <w:rPr>
          <w:rFonts w:ascii="Times New Roman" w:hAnsi="Times New Roman"/>
          <w:sz w:val="24"/>
          <w:szCs w:val="24"/>
        </w:rPr>
        <w:t>Narda</w:t>
      </w:r>
      <w:proofErr w:type="spellEnd"/>
      <w:r w:rsidRPr="00241C76">
        <w:rPr>
          <w:rFonts w:ascii="Times New Roman" w:hAnsi="Times New Roman"/>
          <w:sz w:val="24"/>
          <w:szCs w:val="24"/>
        </w:rPr>
        <w:t xml:space="preserve"> record the $200,000 forfeited payment? </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t>Case 2 Solution:</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t>Problem Identification</w:t>
      </w:r>
      <w:r w:rsidRPr="00241C76">
        <w:rPr>
          <w:rFonts w:ascii="Times New Roman" w:hAnsi="Times New Roman"/>
          <w:sz w:val="24"/>
          <w:szCs w:val="24"/>
        </w:rPr>
        <w:t xml:space="preserve">: How should a company account for forfeited stock subscriptions?  Moreover, do such payments constitute operating or other income? </w:t>
      </w:r>
    </w:p>
    <w:p w:rsidR="00FC622E" w:rsidRPr="00241C76" w:rsidRDefault="00FC622E" w:rsidP="00FC622E">
      <w:pPr>
        <w:pStyle w:val="PlainText"/>
        <w:spacing w:after="240"/>
        <w:rPr>
          <w:rFonts w:ascii="Times New Roman" w:hAnsi="Times New Roman"/>
          <w:b/>
          <w:sz w:val="24"/>
          <w:szCs w:val="24"/>
        </w:rPr>
      </w:pPr>
      <w:r w:rsidRPr="00241C76">
        <w:rPr>
          <w:rFonts w:ascii="Times New Roman" w:hAnsi="Times New Roman"/>
          <w:b/>
          <w:sz w:val="24"/>
          <w:szCs w:val="24"/>
        </w:rPr>
        <w:t>Keywords:</w:t>
      </w:r>
      <w:r w:rsidRPr="00241C76">
        <w:rPr>
          <w:rFonts w:ascii="Times New Roman" w:hAnsi="Times New Roman"/>
          <w:sz w:val="24"/>
          <w:szCs w:val="24"/>
        </w:rPr>
        <w:t xml:space="preserve"> Stock Subscription; operating income; additional paid-in capital; owners’ equity; net income; operating income.</w:t>
      </w:r>
    </w:p>
    <w:p w:rsidR="00FC622E" w:rsidRPr="00241C76" w:rsidRDefault="00FC622E" w:rsidP="00FC622E">
      <w:pPr>
        <w:pStyle w:val="PlainText"/>
        <w:spacing w:after="240"/>
        <w:rPr>
          <w:rFonts w:ascii="Times New Roman" w:hAnsi="Times New Roman"/>
          <w:sz w:val="24"/>
          <w:szCs w:val="24"/>
        </w:rPr>
      </w:pPr>
      <w:r w:rsidRPr="00241C76">
        <w:rPr>
          <w:rFonts w:ascii="Times New Roman" w:hAnsi="Times New Roman"/>
          <w:b/>
          <w:sz w:val="24"/>
          <w:szCs w:val="24"/>
        </w:rPr>
        <w:t>Conclusion</w:t>
      </w:r>
      <w:r w:rsidRPr="00241C76">
        <w:rPr>
          <w:rFonts w:ascii="Times New Roman" w:hAnsi="Times New Roman"/>
          <w:sz w:val="24"/>
          <w:szCs w:val="24"/>
        </w:rPr>
        <w:t>:  Per 505-10-25-2, capital transactions that incur no future corporate obligations should be excluded from calculating net or operating income.  Thus, the forfeited cash should become part of additional paid-in capital about any required disclosures for such transactions.</w:t>
      </w:r>
    </w:p>
    <w:p w:rsidR="00FC622E" w:rsidRPr="00241C76" w:rsidRDefault="00FC622E" w:rsidP="00FC622E">
      <w:pPr>
        <w:pStyle w:val="PlainText"/>
        <w:spacing w:after="240"/>
        <w:rPr>
          <w:rFonts w:ascii="Times New Roman" w:hAnsi="Times New Roman"/>
          <w:sz w:val="24"/>
          <w:szCs w:val="24"/>
        </w:rPr>
      </w:pPr>
      <w:r w:rsidRPr="00241C76">
        <w:rPr>
          <w:rFonts w:ascii="Times New Roman" w:hAnsi="Times New Roman"/>
          <w:b/>
          <w:sz w:val="24"/>
          <w:szCs w:val="24"/>
        </w:rPr>
        <w:t xml:space="preserve">Case 3: </w:t>
      </w:r>
      <w:r w:rsidRPr="00241C76">
        <w:rPr>
          <w:rFonts w:ascii="Times New Roman" w:hAnsi="Times New Roman"/>
          <w:sz w:val="24"/>
          <w:szCs w:val="24"/>
        </w:rPr>
        <w:t xml:space="preserve">Lowland Appliance Stores offers customers purchasing its appliances separately priced (extended) warranties. Lowland services these extended warranties.  Its customers can receive no refunds for not using these warranties, and, of course, Lowland must honor these contracts—regardless of any future costs in doing so. It also “tracks” the profits and losses these types of warranties generate by appliance category—in order to help maintain a competitive price and costing structures.  How should Lowland recognize the revenues and expenses of such extended warranties?   </w:t>
      </w:r>
    </w:p>
    <w:p w:rsidR="00FC622E" w:rsidRDefault="00FC622E" w:rsidP="007D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6760D6" w:rsidRDefault="00FC622E"/>
    <w:sectPr w:rsidR="006760D6" w:rsidSect="00706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4EF4"/>
    <w:rsid w:val="000C1986"/>
    <w:rsid w:val="005E36B6"/>
    <w:rsid w:val="00706488"/>
    <w:rsid w:val="00792D60"/>
    <w:rsid w:val="007D4EF4"/>
    <w:rsid w:val="00FC622E"/>
    <w:rsid w:val="00FE04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F4"/>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7D4EF4"/>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EF4"/>
    <w:rPr>
      <w:rFonts w:ascii="Times New Roman" w:eastAsia="Times New Roman" w:hAnsi="Times New Roman" w:cs="Times New Roman"/>
      <w:sz w:val="24"/>
      <w:szCs w:val="20"/>
    </w:rPr>
  </w:style>
  <w:style w:type="paragraph" w:styleId="Title">
    <w:name w:val="Title"/>
    <w:basedOn w:val="Normal"/>
    <w:link w:val="TitleChar"/>
    <w:qFormat/>
    <w:rsid w:val="007D4EF4"/>
    <w:pPr>
      <w:jc w:val="center"/>
    </w:pPr>
    <w:rPr>
      <w:rFonts w:ascii="Times New Roman" w:hAnsi="Times New Roman"/>
      <w:b/>
      <w:sz w:val="28"/>
    </w:rPr>
  </w:style>
  <w:style w:type="character" w:customStyle="1" w:styleId="TitleChar">
    <w:name w:val="Title Char"/>
    <w:basedOn w:val="DefaultParagraphFont"/>
    <w:link w:val="Title"/>
    <w:rsid w:val="007D4EF4"/>
    <w:rPr>
      <w:rFonts w:ascii="Times New Roman" w:eastAsia="Times New Roman" w:hAnsi="Times New Roman" w:cs="Times New Roman"/>
      <w:b/>
      <w:sz w:val="28"/>
      <w:szCs w:val="20"/>
    </w:rPr>
  </w:style>
  <w:style w:type="paragraph" w:styleId="PlainText">
    <w:name w:val="Plain Text"/>
    <w:basedOn w:val="Normal"/>
    <w:link w:val="PlainTextChar"/>
    <w:rsid w:val="00FC622E"/>
    <w:rPr>
      <w:rFonts w:ascii="Courier New" w:hAnsi="Courier New"/>
      <w:lang w:eastAsia="ja-JP"/>
    </w:rPr>
  </w:style>
  <w:style w:type="character" w:customStyle="1" w:styleId="PlainTextChar">
    <w:name w:val="Plain Text Char"/>
    <w:basedOn w:val="DefaultParagraphFont"/>
    <w:link w:val="PlainText"/>
    <w:rsid w:val="00FC622E"/>
    <w:rPr>
      <w:rFonts w:ascii="Courier New" w:eastAsia="Times New Roman" w:hAnsi="Courier New"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F4"/>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7D4EF4"/>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EF4"/>
    <w:rPr>
      <w:rFonts w:ascii="Times New Roman" w:eastAsia="Times New Roman" w:hAnsi="Times New Roman" w:cs="Times New Roman"/>
      <w:sz w:val="24"/>
      <w:szCs w:val="20"/>
    </w:rPr>
  </w:style>
  <w:style w:type="paragraph" w:styleId="Title">
    <w:name w:val="Title"/>
    <w:basedOn w:val="Normal"/>
    <w:link w:val="TitleChar"/>
    <w:qFormat/>
    <w:rsid w:val="007D4EF4"/>
    <w:pPr>
      <w:jc w:val="center"/>
    </w:pPr>
    <w:rPr>
      <w:rFonts w:ascii="Times New Roman" w:hAnsi="Times New Roman"/>
      <w:b/>
      <w:sz w:val="28"/>
    </w:rPr>
  </w:style>
  <w:style w:type="character" w:customStyle="1" w:styleId="TitleChar">
    <w:name w:val="Title Char"/>
    <w:basedOn w:val="DefaultParagraphFont"/>
    <w:link w:val="Title"/>
    <w:rsid w:val="007D4EF4"/>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F3C5-3847-4609-BC6E-1A6E170A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Rebecca - Hoboken</dc:creator>
  <cp:lastModifiedBy>MAN</cp:lastModifiedBy>
  <cp:revision>3</cp:revision>
  <dcterms:created xsi:type="dcterms:W3CDTF">2013-07-23T15:26:00Z</dcterms:created>
  <dcterms:modified xsi:type="dcterms:W3CDTF">2019-04-03T09:42:00Z</dcterms:modified>
</cp:coreProperties>
</file>