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A0A862" w14:textId="77777777" w:rsidR="00BD425D" w:rsidRDefault="00BD425D" w:rsidP="00D658AA">
      <w:pPr>
        <w:pStyle w:val="Casestudynumber"/>
        <w:rPr>
          <w:color w:val="245266"/>
        </w:rPr>
      </w:pPr>
      <w:bookmarkStart w:id="0" w:name="_GoBack"/>
      <w:bookmarkEnd w:id="0"/>
      <w:r w:rsidRPr="00685787">
        <w:t xml:space="preserve">case </w:t>
      </w:r>
      <w:r w:rsidRPr="00D658AA">
        <w:t>study</w:t>
      </w:r>
      <w:r>
        <w:rPr>
          <w:color w:val="FFFFFF"/>
        </w:rPr>
        <w:t xml:space="preserve"> </w:t>
      </w:r>
      <w:r>
        <w:rPr>
          <w:color w:val="245266"/>
          <w:sz w:val="74"/>
          <w:szCs w:val="74"/>
        </w:rPr>
        <w:t>1.2</w:t>
      </w:r>
      <w:r>
        <w:rPr>
          <w:color w:val="FFFFFF"/>
        </w:rPr>
        <w:t xml:space="preserve"> </w:t>
      </w:r>
      <w:r>
        <w:rPr>
          <w:color w:val="245266"/>
        </w:rPr>
        <w:t>solution</w:t>
      </w:r>
    </w:p>
    <w:p w14:paraId="4E68853A" w14:textId="77777777" w:rsidR="00BD425D" w:rsidRDefault="00BD425D" w:rsidP="00685787">
      <w:pPr>
        <w:pStyle w:val="CasestudyHead"/>
      </w:pPr>
      <w:r>
        <w:t>How sustainable is Telecom NZ’s financial performance?</w:t>
      </w:r>
    </w:p>
    <w:p w14:paraId="1ACBE2CE" w14:textId="78A8CC87" w:rsidR="00BD425D" w:rsidRDefault="00BD425D" w:rsidP="00685787">
      <w:pPr>
        <w:pStyle w:val="Casestudytextfullout"/>
      </w:pPr>
      <w:r>
        <w:t>Telecom Corporation of New Zealand Limited (Telecom NZ) is listed on the New York Stock Exchange. One of many obligations under United States legislation arising from this listing is the disclosure of the nature of forward-looking statements made in the financial statements (Telecom NZ Annual Report 20</w:t>
      </w:r>
      <w:r w:rsidR="001E4273">
        <w:t>13</w:t>
      </w:r>
      <w:r>
        <w:t>, pp. 1</w:t>
      </w:r>
      <w:r w:rsidR="001E4273">
        <w:t>69</w:t>
      </w:r>
      <w:r w:rsidR="00BB354F">
        <w:rPr>
          <w:rFonts w:ascii="Trebuchet MS" w:hAnsi="Trebuchet MS"/>
          <w:color w:val="auto"/>
        </w:rPr>
        <w:t>–</w:t>
      </w:r>
      <w:r>
        <w:t>1</w:t>
      </w:r>
      <w:r w:rsidR="001E4273">
        <w:t>70</w:t>
      </w:r>
      <w:r>
        <w:t>). Forward-looking statements provide investors with the management’s stance of future developments</w:t>
      </w:r>
      <w:r w:rsidR="001E4273">
        <w:t xml:space="preserve"> that</w:t>
      </w:r>
      <w:r>
        <w:t xml:space="preserve"> might have an effect on the financial performance and position of the company. See the next pages for this document.</w:t>
      </w:r>
    </w:p>
    <w:p w14:paraId="1AC8BF6C" w14:textId="77777777" w:rsidR="00BD425D" w:rsidRDefault="00BD425D" w:rsidP="00685787">
      <w:pPr>
        <w:pStyle w:val="QHead"/>
      </w:pPr>
      <w:r>
        <w:t>Question</w:t>
      </w:r>
    </w:p>
    <w:p w14:paraId="226449C2" w14:textId="77777777" w:rsidR="0017745F" w:rsidRDefault="00BD425D" w:rsidP="00685787">
      <w:pPr>
        <w:pStyle w:val="Bodytextfullout"/>
      </w:pPr>
      <w:r>
        <w:t>A SWOT analysis is a tool to visualise the strengths, weaknesses, opportunities and threats of a business on a matrix. It is often used as a management planning tool. However, it can also be used to analyse a company’s potential to generate sustainable performance from an investor’s perspective.</w:t>
      </w:r>
    </w:p>
    <w:p w14:paraId="7C6E61CD" w14:textId="77777777" w:rsidR="00CB1C60" w:rsidRDefault="0017745F" w:rsidP="00CB1C60">
      <w:pPr>
        <w:pStyle w:val="designernote"/>
      </w:pPr>
      <w:r>
        <w:rPr>
          <w:noProof/>
          <w:lang w:val="en-GB" w:eastAsia="en-GB"/>
        </w:rPr>
        <w:drawing>
          <wp:anchor distT="0" distB="0" distL="114300" distR="114300" simplePos="0" relativeHeight="251658240" behindDoc="0" locked="0" layoutInCell="1" allowOverlap="1" wp14:anchorId="024E0A49" wp14:editId="06ED4E9E">
            <wp:simplePos x="0" y="0"/>
            <wp:positionH relativeFrom="column">
              <wp:posOffset>1613535</wp:posOffset>
            </wp:positionH>
            <wp:positionV relativeFrom="paragraph">
              <wp:posOffset>175260</wp:posOffset>
            </wp:positionV>
            <wp:extent cx="2402840" cy="1493520"/>
            <wp:effectExtent l="0" t="0" r="0" b="0"/>
            <wp:wrapThrough wrapText="bothSides">
              <wp:wrapPolygon edited="0">
                <wp:start x="0" y="0"/>
                <wp:lineTo x="0" y="21306"/>
                <wp:lineTo x="21463" y="21306"/>
                <wp:lineTo x="21463" y="0"/>
                <wp:lineTo x="0" y="0"/>
              </wp:wrapPolygon>
            </wp:wrapThrough>
            <wp:docPr id="1" name="Picture 1" descr="copy%20of%20SW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py%20of%20SWO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02840" cy="14935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AAFCDF" w14:textId="77777777" w:rsidR="0017745F" w:rsidRDefault="0017745F" w:rsidP="00E21A42">
      <w:pPr>
        <w:pStyle w:val="BodyText1"/>
      </w:pPr>
    </w:p>
    <w:p w14:paraId="07B3B32F" w14:textId="77777777" w:rsidR="0017745F" w:rsidRDefault="0017745F" w:rsidP="00E21A42">
      <w:pPr>
        <w:pStyle w:val="BodyText1"/>
      </w:pPr>
    </w:p>
    <w:p w14:paraId="13EDC015" w14:textId="77777777" w:rsidR="0017745F" w:rsidRDefault="0017745F" w:rsidP="00E21A42">
      <w:pPr>
        <w:pStyle w:val="BodyText1"/>
      </w:pPr>
    </w:p>
    <w:p w14:paraId="22EEAD56" w14:textId="77777777" w:rsidR="0017745F" w:rsidRDefault="0017745F" w:rsidP="00E21A42">
      <w:pPr>
        <w:pStyle w:val="BodyText1"/>
      </w:pPr>
    </w:p>
    <w:p w14:paraId="397C8F90" w14:textId="77777777" w:rsidR="0017745F" w:rsidRDefault="0017745F" w:rsidP="00E21A42">
      <w:pPr>
        <w:pStyle w:val="BodyText1"/>
      </w:pPr>
    </w:p>
    <w:p w14:paraId="7A9C608D" w14:textId="77777777" w:rsidR="0017745F" w:rsidRDefault="0017745F" w:rsidP="00E21A42">
      <w:pPr>
        <w:pStyle w:val="BodyText1"/>
      </w:pPr>
    </w:p>
    <w:p w14:paraId="5C30E7DF" w14:textId="77777777" w:rsidR="0017745F" w:rsidRDefault="0017745F" w:rsidP="00E21A42">
      <w:pPr>
        <w:pStyle w:val="BodyText1"/>
      </w:pPr>
    </w:p>
    <w:p w14:paraId="5B3C5085" w14:textId="77777777" w:rsidR="00BD425D" w:rsidRDefault="00BD425D" w:rsidP="00E21A42">
      <w:pPr>
        <w:pStyle w:val="BodyText1"/>
      </w:pPr>
      <w:r>
        <w:t>Develop a SWOT matrix for Telecom NZ based on the disclosure on forward-looking statements and any other information you may find on Telecom NZ. Based on your findings, discuss how sustainable Telecom NZ’s financial performance is. The model answer for this begins on p. 3, after the Telecom document.</w:t>
      </w:r>
    </w:p>
    <w:p w14:paraId="33E9D77B" w14:textId="77777777" w:rsidR="0017745F" w:rsidRDefault="0017745F" w:rsidP="00741EAD">
      <w:pPr>
        <w:pStyle w:val="QAHead"/>
        <w:spacing w:after="0"/>
      </w:pPr>
      <w:r>
        <w:rPr>
          <w:noProof/>
          <w:lang w:val="en-GB" w:eastAsia="en-GB"/>
        </w:rPr>
        <w:lastRenderedPageBreak/>
        <w:drawing>
          <wp:inline distT="0" distB="0" distL="0" distR="0" wp14:anchorId="58EDAA70" wp14:editId="4AA3EF26">
            <wp:extent cx="5731510" cy="750824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7508240"/>
                    </a:xfrm>
                    <a:prstGeom prst="rect">
                      <a:avLst/>
                    </a:prstGeom>
                    <a:noFill/>
                    <a:ln>
                      <a:noFill/>
                    </a:ln>
                  </pic:spPr>
                </pic:pic>
              </a:graphicData>
            </a:graphic>
          </wp:inline>
        </w:drawing>
      </w:r>
    </w:p>
    <w:p w14:paraId="2CFC695E" w14:textId="77777777" w:rsidR="0017745F" w:rsidRDefault="0017745F" w:rsidP="0017745F">
      <w:pPr>
        <w:pStyle w:val="designernote"/>
      </w:pPr>
      <w:r>
        <w:rPr>
          <w:noProof/>
          <w:lang w:val="en-GB" w:eastAsia="en-GB"/>
        </w:rPr>
        <w:lastRenderedPageBreak/>
        <w:drawing>
          <wp:inline distT="0" distB="0" distL="0" distR="0" wp14:anchorId="7B65F52E" wp14:editId="117BE791">
            <wp:extent cx="5731510" cy="2016223"/>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1510" cy="2016223"/>
                    </a:xfrm>
                    <a:prstGeom prst="rect">
                      <a:avLst/>
                    </a:prstGeom>
                    <a:noFill/>
                    <a:ln>
                      <a:noFill/>
                    </a:ln>
                  </pic:spPr>
                </pic:pic>
              </a:graphicData>
            </a:graphic>
          </wp:inline>
        </w:drawing>
      </w:r>
    </w:p>
    <w:p w14:paraId="6A631343" w14:textId="77777777" w:rsidR="0017745F" w:rsidRDefault="0017745F" w:rsidP="00741EAD">
      <w:pPr>
        <w:pStyle w:val="QAHead"/>
        <w:spacing w:after="0"/>
      </w:pPr>
    </w:p>
    <w:p w14:paraId="75E6E28E" w14:textId="77777777" w:rsidR="00BD425D" w:rsidRPr="00D765F6" w:rsidRDefault="00BD425D" w:rsidP="00741EAD">
      <w:pPr>
        <w:pStyle w:val="QAHead"/>
        <w:spacing w:after="0"/>
        <w:rPr>
          <w:color w:val="auto"/>
        </w:rPr>
      </w:pPr>
      <w:r w:rsidRPr="00D765F6">
        <w:rPr>
          <w:color w:val="auto"/>
        </w:rPr>
        <w:t>Strengths</w:t>
      </w:r>
    </w:p>
    <w:p w14:paraId="358E4D09" w14:textId="701DEAF3" w:rsidR="00BD425D" w:rsidRPr="00D765F6" w:rsidRDefault="00BD425D" w:rsidP="008F3334">
      <w:pPr>
        <w:pStyle w:val="bulletedlist1"/>
        <w:rPr>
          <w:color w:val="auto"/>
        </w:rPr>
      </w:pPr>
      <w:r w:rsidRPr="00D765F6">
        <w:rPr>
          <w:color w:val="auto"/>
        </w:rPr>
        <w:t>•</w:t>
      </w:r>
      <w:r w:rsidRPr="00D765F6">
        <w:rPr>
          <w:color w:val="auto"/>
        </w:rPr>
        <w:tab/>
        <w:t>The efficiency of Telecom’s transformation strategy and Telecom’s ability to successfully implement such strategy</w:t>
      </w:r>
      <w:r w:rsidR="00C302C8" w:rsidRPr="00D765F6">
        <w:rPr>
          <w:color w:val="auto"/>
        </w:rPr>
        <w:t xml:space="preserve"> </w:t>
      </w:r>
      <w:r w:rsidR="00BB354F">
        <w:rPr>
          <w:rFonts w:ascii="Trebuchet MS" w:hAnsi="Trebuchet MS"/>
          <w:color w:val="auto"/>
        </w:rPr>
        <w:t>–</w:t>
      </w:r>
      <w:r w:rsidR="00C302C8" w:rsidRPr="00D765F6">
        <w:rPr>
          <w:color w:val="auto"/>
        </w:rPr>
        <w:t xml:space="preserve"> from a traditional fixed and mobile infrastructure company to a future-orientated, competitive provider of communication entertainment and IT services. </w:t>
      </w:r>
    </w:p>
    <w:p w14:paraId="2F2E1807" w14:textId="676D1CAF" w:rsidR="00BD425D" w:rsidRPr="00D765F6" w:rsidRDefault="00BD425D" w:rsidP="008F3334">
      <w:pPr>
        <w:pStyle w:val="bulletedlist1"/>
        <w:rPr>
          <w:color w:val="auto"/>
        </w:rPr>
      </w:pPr>
      <w:r w:rsidRPr="00D765F6">
        <w:rPr>
          <w:color w:val="auto"/>
        </w:rPr>
        <w:t>•</w:t>
      </w:r>
      <w:r w:rsidRPr="00D765F6">
        <w:rPr>
          <w:color w:val="auto"/>
        </w:rPr>
        <w:tab/>
        <w:t>Telecom’s network and infrastructure development</w:t>
      </w:r>
      <w:r w:rsidR="001E4273">
        <w:rPr>
          <w:color w:val="auto"/>
        </w:rPr>
        <w:t>.</w:t>
      </w:r>
    </w:p>
    <w:p w14:paraId="165CA282" w14:textId="5FF2499A" w:rsidR="00BD425D" w:rsidRPr="00D765F6" w:rsidRDefault="0017745F" w:rsidP="008F3334">
      <w:pPr>
        <w:pStyle w:val="bulletedlist1"/>
        <w:rPr>
          <w:color w:val="auto"/>
        </w:rPr>
      </w:pPr>
      <w:r w:rsidRPr="00D765F6">
        <w:rPr>
          <w:color w:val="auto"/>
        </w:rPr>
        <w:t>•</w:t>
      </w:r>
      <w:r w:rsidRPr="00D765F6">
        <w:rPr>
          <w:color w:val="auto"/>
        </w:rPr>
        <w:tab/>
        <w:t>Telecom’s 2014</w:t>
      </w:r>
      <w:r w:rsidR="00BD425D" w:rsidRPr="00D765F6">
        <w:rPr>
          <w:color w:val="auto"/>
        </w:rPr>
        <w:t xml:space="preserve"> outlook for the group’s adjusted EBITDA, depreciation and amortisation and adjusted net earnings after tax, and expectations for Telecom’s future performance generally</w:t>
      </w:r>
      <w:r w:rsidR="001E4273">
        <w:rPr>
          <w:color w:val="auto"/>
        </w:rPr>
        <w:t>.</w:t>
      </w:r>
    </w:p>
    <w:p w14:paraId="7AD30028" w14:textId="7B57DA3A" w:rsidR="00BD425D" w:rsidRPr="00D765F6" w:rsidRDefault="00BD425D" w:rsidP="008F3334">
      <w:pPr>
        <w:pStyle w:val="bulletedlist1"/>
        <w:rPr>
          <w:color w:val="auto"/>
        </w:rPr>
      </w:pPr>
      <w:r w:rsidRPr="00D765F6">
        <w:rPr>
          <w:color w:val="auto"/>
        </w:rPr>
        <w:t>•</w:t>
      </w:r>
      <w:r w:rsidRPr="00D765F6">
        <w:rPr>
          <w:color w:val="auto"/>
        </w:rPr>
        <w:tab/>
        <w:t xml:space="preserve">The target dividend </w:t>
      </w:r>
      <w:proofErr w:type="spellStart"/>
      <w:r w:rsidRPr="00D765F6">
        <w:rPr>
          <w:color w:val="auto"/>
        </w:rPr>
        <w:t>payout</w:t>
      </w:r>
      <w:proofErr w:type="spellEnd"/>
      <w:r w:rsidR="001E4273">
        <w:rPr>
          <w:color w:val="auto"/>
        </w:rPr>
        <w:t>.</w:t>
      </w:r>
    </w:p>
    <w:p w14:paraId="0BBA01CF" w14:textId="6CFE8597" w:rsidR="00BD425D" w:rsidRPr="00D765F6" w:rsidRDefault="00BD425D" w:rsidP="008F3334">
      <w:pPr>
        <w:pStyle w:val="bulletedlist1"/>
        <w:rPr>
          <w:color w:val="auto"/>
        </w:rPr>
      </w:pPr>
      <w:r w:rsidRPr="00D765F6">
        <w:rPr>
          <w:color w:val="auto"/>
        </w:rPr>
        <w:t>•</w:t>
      </w:r>
      <w:r w:rsidRPr="00D765F6">
        <w:rPr>
          <w:color w:val="auto"/>
        </w:rPr>
        <w:tab/>
        <w:t>Cash flow from operations</w:t>
      </w:r>
      <w:r w:rsidR="001E4273">
        <w:rPr>
          <w:color w:val="auto"/>
        </w:rPr>
        <w:t>.</w:t>
      </w:r>
    </w:p>
    <w:p w14:paraId="79E41EAA" w14:textId="040DBC70" w:rsidR="00BD425D" w:rsidRPr="00D765F6" w:rsidRDefault="00BD425D" w:rsidP="008F3334">
      <w:pPr>
        <w:pStyle w:val="bulletedlist1"/>
        <w:rPr>
          <w:color w:val="auto"/>
        </w:rPr>
      </w:pPr>
      <w:r w:rsidRPr="00D765F6">
        <w:rPr>
          <w:color w:val="auto"/>
        </w:rPr>
        <w:t>•</w:t>
      </w:r>
      <w:r w:rsidRPr="00D765F6">
        <w:rPr>
          <w:color w:val="auto"/>
        </w:rPr>
        <w:tab/>
        <w:t>Performance of investments</w:t>
      </w:r>
      <w:r w:rsidR="008178D3" w:rsidRPr="00D765F6">
        <w:rPr>
          <w:color w:val="auto"/>
        </w:rPr>
        <w:t xml:space="preserve">, including dividends from Southern Cross. </w:t>
      </w:r>
    </w:p>
    <w:p w14:paraId="41F49100" w14:textId="12E3AE0B" w:rsidR="00C302C8" w:rsidRPr="00D765F6" w:rsidRDefault="00C302C8" w:rsidP="00C302C8">
      <w:pPr>
        <w:pStyle w:val="bulletedlist1"/>
        <w:numPr>
          <w:ilvl w:val="0"/>
          <w:numId w:val="2"/>
        </w:numPr>
        <w:rPr>
          <w:color w:val="auto"/>
        </w:rPr>
      </w:pPr>
      <w:r w:rsidRPr="00D765F6">
        <w:rPr>
          <w:color w:val="auto"/>
        </w:rPr>
        <w:t xml:space="preserve">Telecom’s ability to comply with regulations. </w:t>
      </w:r>
    </w:p>
    <w:p w14:paraId="7D2F2EB0" w14:textId="161F1851" w:rsidR="00C302C8" w:rsidRPr="00D765F6" w:rsidRDefault="00BD425D" w:rsidP="00C302C8">
      <w:pPr>
        <w:pStyle w:val="bulletedlist1"/>
        <w:rPr>
          <w:color w:val="auto"/>
        </w:rPr>
      </w:pPr>
      <w:r w:rsidRPr="00D765F6">
        <w:rPr>
          <w:color w:val="auto"/>
        </w:rPr>
        <w:t>•</w:t>
      </w:r>
      <w:r w:rsidRPr="00D765F6">
        <w:rPr>
          <w:color w:val="auto"/>
        </w:rPr>
        <w:tab/>
        <w:t>Network performance and quality.</w:t>
      </w:r>
    </w:p>
    <w:p w14:paraId="2BFEEDBD" w14:textId="77777777" w:rsidR="00BD425D" w:rsidRPr="00D765F6" w:rsidRDefault="00BD425D" w:rsidP="003F0158">
      <w:pPr>
        <w:pStyle w:val="QAHead"/>
        <w:rPr>
          <w:color w:val="auto"/>
        </w:rPr>
      </w:pPr>
      <w:r w:rsidRPr="00D765F6">
        <w:rPr>
          <w:color w:val="auto"/>
        </w:rPr>
        <w:t>Weaknesses</w:t>
      </w:r>
    </w:p>
    <w:p w14:paraId="6DF3280D" w14:textId="745BE452" w:rsidR="00BD425D" w:rsidRPr="00D765F6" w:rsidRDefault="00BD425D" w:rsidP="008F3334">
      <w:pPr>
        <w:pStyle w:val="bulletedlist1"/>
        <w:rPr>
          <w:color w:val="auto"/>
        </w:rPr>
      </w:pPr>
      <w:r w:rsidRPr="00D765F6">
        <w:rPr>
          <w:color w:val="auto"/>
        </w:rPr>
        <w:t>•</w:t>
      </w:r>
      <w:r w:rsidRPr="00D765F6">
        <w:rPr>
          <w:color w:val="auto"/>
        </w:rPr>
        <w:tab/>
        <w:t>The impact of legal proceedings and investigations involving Telecom</w:t>
      </w:r>
      <w:r w:rsidR="001E4273">
        <w:rPr>
          <w:color w:val="auto"/>
        </w:rPr>
        <w:t>.</w:t>
      </w:r>
    </w:p>
    <w:p w14:paraId="24546400" w14:textId="0453045F" w:rsidR="00BD425D" w:rsidRPr="00D765F6" w:rsidRDefault="00BD425D" w:rsidP="008F3334">
      <w:pPr>
        <w:pStyle w:val="bulletedlist1"/>
        <w:rPr>
          <w:color w:val="auto"/>
        </w:rPr>
      </w:pPr>
      <w:r w:rsidRPr="00D765F6">
        <w:rPr>
          <w:color w:val="auto"/>
        </w:rPr>
        <w:t>•</w:t>
      </w:r>
      <w:r w:rsidRPr="00D765F6">
        <w:rPr>
          <w:color w:val="auto"/>
        </w:rPr>
        <w:tab/>
        <w:t>Uncertainties regarding operating new systems and technologies</w:t>
      </w:r>
      <w:r w:rsidR="001E4273">
        <w:rPr>
          <w:color w:val="auto"/>
        </w:rPr>
        <w:t>.</w:t>
      </w:r>
    </w:p>
    <w:p w14:paraId="745A149E" w14:textId="2E2828A2" w:rsidR="00C302C8" w:rsidRPr="00D765F6" w:rsidRDefault="00C302C8" w:rsidP="00C302C8">
      <w:pPr>
        <w:pStyle w:val="bulletedlist1"/>
        <w:numPr>
          <w:ilvl w:val="0"/>
          <w:numId w:val="2"/>
        </w:numPr>
        <w:rPr>
          <w:color w:val="auto"/>
        </w:rPr>
      </w:pPr>
      <w:r w:rsidRPr="00D765F6">
        <w:rPr>
          <w:color w:val="auto"/>
        </w:rPr>
        <w:t>Uncertainties regarding fibre uptake.</w:t>
      </w:r>
    </w:p>
    <w:p w14:paraId="55ABA2C5" w14:textId="7FDB573F" w:rsidR="00C302C8" w:rsidRPr="00D765F6" w:rsidRDefault="00C302C8" w:rsidP="00C302C8">
      <w:pPr>
        <w:pStyle w:val="bulletedlist1"/>
        <w:numPr>
          <w:ilvl w:val="0"/>
          <w:numId w:val="2"/>
        </w:numPr>
        <w:rPr>
          <w:color w:val="auto"/>
        </w:rPr>
      </w:pPr>
      <w:r w:rsidRPr="00D765F6">
        <w:rPr>
          <w:color w:val="auto"/>
        </w:rPr>
        <w:t xml:space="preserve">Uncertainties regarding Telecom’s ability to secure spectrum for its 4G LTE network. </w:t>
      </w:r>
    </w:p>
    <w:p w14:paraId="493A152F" w14:textId="7106D783" w:rsidR="00C302C8" w:rsidRPr="00D765F6" w:rsidRDefault="00BD425D" w:rsidP="00C302C8">
      <w:pPr>
        <w:pStyle w:val="bulletedlist1"/>
        <w:rPr>
          <w:color w:val="auto"/>
        </w:rPr>
      </w:pPr>
      <w:r w:rsidRPr="00D765F6">
        <w:rPr>
          <w:color w:val="auto"/>
        </w:rPr>
        <w:t>•</w:t>
      </w:r>
      <w:r w:rsidRPr="00D765F6">
        <w:rPr>
          <w:color w:val="auto"/>
        </w:rPr>
        <w:tab/>
        <w:t>Technological innovations, including the cost of developing new products, networks and solutions and the need to increase expenditures for improving the quality of service</w:t>
      </w:r>
      <w:r w:rsidR="00C302C8" w:rsidRPr="00D765F6">
        <w:rPr>
          <w:color w:val="auto"/>
        </w:rPr>
        <w:t>.</w:t>
      </w:r>
    </w:p>
    <w:p w14:paraId="48E4822D" w14:textId="0162E00D" w:rsidR="00C302C8" w:rsidRPr="00D765F6" w:rsidRDefault="00C302C8" w:rsidP="00C302C8">
      <w:pPr>
        <w:pStyle w:val="bulletedlist1"/>
        <w:rPr>
          <w:color w:val="auto"/>
        </w:rPr>
      </w:pPr>
      <w:r w:rsidRPr="00D765F6">
        <w:rPr>
          <w:color w:val="auto"/>
        </w:rPr>
        <w:t>•</w:t>
      </w:r>
      <w:r w:rsidRPr="00D765F6">
        <w:rPr>
          <w:color w:val="auto"/>
        </w:rPr>
        <w:tab/>
        <w:t xml:space="preserve">Significant changes in market shares for Telecom and its principal products and services. </w:t>
      </w:r>
    </w:p>
    <w:p w14:paraId="76425612" w14:textId="77777777" w:rsidR="00BD425D" w:rsidRPr="00D765F6" w:rsidRDefault="00BD425D" w:rsidP="001A7558">
      <w:pPr>
        <w:pStyle w:val="QAHead"/>
        <w:rPr>
          <w:color w:val="auto"/>
        </w:rPr>
      </w:pPr>
      <w:r w:rsidRPr="00D765F6">
        <w:rPr>
          <w:color w:val="auto"/>
        </w:rPr>
        <w:t>Opportunities</w:t>
      </w:r>
    </w:p>
    <w:p w14:paraId="69ECE679" w14:textId="1CAF0892" w:rsidR="00BD425D" w:rsidRPr="00D765F6" w:rsidRDefault="00BD425D" w:rsidP="008F3334">
      <w:pPr>
        <w:pStyle w:val="bulletedlist1"/>
        <w:rPr>
          <w:color w:val="auto"/>
        </w:rPr>
      </w:pPr>
      <w:r w:rsidRPr="00D765F6">
        <w:rPr>
          <w:color w:val="auto"/>
        </w:rPr>
        <w:t>•</w:t>
      </w:r>
      <w:r w:rsidRPr="00D765F6">
        <w:rPr>
          <w:color w:val="auto"/>
        </w:rPr>
        <w:tab/>
        <w:t>Capital expenditure and investment plans</w:t>
      </w:r>
      <w:r w:rsidR="001E4273">
        <w:rPr>
          <w:color w:val="auto"/>
        </w:rPr>
        <w:t>.</w:t>
      </w:r>
    </w:p>
    <w:p w14:paraId="4052AC90" w14:textId="01E8861C" w:rsidR="00BD425D" w:rsidRPr="00D765F6" w:rsidRDefault="00BD425D" w:rsidP="008F3334">
      <w:pPr>
        <w:pStyle w:val="bulletedlist1"/>
        <w:rPr>
          <w:color w:val="auto"/>
        </w:rPr>
      </w:pPr>
      <w:r w:rsidRPr="00D765F6">
        <w:rPr>
          <w:color w:val="auto"/>
        </w:rPr>
        <w:t>•</w:t>
      </w:r>
      <w:r w:rsidRPr="00D765F6">
        <w:rPr>
          <w:color w:val="auto"/>
        </w:rPr>
        <w:tab/>
        <w:t>The performance of the Australian subsidiary AAPT and its ability to achieve sustainable and profitable revenue growth and reduction in operating costs</w:t>
      </w:r>
      <w:r w:rsidR="001E4273">
        <w:rPr>
          <w:color w:val="auto"/>
        </w:rPr>
        <w:t>.</w:t>
      </w:r>
    </w:p>
    <w:p w14:paraId="3EB2ECC6" w14:textId="506D9512" w:rsidR="00BD425D" w:rsidRPr="00D765F6" w:rsidRDefault="00BD425D" w:rsidP="008F3334">
      <w:pPr>
        <w:pStyle w:val="bulletedlist1"/>
        <w:rPr>
          <w:color w:val="auto"/>
        </w:rPr>
      </w:pPr>
      <w:r w:rsidRPr="00D765F6">
        <w:rPr>
          <w:color w:val="auto"/>
        </w:rPr>
        <w:t>•</w:t>
      </w:r>
      <w:r w:rsidRPr="00D765F6">
        <w:rPr>
          <w:color w:val="auto"/>
        </w:rPr>
        <w:tab/>
        <w:t>Cash flow from operations and existing cash and available borrowings are sufficient to fund Telecom’s expected capital expenditure, working capital and investment requirements</w:t>
      </w:r>
      <w:r w:rsidR="001E4273">
        <w:rPr>
          <w:color w:val="auto"/>
        </w:rPr>
        <w:t>.</w:t>
      </w:r>
    </w:p>
    <w:p w14:paraId="71324750" w14:textId="16FCB686" w:rsidR="00BD425D" w:rsidRPr="00D765F6" w:rsidRDefault="00BD425D" w:rsidP="008F3334">
      <w:pPr>
        <w:pStyle w:val="bulletedlist1"/>
        <w:rPr>
          <w:color w:val="auto"/>
        </w:rPr>
      </w:pPr>
      <w:r w:rsidRPr="00D765F6">
        <w:rPr>
          <w:color w:val="auto"/>
        </w:rPr>
        <w:t>•</w:t>
      </w:r>
      <w:r w:rsidRPr="00D765F6">
        <w:rPr>
          <w:color w:val="auto"/>
        </w:rPr>
        <w:tab/>
        <w:t>The performance of investments, joint ventures and acquired businesses; growth of, and opportunities available in, the communications, IT services, information and entertainment sectors and Telecom’s positioning to take advantage of those opportunities</w:t>
      </w:r>
      <w:r w:rsidR="001E4273">
        <w:rPr>
          <w:color w:val="auto"/>
        </w:rPr>
        <w:t>.</w:t>
      </w:r>
    </w:p>
    <w:p w14:paraId="30E6AAAB" w14:textId="77F2FB22" w:rsidR="00BD425D" w:rsidRPr="00D765F6" w:rsidRDefault="00BD425D" w:rsidP="008F3334">
      <w:pPr>
        <w:pStyle w:val="bulletedlist1"/>
        <w:rPr>
          <w:color w:val="auto"/>
        </w:rPr>
      </w:pPr>
      <w:r w:rsidRPr="00D765F6">
        <w:rPr>
          <w:color w:val="auto"/>
        </w:rPr>
        <w:t>•</w:t>
      </w:r>
      <w:r w:rsidRPr="00D765F6">
        <w:rPr>
          <w:color w:val="auto"/>
        </w:rPr>
        <w:tab/>
        <w:t>The convergence of technologies and growth and opportunities to offer new wave products and services revenues</w:t>
      </w:r>
      <w:r w:rsidR="001E4273">
        <w:rPr>
          <w:color w:val="auto"/>
        </w:rPr>
        <w:t>.</w:t>
      </w:r>
    </w:p>
    <w:p w14:paraId="1C2E3D76" w14:textId="77777777" w:rsidR="00BD425D" w:rsidRPr="00D765F6" w:rsidRDefault="00BD425D" w:rsidP="008F3334">
      <w:pPr>
        <w:pStyle w:val="bulletedlist1"/>
        <w:rPr>
          <w:color w:val="auto"/>
        </w:rPr>
      </w:pPr>
      <w:r w:rsidRPr="00D765F6">
        <w:rPr>
          <w:color w:val="auto"/>
        </w:rPr>
        <w:lastRenderedPageBreak/>
        <w:t>•</w:t>
      </w:r>
      <w:r w:rsidRPr="00D765F6">
        <w:rPr>
          <w:color w:val="auto"/>
        </w:rPr>
        <w:tab/>
        <w:t>Plans for the launch of new products and services and Telecom’s ability to grow its products, including traditional products and services revenue and core and new wholesale products.</w:t>
      </w:r>
    </w:p>
    <w:p w14:paraId="1E02BD3A" w14:textId="70064480" w:rsidR="008178D3" w:rsidRPr="00D765F6" w:rsidRDefault="008178D3" w:rsidP="008178D3">
      <w:pPr>
        <w:pStyle w:val="bulletedlist1"/>
        <w:numPr>
          <w:ilvl w:val="0"/>
          <w:numId w:val="1"/>
        </w:numPr>
        <w:rPr>
          <w:color w:val="auto"/>
        </w:rPr>
      </w:pPr>
      <w:r w:rsidRPr="00D765F6">
        <w:rPr>
          <w:color w:val="auto"/>
        </w:rPr>
        <w:t xml:space="preserve">Telecom’s network and infrastructure development plans, including 4G LTE. </w:t>
      </w:r>
    </w:p>
    <w:p w14:paraId="34F89B74" w14:textId="77777777" w:rsidR="00BD425D" w:rsidRPr="00D765F6" w:rsidRDefault="00BD425D" w:rsidP="001A7558">
      <w:pPr>
        <w:pStyle w:val="QAHead"/>
        <w:rPr>
          <w:color w:val="auto"/>
        </w:rPr>
      </w:pPr>
      <w:r w:rsidRPr="00D765F6">
        <w:rPr>
          <w:color w:val="auto"/>
        </w:rPr>
        <w:t>Threats</w:t>
      </w:r>
    </w:p>
    <w:p w14:paraId="407084D6" w14:textId="3F9939FE" w:rsidR="00BD425D" w:rsidRPr="00D765F6" w:rsidRDefault="00C302C8" w:rsidP="008F3334">
      <w:pPr>
        <w:pStyle w:val="bulletedlist1"/>
        <w:rPr>
          <w:color w:val="auto"/>
        </w:rPr>
      </w:pPr>
      <w:r w:rsidRPr="00D765F6">
        <w:rPr>
          <w:color w:val="auto"/>
        </w:rPr>
        <w:t>•</w:t>
      </w:r>
      <w:r w:rsidRPr="00D765F6">
        <w:rPr>
          <w:color w:val="auto"/>
        </w:rPr>
        <w:tab/>
        <w:t>C</w:t>
      </w:r>
      <w:r w:rsidR="00BD425D" w:rsidRPr="00D765F6">
        <w:rPr>
          <w:color w:val="auto"/>
        </w:rPr>
        <w:t>ompetition in the markets in which Telecom operates and the entrance of new competitors to these markets, particularly in the New Zealand market for mobile phone services</w:t>
      </w:r>
      <w:r w:rsidR="001E4273">
        <w:rPr>
          <w:color w:val="auto"/>
        </w:rPr>
        <w:t>.</w:t>
      </w:r>
    </w:p>
    <w:p w14:paraId="37A4DB76" w14:textId="7DB4B09A" w:rsidR="00BD425D" w:rsidRPr="00D765F6" w:rsidRDefault="00BD425D" w:rsidP="008F3334">
      <w:pPr>
        <w:pStyle w:val="bulletedlist1"/>
        <w:rPr>
          <w:color w:val="auto"/>
        </w:rPr>
      </w:pPr>
      <w:r w:rsidRPr="00D765F6">
        <w:rPr>
          <w:color w:val="auto"/>
        </w:rPr>
        <w:t>•</w:t>
      </w:r>
      <w:r w:rsidRPr="00D765F6">
        <w:rPr>
          <w:color w:val="auto"/>
        </w:rPr>
        <w:tab/>
        <w:t xml:space="preserve">The impact of the Undertakings and the </w:t>
      </w:r>
      <w:r w:rsidR="001E4273">
        <w:rPr>
          <w:color w:val="auto"/>
        </w:rPr>
        <w:t>g</w:t>
      </w:r>
      <w:r w:rsidRPr="00D765F6">
        <w:rPr>
          <w:color w:val="auto"/>
        </w:rPr>
        <w:t>overnment’s national broadband initiative</w:t>
      </w:r>
      <w:r w:rsidR="001E4273">
        <w:rPr>
          <w:color w:val="auto"/>
        </w:rPr>
        <w:t>.</w:t>
      </w:r>
    </w:p>
    <w:p w14:paraId="4A840FEA" w14:textId="17E7F5FD" w:rsidR="00BD425D" w:rsidRPr="00D765F6" w:rsidRDefault="00BD425D" w:rsidP="008F3334">
      <w:pPr>
        <w:pStyle w:val="bulletedlist1"/>
        <w:rPr>
          <w:color w:val="auto"/>
        </w:rPr>
      </w:pPr>
      <w:r w:rsidRPr="00D765F6">
        <w:rPr>
          <w:color w:val="auto"/>
        </w:rPr>
        <w:t>•</w:t>
      </w:r>
      <w:r w:rsidRPr="00D765F6">
        <w:rPr>
          <w:color w:val="auto"/>
        </w:rPr>
        <w:tab/>
        <w:t>The impact of further regulation regarding Telecom’s telecommunications service obligations (TSO) under New Zealand law</w:t>
      </w:r>
      <w:r w:rsidR="001E4273">
        <w:rPr>
          <w:color w:val="auto"/>
        </w:rPr>
        <w:t>.</w:t>
      </w:r>
    </w:p>
    <w:p w14:paraId="476359E0" w14:textId="52736F1D" w:rsidR="00BD425D" w:rsidRPr="00D765F6" w:rsidRDefault="00BD425D" w:rsidP="008F3334">
      <w:pPr>
        <w:pStyle w:val="bulletedlist1"/>
        <w:rPr>
          <w:color w:val="auto"/>
        </w:rPr>
      </w:pPr>
      <w:r w:rsidRPr="00D765F6">
        <w:rPr>
          <w:color w:val="auto"/>
        </w:rPr>
        <w:t>•</w:t>
      </w:r>
      <w:r w:rsidRPr="00D765F6">
        <w:rPr>
          <w:color w:val="auto"/>
        </w:rPr>
        <w:tab/>
        <w:t>Rapid technological changes and convergence of telecommunications, information services</w:t>
      </w:r>
      <w:r w:rsidR="001E4273">
        <w:rPr>
          <w:color w:val="auto"/>
        </w:rPr>
        <w:t>,</w:t>
      </w:r>
      <w:r w:rsidRPr="00D765F6">
        <w:rPr>
          <w:color w:val="auto"/>
        </w:rPr>
        <w:t xml:space="preserve"> and media markets and technologies</w:t>
      </w:r>
      <w:r w:rsidR="001E4273">
        <w:rPr>
          <w:color w:val="auto"/>
        </w:rPr>
        <w:t>.</w:t>
      </w:r>
    </w:p>
    <w:p w14:paraId="497BC65C" w14:textId="317A9DCD" w:rsidR="00BD425D" w:rsidRPr="00D765F6" w:rsidRDefault="00BD425D" w:rsidP="008F3334">
      <w:pPr>
        <w:pStyle w:val="bulletedlist1"/>
        <w:rPr>
          <w:color w:val="auto"/>
        </w:rPr>
      </w:pPr>
      <w:r w:rsidRPr="00D765F6">
        <w:rPr>
          <w:color w:val="auto"/>
        </w:rPr>
        <w:t>•</w:t>
      </w:r>
      <w:r w:rsidRPr="00D765F6">
        <w:rPr>
          <w:color w:val="auto"/>
        </w:rPr>
        <w:tab/>
        <w:t>Decreasing revenues from traditional services owing to mobile and other substitution and competitive pressures</w:t>
      </w:r>
      <w:r w:rsidR="001E4273">
        <w:rPr>
          <w:color w:val="auto"/>
        </w:rPr>
        <w:t>.</w:t>
      </w:r>
    </w:p>
    <w:p w14:paraId="2C75850D" w14:textId="73C9FD9A" w:rsidR="00BD425D" w:rsidRPr="00D765F6" w:rsidRDefault="00BD425D" w:rsidP="008F3334">
      <w:pPr>
        <w:pStyle w:val="bulletedlist1"/>
        <w:rPr>
          <w:color w:val="auto"/>
        </w:rPr>
      </w:pPr>
      <w:r w:rsidRPr="00D765F6">
        <w:rPr>
          <w:color w:val="auto"/>
        </w:rPr>
        <w:t>•</w:t>
      </w:r>
      <w:r w:rsidRPr="00D765F6">
        <w:rPr>
          <w:color w:val="auto"/>
        </w:rPr>
        <w:tab/>
        <w:t>Network or system interruptions owing to natural disasters and other events such as fire, terrorism or sabotage, affecting key facilities, software faults, viruses</w:t>
      </w:r>
      <w:r w:rsidR="001E4273">
        <w:rPr>
          <w:color w:val="auto"/>
        </w:rPr>
        <w:t>,</w:t>
      </w:r>
      <w:r w:rsidRPr="00D765F6">
        <w:rPr>
          <w:color w:val="auto"/>
        </w:rPr>
        <w:t xml:space="preserve"> and power supply loss or overloading</w:t>
      </w:r>
      <w:r w:rsidR="001E4273">
        <w:rPr>
          <w:color w:val="auto"/>
        </w:rPr>
        <w:t>.</w:t>
      </w:r>
    </w:p>
    <w:p w14:paraId="337DFE18" w14:textId="2712F894" w:rsidR="00BD425D" w:rsidRPr="00D765F6" w:rsidRDefault="00BD425D" w:rsidP="008F3334">
      <w:pPr>
        <w:pStyle w:val="bulletedlist1"/>
        <w:rPr>
          <w:color w:val="auto"/>
        </w:rPr>
      </w:pPr>
      <w:r w:rsidRPr="00D765F6">
        <w:rPr>
          <w:color w:val="auto"/>
        </w:rPr>
        <w:t>•</w:t>
      </w:r>
      <w:r w:rsidRPr="00D765F6">
        <w:rPr>
          <w:color w:val="auto"/>
        </w:rPr>
        <w:tab/>
        <w:t>Uncertainties around acquisitions and investments</w:t>
      </w:r>
      <w:r w:rsidR="001E4273">
        <w:rPr>
          <w:color w:val="auto"/>
        </w:rPr>
        <w:t>.</w:t>
      </w:r>
    </w:p>
    <w:p w14:paraId="0389A54E" w14:textId="5DDB6BCF" w:rsidR="00BD425D" w:rsidRPr="00D765F6" w:rsidRDefault="00BD425D" w:rsidP="008F3334">
      <w:pPr>
        <w:pStyle w:val="bulletedlist1"/>
        <w:rPr>
          <w:color w:val="auto"/>
        </w:rPr>
      </w:pPr>
      <w:r w:rsidRPr="00D765F6">
        <w:rPr>
          <w:color w:val="auto"/>
        </w:rPr>
        <w:t>•</w:t>
      </w:r>
      <w:r w:rsidRPr="00D765F6">
        <w:rPr>
          <w:color w:val="auto"/>
        </w:rPr>
        <w:tab/>
      </w:r>
      <w:r w:rsidR="008178D3" w:rsidRPr="00D765F6">
        <w:rPr>
          <w:color w:val="auto"/>
        </w:rPr>
        <w:t>General</w:t>
      </w:r>
      <w:r w:rsidRPr="00D765F6">
        <w:rPr>
          <w:color w:val="auto"/>
        </w:rPr>
        <w:t xml:space="preserve"> economic conditions within the countries in which Telecom operates.</w:t>
      </w:r>
    </w:p>
    <w:p w14:paraId="529758DB" w14:textId="77777777" w:rsidR="0017745F" w:rsidRPr="00D765F6" w:rsidRDefault="0017745F" w:rsidP="00F41768">
      <w:pPr>
        <w:pStyle w:val="NumberedText"/>
        <w:rPr>
          <w:color w:val="auto"/>
        </w:rPr>
      </w:pPr>
    </w:p>
    <w:p w14:paraId="1338BA41" w14:textId="77777777" w:rsidR="00BD425D" w:rsidRPr="00D765F6" w:rsidRDefault="00BD425D" w:rsidP="00F41768">
      <w:pPr>
        <w:pStyle w:val="NumberedText"/>
        <w:rPr>
          <w:color w:val="auto"/>
        </w:rPr>
      </w:pPr>
      <w:r w:rsidRPr="00D765F6">
        <w:rPr>
          <w:color w:val="auto"/>
        </w:rPr>
        <w:t>Based on the above SWOT analysis a student should come to the realisation that Telecom is in a good financial position and its performance is relatively strong. A student’s SWOT analysis will differ depending on the extent of research and analysis undertaken and information available on the Telecom New Zealand website: www.telecom.co.nz.</w:t>
      </w:r>
    </w:p>
    <w:sectPr w:rsidR="00BD425D" w:rsidRPr="00D765F6" w:rsidSect="007D5A24">
      <w:headerReference w:type="even" r:id="rId10"/>
      <w:headerReference w:type="default" r:id="rId11"/>
      <w:footerReference w:type="even" r:id="rId12"/>
      <w:footerReference w:type="default" r:id="rId13"/>
      <w:headerReference w:type="first" r:id="rId14"/>
      <w:footerReference w:type="first" r:id="rId15"/>
      <w:type w:val="continuous"/>
      <w:pgSz w:w="11906" w:h="14457"/>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878939" w14:textId="77777777" w:rsidR="00362DB5" w:rsidRDefault="00362DB5" w:rsidP="007B4D6B">
      <w:pPr>
        <w:spacing w:after="0" w:line="240" w:lineRule="auto"/>
      </w:pPr>
      <w:r>
        <w:separator/>
      </w:r>
    </w:p>
  </w:endnote>
  <w:endnote w:type="continuationSeparator" w:id="0">
    <w:p w14:paraId="6C6EB2A1" w14:textId="77777777" w:rsidR="00362DB5" w:rsidRDefault="00362DB5" w:rsidP="007B4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Zurich BT">
    <w:altName w:val="Cambria"/>
    <w:panose1 w:val="00000000000000000000"/>
    <w:charset w:val="00"/>
    <w:family w:val="swiss"/>
    <w:notTrueType/>
    <w:pitch w:val="default"/>
    <w:sig w:usb0="00000003" w:usb1="00000000" w:usb2="00000000" w:usb3="00000000" w:csb0="00000001" w:csb1="00000000"/>
  </w:font>
  <w:font w:name="Cochin">
    <w:altName w:val="Trebuchet MS"/>
    <w:charset w:val="00"/>
    <w:family w:val="auto"/>
    <w:pitch w:val="variable"/>
    <w:sig w:usb0="00000001" w:usb1="4000004A" w:usb2="00000000" w:usb3="00000000" w:csb0="00000007" w:csb1="00000000"/>
  </w:font>
  <w:font w:name="Lucida Grande">
    <w:charset w:val="00"/>
    <w:family w:val="auto"/>
    <w:pitch w:val="variable"/>
    <w:sig w:usb0="E1000AEF" w:usb1="5000A1FF" w:usb2="00000000" w:usb3="00000000" w:csb0="000001BF" w:csb1="00000000"/>
  </w:font>
  <w:font w:name="Trebuchet MS">
    <w:panose1 w:val="020B0603020202020204"/>
    <w:charset w:val="00"/>
    <w:family w:val="swiss"/>
    <w:pitch w:val="variable"/>
    <w:sig w:usb0="00000287" w:usb1="00000003"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C69613" w14:textId="77777777" w:rsidR="007B4D6B" w:rsidRDefault="007B4D6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A4B69D" w14:textId="3CC593D0" w:rsidR="007B4D6B" w:rsidRDefault="007B4D6B" w:rsidP="007B4D6B">
    <w:pPr>
      <w:rPr>
        <w:rFonts w:ascii="Cochin" w:hAnsi="Cochin"/>
        <w:sz w:val="20"/>
      </w:rPr>
    </w:pPr>
    <w:r>
      <w:rPr>
        <w:rFonts w:ascii="Cochin" w:hAnsi="Cochin"/>
        <w:sz w:val="20"/>
      </w:rPr>
      <w:t>Copyright ©2014 Pearson New Zealand –9781486004546/</w:t>
    </w:r>
    <w:proofErr w:type="spellStart"/>
    <w:r>
      <w:rPr>
        <w:rFonts w:ascii="Cochin" w:hAnsi="Cochin"/>
        <w:sz w:val="20"/>
      </w:rPr>
      <w:t>Atrill</w:t>
    </w:r>
    <w:proofErr w:type="spellEnd"/>
    <w:r>
      <w:rPr>
        <w:rFonts w:ascii="Cochin" w:hAnsi="Cochin"/>
        <w:sz w:val="20"/>
      </w:rPr>
      <w:t>/Accounting An Introduction/2e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55CF53" w14:textId="77777777" w:rsidR="007B4D6B" w:rsidRDefault="007B4D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EDB781" w14:textId="77777777" w:rsidR="00362DB5" w:rsidRDefault="00362DB5" w:rsidP="007B4D6B">
      <w:pPr>
        <w:spacing w:after="0" w:line="240" w:lineRule="auto"/>
      </w:pPr>
      <w:r>
        <w:separator/>
      </w:r>
    </w:p>
  </w:footnote>
  <w:footnote w:type="continuationSeparator" w:id="0">
    <w:p w14:paraId="189AB087" w14:textId="77777777" w:rsidR="00362DB5" w:rsidRDefault="00362DB5" w:rsidP="007B4D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E4EBD0" w14:textId="77777777" w:rsidR="007B4D6B" w:rsidRDefault="007B4D6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34A60" w14:textId="77777777" w:rsidR="007B4D6B" w:rsidRDefault="007B4D6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C2A646" w14:textId="77777777" w:rsidR="007B4D6B" w:rsidRDefault="007B4D6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E6A5D65"/>
    <w:multiLevelType w:val="hybridMultilevel"/>
    <w:tmpl w:val="7DAA60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6A2138F7"/>
    <w:multiLevelType w:val="hybridMultilevel"/>
    <w:tmpl w:val="536603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attachedTemplate r:id="rId1"/>
  <w:linkStyl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201FC"/>
    <w:rsid w:val="000E3FEB"/>
    <w:rsid w:val="000F22DC"/>
    <w:rsid w:val="00100AE5"/>
    <w:rsid w:val="001450E5"/>
    <w:rsid w:val="0017745F"/>
    <w:rsid w:val="001A7558"/>
    <w:rsid w:val="001E4273"/>
    <w:rsid w:val="001F53D1"/>
    <w:rsid w:val="002201FC"/>
    <w:rsid w:val="00302E3D"/>
    <w:rsid w:val="0033622B"/>
    <w:rsid w:val="00362DB5"/>
    <w:rsid w:val="003821B9"/>
    <w:rsid w:val="00393337"/>
    <w:rsid w:val="00395C13"/>
    <w:rsid w:val="003F0158"/>
    <w:rsid w:val="00400C47"/>
    <w:rsid w:val="00454511"/>
    <w:rsid w:val="00497E10"/>
    <w:rsid w:val="00543449"/>
    <w:rsid w:val="005738E0"/>
    <w:rsid w:val="00595548"/>
    <w:rsid w:val="00685787"/>
    <w:rsid w:val="00686AA4"/>
    <w:rsid w:val="006E604F"/>
    <w:rsid w:val="00741EAD"/>
    <w:rsid w:val="0078066D"/>
    <w:rsid w:val="007B4D6B"/>
    <w:rsid w:val="007D5A24"/>
    <w:rsid w:val="008178D3"/>
    <w:rsid w:val="00867965"/>
    <w:rsid w:val="00872C5A"/>
    <w:rsid w:val="008D19B7"/>
    <w:rsid w:val="008F3334"/>
    <w:rsid w:val="0099316F"/>
    <w:rsid w:val="009D3569"/>
    <w:rsid w:val="00A13046"/>
    <w:rsid w:val="00A706BD"/>
    <w:rsid w:val="00A96B78"/>
    <w:rsid w:val="00BB354F"/>
    <w:rsid w:val="00BD425D"/>
    <w:rsid w:val="00BE2500"/>
    <w:rsid w:val="00BF77BC"/>
    <w:rsid w:val="00C302C8"/>
    <w:rsid w:val="00C4641C"/>
    <w:rsid w:val="00C96355"/>
    <w:rsid w:val="00CB1C60"/>
    <w:rsid w:val="00D658AA"/>
    <w:rsid w:val="00D765F6"/>
    <w:rsid w:val="00DD34F9"/>
    <w:rsid w:val="00E21A42"/>
    <w:rsid w:val="00EE7029"/>
    <w:rsid w:val="00F20B4D"/>
    <w:rsid w:val="00F41768"/>
    <w:rsid w:val="00F807BA"/>
  </w:rsids>
  <m:mathPr>
    <m:mathFont m:val="Cambria Math"/>
    <m:brkBin m:val="before"/>
    <m:brkBinSub m:val="--"/>
    <m:smallFrac m:val="0"/>
    <m:dispDef/>
    <m:lMargin m:val="0"/>
    <m:rMargin m:val="0"/>
    <m:defJc m:val="centerGroup"/>
    <m:wrapIndent m:val="1440"/>
    <m:intLim m:val="subSup"/>
    <m:naryLim m:val="undOvr"/>
  </m:mathPr>
  <w:themeFontLang w:val="en-IN"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7FCD11"/>
  <w15:docId w15:val="{3940195B-651C-49BA-B2ED-A2692B36F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IN" w:eastAsia="en-I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3569"/>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D3569"/>
    <w:pPr>
      <w:widowControl w:val="0"/>
      <w:autoSpaceDE w:val="0"/>
      <w:autoSpaceDN w:val="0"/>
      <w:adjustRightInd w:val="0"/>
      <w:spacing w:after="0" w:line="240" w:lineRule="auto"/>
    </w:pPr>
    <w:rPr>
      <w:rFonts w:ascii="Zurich BT" w:hAnsi="Zurich BT" w:cs="Zurich BT"/>
      <w:color w:val="000000"/>
      <w:sz w:val="24"/>
      <w:szCs w:val="24"/>
    </w:rPr>
  </w:style>
  <w:style w:type="paragraph" w:customStyle="1" w:styleId="Pa0">
    <w:name w:val="Pa0"/>
    <w:basedOn w:val="Default"/>
    <w:next w:val="Default"/>
    <w:uiPriority w:val="99"/>
    <w:rsid w:val="00685787"/>
    <w:pPr>
      <w:spacing w:line="241" w:lineRule="atLeast"/>
    </w:pPr>
    <w:rPr>
      <w:rFonts w:cstheme="minorBidi"/>
      <w:color w:val="auto"/>
    </w:rPr>
  </w:style>
  <w:style w:type="character" w:customStyle="1" w:styleId="A1">
    <w:name w:val="A1"/>
    <w:uiPriority w:val="99"/>
    <w:rsid w:val="00685787"/>
    <w:rPr>
      <w:color w:val="951736"/>
      <w:sz w:val="20"/>
    </w:rPr>
  </w:style>
  <w:style w:type="paragraph" w:customStyle="1" w:styleId="Pa7">
    <w:name w:val="Pa7"/>
    <w:basedOn w:val="Default"/>
    <w:next w:val="Default"/>
    <w:uiPriority w:val="99"/>
    <w:rsid w:val="0078066D"/>
    <w:pPr>
      <w:spacing w:line="241" w:lineRule="atLeast"/>
    </w:pPr>
    <w:rPr>
      <w:rFonts w:cstheme="minorBidi"/>
      <w:color w:val="auto"/>
    </w:rPr>
  </w:style>
  <w:style w:type="character" w:customStyle="1" w:styleId="A0">
    <w:name w:val="A0"/>
    <w:uiPriority w:val="99"/>
    <w:rsid w:val="00685787"/>
    <w:rPr>
      <w:b/>
      <w:color w:val="211D1E"/>
      <w:sz w:val="18"/>
    </w:rPr>
  </w:style>
  <w:style w:type="paragraph" w:customStyle="1" w:styleId="Pa2">
    <w:name w:val="Pa2"/>
    <w:basedOn w:val="Default"/>
    <w:next w:val="Default"/>
    <w:uiPriority w:val="99"/>
    <w:rsid w:val="009D3569"/>
    <w:pPr>
      <w:spacing w:line="201" w:lineRule="atLeast"/>
    </w:pPr>
    <w:rPr>
      <w:rFonts w:cstheme="minorBidi"/>
      <w:color w:val="auto"/>
    </w:rPr>
  </w:style>
  <w:style w:type="paragraph" w:customStyle="1" w:styleId="bulletedlist1">
    <w:name w:val="bulleted list 1"/>
    <w:basedOn w:val="bulletedlist2"/>
    <w:qFormat/>
    <w:rsid w:val="009D3569"/>
    <w:pPr>
      <w:ind w:left="360"/>
    </w:pPr>
  </w:style>
  <w:style w:type="paragraph" w:customStyle="1" w:styleId="Pa3">
    <w:name w:val="Pa3"/>
    <w:basedOn w:val="Default"/>
    <w:next w:val="Default"/>
    <w:uiPriority w:val="99"/>
    <w:rsid w:val="00685787"/>
    <w:pPr>
      <w:spacing w:line="241" w:lineRule="atLeast"/>
    </w:pPr>
    <w:rPr>
      <w:rFonts w:cstheme="minorBidi"/>
      <w:color w:val="auto"/>
    </w:rPr>
  </w:style>
  <w:style w:type="paragraph" w:customStyle="1" w:styleId="Answertextfullout">
    <w:name w:val="Answer text fullout"/>
    <w:basedOn w:val="Default"/>
    <w:next w:val="Default"/>
    <w:autoRedefine/>
    <w:uiPriority w:val="99"/>
    <w:rsid w:val="00685787"/>
    <w:pPr>
      <w:spacing w:before="20" w:line="201" w:lineRule="atLeast"/>
    </w:pPr>
    <w:rPr>
      <w:rFonts w:cstheme="minorBidi"/>
      <w:color w:val="auto"/>
    </w:rPr>
  </w:style>
  <w:style w:type="paragraph" w:customStyle="1" w:styleId="NumberedL2">
    <w:name w:val="Numbered L2"/>
    <w:basedOn w:val="NumberedL1"/>
    <w:qFormat/>
    <w:rsid w:val="009D3569"/>
    <w:pPr>
      <w:ind w:left="720"/>
    </w:pPr>
  </w:style>
  <w:style w:type="paragraph" w:customStyle="1" w:styleId="bulletedlist2">
    <w:name w:val="bulleted list 2"/>
    <w:basedOn w:val="Normal"/>
    <w:qFormat/>
    <w:rsid w:val="009D3569"/>
    <w:pPr>
      <w:spacing w:before="20" w:after="0" w:line="201" w:lineRule="atLeast"/>
      <w:ind w:left="720" w:hanging="360"/>
    </w:pPr>
    <w:rPr>
      <w:rFonts w:ascii="Cochin" w:hAnsi="Cochin" w:cs="Cochin"/>
      <w:color w:val="00919D"/>
      <w:sz w:val="20"/>
      <w:szCs w:val="20"/>
    </w:rPr>
  </w:style>
  <w:style w:type="paragraph" w:customStyle="1" w:styleId="Answertext">
    <w:name w:val="Answer text"/>
    <w:basedOn w:val="Default"/>
    <w:next w:val="Default"/>
    <w:uiPriority w:val="99"/>
    <w:rsid w:val="00685787"/>
    <w:pPr>
      <w:spacing w:before="20" w:line="201" w:lineRule="atLeast"/>
    </w:pPr>
    <w:rPr>
      <w:rFonts w:cstheme="minorBidi"/>
      <w:color w:val="auto"/>
    </w:rPr>
  </w:style>
  <w:style w:type="paragraph" w:customStyle="1" w:styleId="Pa11">
    <w:name w:val="Pa11"/>
    <w:basedOn w:val="Default"/>
    <w:next w:val="Default"/>
    <w:uiPriority w:val="99"/>
    <w:rsid w:val="00685787"/>
    <w:pPr>
      <w:spacing w:before="40" w:line="201" w:lineRule="atLeast"/>
    </w:pPr>
    <w:rPr>
      <w:rFonts w:cstheme="minorBidi"/>
      <w:color w:val="auto"/>
    </w:rPr>
  </w:style>
  <w:style w:type="paragraph" w:customStyle="1" w:styleId="Pa6">
    <w:name w:val="Pa6"/>
    <w:basedOn w:val="Default"/>
    <w:next w:val="Default"/>
    <w:uiPriority w:val="99"/>
    <w:rsid w:val="00685787"/>
    <w:pPr>
      <w:spacing w:line="201" w:lineRule="atLeast"/>
    </w:pPr>
    <w:rPr>
      <w:rFonts w:cstheme="minorBidi"/>
      <w:color w:val="auto"/>
    </w:rPr>
  </w:style>
  <w:style w:type="paragraph" w:customStyle="1" w:styleId="Casestudy">
    <w:name w:val="Case study"/>
    <w:basedOn w:val="Normal"/>
    <w:qFormat/>
    <w:rsid w:val="009D3569"/>
    <w:pPr>
      <w:widowControl w:val="0"/>
      <w:autoSpaceDE w:val="0"/>
      <w:autoSpaceDN w:val="0"/>
      <w:adjustRightInd w:val="0"/>
      <w:spacing w:after="0" w:line="241" w:lineRule="atLeast"/>
      <w:jc w:val="right"/>
    </w:pPr>
    <w:rPr>
      <w:rFonts w:ascii="Zurich BT" w:hAnsi="Zurich BT"/>
      <w:color w:val="8F1736"/>
      <w:sz w:val="24"/>
      <w:szCs w:val="24"/>
    </w:rPr>
  </w:style>
  <w:style w:type="paragraph" w:customStyle="1" w:styleId="Casestudynumber">
    <w:name w:val="Case study number"/>
    <w:basedOn w:val="Default"/>
    <w:qFormat/>
    <w:rsid w:val="009D3569"/>
    <w:pPr>
      <w:spacing w:line="881" w:lineRule="atLeast"/>
      <w:jc w:val="right"/>
    </w:pPr>
    <w:rPr>
      <w:color w:val="auto"/>
      <w:sz w:val="88"/>
      <w:szCs w:val="88"/>
    </w:rPr>
  </w:style>
  <w:style w:type="paragraph" w:customStyle="1" w:styleId="CasestudyHead">
    <w:name w:val="Case study Head"/>
    <w:basedOn w:val="Default"/>
    <w:qFormat/>
    <w:rsid w:val="009D3569"/>
    <w:pPr>
      <w:spacing w:before="220" w:after="60" w:line="361" w:lineRule="atLeast"/>
      <w:ind w:left="220" w:right="220"/>
      <w:jc w:val="center"/>
    </w:pPr>
    <w:rPr>
      <w:b/>
      <w:bCs/>
      <w:color w:val="771B6E"/>
      <w:sz w:val="36"/>
      <w:szCs w:val="36"/>
    </w:rPr>
  </w:style>
  <w:style w:type="paragraph" w:customStyle="1" w:styleId="Casestudytextfullout">
    <w:name w:val="Case study text fullout"/>
    <w:basedOn w:val="Default"/>
    <w:qFormat/>
    <w:rsid w:val="009D3569"/>
    <w:pPr>
      <w:spacing w:after="20" w:line="201" w:lineRule="atLeast"/>
      <w:jc w:val="both"/>
    </w:pPr>
    <w:rPr>
      <w:rFonts w:ascii="Cochin" w:hAnsi="Cochin" w:cs="Cochin"/>
      <w:color w:val="211D1E"/>
      <w:sz w:val="20"/>
      <w:szCs w:val="20"/>
    </w:rPr>
  </w:style>
  <w:style w:type="paragraph" w:customStyle="1" w:styleId="designernote">
    <w:name w:val="designer note"/>
    <w:basedOn w:val="Normal"/>
    <w:qFormat/>
    <w:rsid w:val="009D3569"/>
    <w:pPr>
      <w:autoSpaceDE w:val="0"/>
      <w:autoSpaceDN w:val="0"/>
      <w:adjustRightInd w:val="0"/>
      <w:spacing w:before="200" w:line="240" w:lineRule="auto"/>
    </w:pPr>
    <w:rPr>
      <w:rFonts w:ascii="Cochin" w:eastAsiaTheme="minorHAnsi" w:hAnsi="Cochin" w:cs="Cochin"/>
      <w:b/>
      <w:color w:val="000000"/>
      <w:sz w:val="24"/>
      <w:szCs w:val="20"/>
      <w:lang w:eastAsia="en-US"/>
    </w:rPr>
  </w:style>
  <w:style w:type="paragraph" w:customStyle="1" w:styleId="QHead">
    <w:name w:val="Q Head"/>
    <w:basedOn w:val="Default"/>
    <w:qFormat/>
    <w:rsid w:val="009D3569"/>
    <w:pPr>
      <w:spacing w:before="40" w:after="40" w:line="301" w:lineRule="atLeast"/>
    </w:pPr>
    <w:rPr>
      <w:rFonts w:ascii="Cochin" w:hAnsi="Cochin" w:cs="Cochin"/>
      <w:color w:val="A81C21"/>
      <w:sz w:val="30"/>
      <w:szCs w:val="30"/>
    </w:rPr>
  </w:style>
  <w:style w:type="paragraph" w:customStyle="1" w:styleId="NumberedL1">
    <w:name w:val="Numbered L1"/>
    <w:basedOn w:val="Normal"/>
    <w:qFormat/>
    <w:rsid w:val="009D3569"/>
    <w:pPr>
      <w:widowControl w:val="0"/>
      <w:autoSpaceDE w:val="0"/>
      <w:autoSpaceDN w:val="0"/>
      <w:adjustRightInd w:val="0"/>
      <w:spacing w:after="0" w:line="201" w:lineRule="atLeast"/>
      <w:ind w:left="360" w:hanging="360"/>
    </w:pPr>
    <w:rPr>
      <w:rFonts w:ascii="Cochin" w:hAnsi="Cochin" w:cs="Cochin"/>
      <w:color w:val="211D1E"/>
      <w:sz w:val="20"/>
      <w:szCs w:val="20"/>
    </w:rPr>
  </w:style>
  <w:style w:type="paragraph" w:customStyle="1" w:styleId="Bodytextfullout">
    <w:name w:val="Body text fullout"/>
    <w:qFormat/>
    <w:rsid w:val="009D3569"/>
    <w:pPr>
      <w:spacing w:after="80"/>
    </w:pPr>
    <w:rPr>
      <w:rFonts w:ascii="Cochin" w:hAnsi="Cochin" w:cs="Cochin"/>
      <w:color w:val="211D1E"/>
      <w:sz w:val="20"/>
      <w:szCs w:val="20"/>
    </w:rPr>
  </w:style>
  <w:style w:type="paragraph" w:customStyle="1" w:styleId="Asnsertext">
    <w:name w:val="Asnser text"/>
    <w:basedOn w:val="Default"/>
    <w:qFormat/>
    <w:rsid w:val="00BD425D"/>
    <w:pPr>
      <w:spacing w:before="20" w:line="201" w:lineRule="atLeast"/>
      <w:ind w:firstLine="280"/>
      <w:jc w:val="both"/>
    </w:pPr>
    <w:rPr>
      <w:rFonts w:ascii="Cochin" w:hAnsi="Cochin" w:cs="Cochin"/>
      <w:color w:val="00919D"/>
      <w:sz w:val="20"/>
      <w:szCs w:val="20"/>
    </w:rPr>
  </w:style>
  <w:style w:type="paragraph" w:customStyle="1" w:styleId="Boxtextfullout">
    <w:name w:val="Box text fullout"/>
    <w:qFormat/>
    <w:rsid w:val="009D3569"/>
    <w:pPr>
      <w:spacing w:after="0"/>
      <w:jc w:val="both"/>
    </w:pPr>
    <w:rPr>
      <w:rFonts w:ascii="Times New Roman" w:hAnsi="Times New Roman"/>
      <w:color w:val="211D1E"/>
      <w:sz w:val="20"/>
      <w:szCs w:val="20"/>
    </w:rPr>
  </w:style>
  <w:style w:type="paragraph" w:customStyle="1" w:styleId="NumberedL1Text">
    <w:name w:val="Numbered L1 Text"/>
    <w:qFormat/>
    <w:rsid w:val="009D3569"/>
    <w:pPr>
      <w:spacing w:after="20" w:line="240" w:lineRule="auto"/>
      <w:ind w:left="360"/>
    </w:pPr>
    <w:rPr>
      <w:rFonts w:ascii="Cochin" w:hAnsi="Cochin" w:cs="Cochin"/>
      <w:color w:val="00919D"/>
      <w:sz w:val="20"/>
      <w:szCs w:val="20"/>
    </w:rPr>
  </w:style>
  <w:style w:type="paragraph" w:customStyle="1" w:styleId="NumberedL1TextInd">
    <w:name w:val="Numbered L1 Text Ind"/>
    <w:basedOn w:val="NumberedL1Text"/>
    <w:qFormat/>
    <w:rsid w:val="009D3569"/>
    <w:pPr>
      <w:ind w:firstLine="360"/>
    </w:pPr>
  </w:style>
  <w:style w:type="paragraph" w:customStyle="1" w:styleId="NumberedL2TextInd">
    <w:name w:val="Numbered L2 Text Ind"/>
    <w:basedOn w:val="NumberedL1TextInd"/>
    <w:qFormat/>
    <w:rsid w:val="009D3569"/>
    <w:pPr>
      <w:ind w:left="720"/>
    </w:pPr>
    <w:rPr>
      <w:color w:val="009193"/>
    </w:rPr>
  </w:style>
  <w:style w:type="paragraph" w:customStyle="1" w:styleId="NumberedL2a">
    <w:name w:val="Numbered L2a"/>
    <w:basedOn w:val="NumberedL2"/>
    <w:qFormat/>
    <w:rsid w:val="009D3569"/>
    <w:rPr>
      <w:color w:val="00919D"/>
    </w:rPr>
  </w:style>
  <w:style w:type="paragraph" w:customStyle="1" w:styleId="bulletedlist3">
    <w:name w:val="bulleted list 3"/>
    <w:basedOn w:val="bulletedlist2"/>
    <w:qFormat/>
    <w:rsid w:val="009D3569"/>
    <w:pPr>
      <w:ind w:left="1080"/>
    </w:pPr>
  </w:style>
  <w:style w:type="paragraph" w:customStyle="1" w:styleId="bulletedlist4">
    <w:name w:val="bulleted list 4"/>
    <w:basedOn w:val="bulletedlist3"/>
    <w:qFormat/>
    <w:rsid w:val="009D3569"/>
    <w:pPr>
      <w:ind w:left="1440"/>
    </w:pPr>
  </w:style>
  <w:style w:type="character" w:customStyle="1" w:styleId="CaseNumber">
    <w:name w:val="Case Number"/>
    <w:basedOn w:val="DefaultParagraphFont"/>
    <w:uiPriority w:val="1"/>
    <w:qFormat/>
    <w:rsid w:val="009D3569"/>
    <w:rPr>
      <w:color w:val="245266"/>
      <w:sz w:val="74"/>
      <w:szCs w:val="74"/>
    </w:rPr>
  </w:style>
  <w:style w:type="character" w:customStyle="1" w:styleId="CaseNumbertext">
    <w:name w:val="Case Number text"/>
    <w:basedOn w:val="CaseNumber"/>
    <w:uiPriority w:val="1"/>
    <w:qFormat/>
    <w:rsid w:val="009D3569"/>
    <w:rPr>
      <w:color w:val="245266"/>
      <w:sz w:val="88"/>
      <w:szCs w:val="74"/>
    </w:rPr>
  </w:style>
  <w:style w:type="paragraph" w:customStyle="1" w:styleId="BodyText1">
    <w:name w:val="Body Text1"/>
    <w:basedOn w:val="Bodytextfullout"/>
    <w:qFormat/>
    <w:rsid w:val="009D3569"/>
    <w:pPr>
      <w:ind w:firstLine="360"/>
    </w:pPr>
  </w:style>
  <w:style w:type="paragraph" w:customStyle="1" w:styleId="Boxtext">
    <w:name w:val="Box text"/>
    <w:basedOn w:val="Boxtextfullout"/>
    <w:qFormat/>
    <w:rsid w:val="009D3569"/>
    <w:pPr>
      <w:ind w:firstLine="360"/>
    </w:pPr>
  </w:style>
  <w:style w:type="paragraph" w:customStyle="1" w:styleId="QAHead">
    <w:name w:val="Q A Head"/>
    <w:qFormat/>
    <w:rsid w:val="009D3569"/>
    <w:pPr>
      <w:spacing w:before="100" w:after="20" w:line="240" w:lineRule="auto"/>
      <w:jc w:val="both"/>
    </w:pPr>
    <w:rPr>
      <w:rFonts w:ascii="Cochin" w:hAnsi="Cochin" w:cs="Cochin"/>
      <w:b/>
      <w:bCs/>
      <w:color w:val="00919D"/>
      <w:sz w:val="20"/>
      <w:szCs w:val="20"/>
    </w:rPr>
  </w:style>
  <w:style w:type="paragraph" w:customStyle="1" w:styleId="BoxHead">
    <w:name w:val="Box Head"/>
    <w:qFormat/>
    <w:rsid w:val="009D3569"/>
    <w:pPr>
      <w:spacing w:before="440" w:line="361" w:lineRule="atLeast"/>
      <w:jc w:val="center"/>
    </w:pPr>
    <w:rPr>
      <w:rFonts w:ascii="Times New Roman" w:hAnsi="Times New Roman"/>
      <w:color w:val="211D1E"/>
      <w:sz w:val="36"/>
      <w:szCs w:val="36"/>
    </w:rPr>
  </w:style>
  <w:style w:type="paragraph" w:customStyle="1" w:styleId="AHead">
    <w:name w:val="A Head"/>
    <w:qFormat/>
    <w:rsid w:val="009D3569"/>
    <w:pPr>
      <w:spacing w:after="80"/>
    </w:pPr>
    <w:rPr>
      <w:rFonts w:ascii="Cochin" w:hAnsi="Cochin" w:cs="Cochin"/>
      <w:b/>
      <w:bCs/>
      <w:color w:val="211D1E"/>
      <w:sz w:val="20"/>
      <w:szCs w:val="20"/>
    </w:rPr>
  </w:style>
  <w:style w:type="paragraph" w:customStyle="1" w:styleId="NumberedText">
    <w:name w:val="Numbered Text"/>
    <w:basedOn w:val="NumberedL1Text"/>
    <w:qFormat/>
    <w:rsid w:val="009D3569"/>
    <w:pPr>
      <w:ind w:left="0" w:firstLine="360"/>
    </w:pPr>
  </w:style>
  <w:style w:type="character" w:styleId="Hyperlink">
    <w:name w:val="Hyperlink"/>
    <w:basedOn w:val="DefaultParagraphFont"/>
    <w:uiPriority w:val="99"/>
    <w:unhideWhenUsed/>
    <w:rsid w:val="00DD34F9"/>
    <w:rPr>
      <w:color w:val="0000FF" w:themeColor="hyperlink"/>
      <w:u w:val="single"/>
    </w:rPr>
  </w:style>
  <w:style w:type="paragraph" w:customStyle="1" w:styleId="extract">
    <w:name w:val="extract"/>
    <w:next w:val="Default"/>
    <w:uiPriority w:val="99"/>
    <w:rsid w:val="009D3569"/>
    <w:pPr>
      <w:spacing w:before="20" w:after="20" w:line="201" w:lineRule="atLeast"/>
      <w:ind w:left="576"/>
    </w:pPr>
    <w:rPr>
      <w:rFonts w:ascii="Zurich BT" w:hAnsi="Zurich BT" w:cstheme="minorBidi"/>
      <w:sz w:val="24"/>
      <w:szCs w:val="24"/>
    </w:rPr>
  </w:style>
  <w:style w:type="paragraph" w:customStyle="1" w:styleId="Extract0">
    <w:name w:val="Extract"/>
    <w:basedOn w:val="extract"/>
    <w:qFormat/>
    <w:rsid w:val="009D3569"/>
    <w:pPr>
      <w:spacing w:before="40" w:after="40"/>
      <w:ind w:left="0"/>
    </w:pPr>
    <w:rPr>
      <w:rFonts w:ascii="Cochin" w:hAnsi="Cochin" w:cs="Cochin"/>
      <w:color w:val="00919D"/>
      <w:sz w:val="20"/>
      <w:szCs w:val="20"/>
    </w:rPr>
  </w:style>
  <w:style w:type="paragraph" w:customStyle="1" w:styleId="NumberedL2Text">
    <w:name w:val="Numbered L2 Text"/>
    <w:basedOn w:val="NumberedL2TextInd"/>
    <w:qFormat/>
    <w:rsid w:val="009D3569"/>
    <w:pPr>
      <w:ind w:firstLine="0"/>
    </w:pPr>
  </w:style>
  <w:style w:type="paragraph" w:customStyle="1" w:styleId="Source">
    <w:name w:val="Source"/>
    <w:basedOn w:val="Default"/>
    <w:qFormat/>
    <w:rsid w:val="009D3569"/>
    <w:pPr>
      <w:spacing w:before="200" w:after="200" w:line="181" w:lineRule="atLeast"/>
    </w:pPr>
    <w:rPr>
      <w:color w:val="211D1E"/>
      <w:sz w:val="18"/>
      <w:szCs w:val="18"/>
    </w:rPr>
  </w:style>
  <w:style w:type="paragraph" w:customStyle="1" w:styleId="Casestudytext">
    <w:name w:val="Case study text"/>
    <w:basedOn w:val="Casestudytextfullout"/>
    <w:qFormat/>
    <w:rsid w:val="009D3569"/>
    <w:pPr>
      <w:ind w:firstLine="360"/>
    </w:pPr>
  </w:style>
  <w:style w:type="paragraph" w:customStyle="1" w:styleId="Pa8">
    <w:name w:val="Pa8"/>
    <w:basedOn w:val="Default"/>
    <w:next w:val="Default"/>
    <w:uiPriority w:val="99"/>
    <w:rsid w:val="009D3569"/>
    <w:pPr>
      <w:spacing w:before="40" w:line="201" w:lineRule="atLeast"/>
    </w:pPr>
    <w:rPr>
      <w:rFonts w:cstheme="minorBidi"/>
      <w:color w:val="auto"/>
    </w:rPr>
  </w:style>
  <w:style w:type="paragraph" w:customStyle="1" w:styleId="TB">
    <w:name w:val="TB"/>
    <w:qFormat/>
    <w:rsid w:val="009D3569"/>
    <w:pPr>
      <w:tabs>
        <w:tab w:val="right" w:pos="6570"/>
        <w:tab w:val="right" w:pos="8640"/>
      </w:tabs>
      <w:spacing w:after="0" w:line="240" w:lineRule="auto"/>
      <w:jc w:val="both"/>
    </w:pPr>
    <w:rPr>
      <w:rFonts w:ascii="Cochin" w:hAnsi="Cochin" w:cs="Zurich BT"/>
      <w:color w:val="211D1E"/>
      <w:sz w:val="20"/>
      <w:szCs w:val="20"/>
    </w:rPr>
  </w:style>
  <w:style w:type="paragraph" w:customStyle="1" w:styleId="Style1">
    <w:name w:val="Style1"/>
    <w:basedOn w:val="TB"/>
    <w:qFormat/>
    <w:rsid w:val="009D3569"/>
  </w:style>
  <w:style w:type="paragraph" w:customStyle="1" w:styleId="Bulleted">
    <w:name w:val="Bulleted"/>
    <w:basedOn w:val="bulletedlist2"/>
    <w:qFormat/>
    <w:rsid w:val="009D3569"/>
    <w:rPr>
      <w:color w:val="auto"/>
    </w:rPr>
  </w:style>
  <w:style w:type="paragraph" w:customStyle="1" w:styleId="NumberedTB">
    <w:name w:val="Numbered TB"/>
    <w:basedOn w:val="TB"/>
    <w:qFormat/>
    <w:rsid w:val="009D3569"/>
    <w:rPr>
      <w:color w:val="00919D"/>
    </w:rPr>
  </w:style>
  <w:style w:type="paragraph" w:customStyle="1" w:styleId="BoxAHead">
    <w:name w:val="Box A Head"/>
    <w:basedOn w:val="Normal"/>
    <w:next w:val="Boxtext"/>
    <w:qFormat/>
    <w:rsid w:val="009D3569"/>
    <w:pPr>
      <w:autoSpaceDE w:val="0"/>
      <w:autoSpaceDN w:val="0"/>
      <w:adjustRightInd w:val="0"/>
      <w:spacing w:before="120" w:after="0" w:line="240" w:lineRule="auto"/>
    </w:pPr>
    <w:rPr>
      <w:rFonts w:ascii="Times New Roman" w:hAnsi="Times New Roman"/>
      <w:b/>
      <w:bCs/>
      <w:sz w:val="20"/>
      <w:szCs w:val="20"/>
    </w:rPr>
  </w:style>
  <w:style w:type="paragraph" w:styleId="BalloonText">
    <w:name w:val="Balloon Text"/>
    <w:basedOn w:val="Normal"/>
    <w:link w:val="BalloonTextChar"/>
    <w:uiPriority w:val="99"/>
    <w:semiHidden/>
    <w:unhideWhenUsed/>
    <w:rsid w:val="0017745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7745F"/>
    <w:rPr>
      <w:rFonts w:ascii="Lucida Grande" w:hAnsi="Lucida Grande" w:cs="Lucida Grande"/>
      <w:sz w:val="18"/>
      <w:szCs w:val="18"/>
    </w:rPr>
  </w:style>
  <w:style w:type="paragraph" w:styleId="Header">
    <w:name w:val="header"/>
    <w:basedOn w:val="Normal"/>
    <w:link w:val="HeaderChar"/>
    <w:uiPriority w:val="99"/>
    <w:unhideWhenUsed/>
    <w:rsid w:val="007B4D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B4D6B"/>
    <w:rPr>
      <w:rFonts w:cstheme="minorBidi"/>
    </w:rPr>
  </w:style>
  <w:style w:type="paragraph" w:styleId="Footer">
    <w:name w:val="footer"/>
    <w:basedOn w:val="Normal"/>
    <w:link w:val="FooterChar"/>
    <w:uiPriority w:val="99"/>
    <w:unhideWhenUsed/>
    <w:rsid w:val="007B4D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B4D6B"/>
    <w:rPr>
      <w:rFonts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715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rai\Desktop\Pears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Pearson</Template>
  <TotalTime>17</TotalTime>
  <Pages>1</Pages>
  <Words>722</Words>
  <Characters>4122</Characters>
  <Application>Microsoft Office Word</Application>
  <DocSecurity>0</DocSecurity>
  <Lines>34</Lines>
  <Paragraphs>9</Paragraphs>
  <ScaleCrop>false</ScaleCrop>
  <Company/>
  <LinksUpToDate>false</LinksUpToDate>
  <CharactersWithSpaces>4835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durai</dc:creator>
  <cp:lastModifiedBy>Susan Prior</cp:lastModifiedBy>
  <cp:revision>83</cp:revision>
  <dcterms:created xsi:type="dcterms:W3CDTF">2013-05-30T06:01:00Z</dcterms:created>
  <dcterms:modified xsi:type="dcterms:W3CDTF">2013-12-10T07:20:00Z</dcterms:modified>
</cp:coreProperties>
</file>